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page">
                  <wp:posOffset>213995</wp:posOffset>
                </wp:positionH>
                <wp:positionV relativeFrom="page">
                  <wp:posOffset>1053465</wp:posOffset>
                </wp:positionV>
                <wp:extent cx="7115175" cy="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5175" cy="4763"/>
                        </a:xfrm>
                        <a:prstGeom prst="line">
                          <a:avLst/>
                        </a:prstGeom>
                        <a:solidFill>
                          <a:srgbClr val="FFFFFF"/>
                        </a:solidFill>
                        <a:ln w="38100">
                          <a:solidFill>
                            <a:srgbClr val="000000"/>
                          </a:solidFill>
                          <a:miter lim="800000"/>
                          <a:headEnd/>
                          <a:tailEnd/>
                        </a:ln>
                      </wps:spPr>
                      <wps:bodyPr/>
                    </wps:wsp>
                  </a:graphicData>
                </a:graphic>
              </wp:anchor>
            </w:drawing>
          </mc:Choice>
          <mc:Fallback>
            <w:pict>
              <v:line id="Shape 1" o:spid="_x0000_s102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6.85pt,82.95pt" to="577.1pt,82.95pt" o:allowincell="f" strokecolor="#000000" strokeweight="3pt">
                <w10:wrap anchorx="page" anchory="page"/>
              </v:line>
            </w:pict>
          </mc:Fallback>
        </mc:AlternateContent>
        <mc:AlternateContent>
          <mc:Choice Requires="wps">
            <w:drawing>
              <wp:anchor simplePos="0" relativeHeight="251657728" behindDoc="1" locked="0" layoutInCell="0" allowOverlap="1">
                <wp:simplePos x="0" y="0"/>
                <wp:positionH relativeFrom="page">
                  <wp:posOffset>213995</wp:posOffset>
                </wp:positionH>
                <wp:positionV relativeFrom="page">
                  <wp:posOffset>1086485</wp:posOffset>
                </wp:positionV>
                <wp:extent cx="7115175"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5175"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6.85pt,85.55pt" to="577.1pt,85.55pt" o:allowincell="f" strokecolor="#000000" strokeweight="0.72pt">
                <w10:wrap anchorx="page" anchory="page"/>
              </v:line>
            </w:pict>
          </mc:Fallback>
        </mc:AlternateConten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UNITED STATES</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FORM 10-K</w:t>
      </w:r>
    </w:p>
    <w:p>
      <w:pPr>
        <w:spacing w:after="0" w:line="75" w:lineRule="exact"/>
        <w:rPr>
          <w:sz w:val="24"/>
          <w:szCs w:val="24"/>
          <w:color w:val="auto"/>
        </w:rPr>
      </w:pPr>
    </w:p>
    <w:p>
      <w:pPr>
        <w:ind w:left="320" w:hanging="313"/>
        <w:spacing w:after="0"/>
        <w:tabs>
          <w:tab w:leader="none" w:pos="320" w:val="left"/>
        </w:tabs>
        <w:numPr>
          <w:ilvl w:val="0"/>
          <w:numId w:val="1"/>
        </w:numPr>
        <w:rPr>
          <w:rFonts w:ascii="Segoe UI Symbol" w:cs="Segoe UI Symbol" w:eastAsia="Segoe UI Symbol" w:hAnsi="Segoe UI Symbol"/>
          <w:sz w:val="18"/>
          <w:szCs w:val="18"/>
          <w:b w:val="1"/>
          <w:bCs w:val="1"/>
          <w:color w:val="auto"/>
        </w:rPr>
      </w:pPr>
      <w:r>
        <w:rPr>
          <w:rFonts w:ascii="Arial" w:cs="Arial" w:eastAsia="Arial" w:hAnsi="Arial"/>
          <w:sz w:val="18"/>
          <w:szCs w:val="18"/>
          <w:b w:val="1"/>
          <w:bCs w:val="1"/>
          <w:color w:val="auto"/>
        </w:rPr>
        <w:t>Annual Report Pursuant to Section 13 or 15(d) of the Securities Exchange Act of 1934</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January 31, 2026</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67" w:lineRule="exact"/>
        <w:rPr>
          <w:sz w:val="24"/>
          <w:szCs w:val="24"/>
          <w:color w:val="auto"/>
        </w:rPr>
      </w:pPr>
    </w:p>
    <w:p>
      <w:pPr>
        <w:ind w:left="320" w:hanging="313"/>
        <w:spacing w:after="0"/>
        <w:tabs>
          <w:tab w:leader="none" w:pos="320" w:val="left"/>
        </w:tabs>
        <w:numPr>
          <w:ilvl w:val="0"/>
          <w:numId w:val="2"/>
        </w:numPr>
        <w:rPr>
          <w:rFonts w:ascii="Segoe UI Symbol" w:cs="Segoe UI Symbol" w:eastAsia="Segoe UI Symbol" w:hAnsi="Segoe UI Symbol"/>
          <w:sz w:val="18"/>
          <w:szCs w:val="18"/>
          <w:b w:val="1"/>
          <w:bCs w:val="1"/>
          <w:color w:val="auto"/>
        </w:rPr>
      </w:pPr>
      <w:r>
        <w:rPr>
          <w:rFonts w:ascii="Arial" w:cs="Arial" w:eastAsia="Arial" w:hAnsi="Arial"/>
          <w:sz w:val="18"/>
          <w:szCs w:val="18"/>
          <w:b w:val="1"/>
          <w:bCs w:val="1"/>
          <w:color w:val="auto"/>
        </w:rPr>
        <w:t>Transition Report Pursuant to Section 13 or 15(d) of the Securities Exchange Act of 1934</w:t>
      </w:r>
    </w:p>
    <w:p>
      <w:pPr>
        <w:sectPr>
          <w:pgSz w:w="11880" w:h="15480" w:orient="portrait"/>
          <w:cols w:equalWidth="0" w:num="1">
            <w:col w:w="11160"/>
          </w:cols>
          <w:pgMar w:left="360" w:top="1440" w:right="360" w:bottom="998" w:gutter="0" w:footer="0" w:header="0"/>
        </w:sectPr>
      </w:pPr>
    </w:p>
    <w:p>
      <w:pPr>
        <w:spacing w:after="0" w:line="75" w:lineRule="exact"/>
        <w:rPr>
          <w:sz w:val="24"/>
          <w:szCs w:val="24"/>
          <w:color w:val="auto"/>
        </w:rPr>
      </w:pPr>
    </w:p>
    <w:p>
      <w:pPr>
        <w:ind w:left="3960"/>
        <w:spacing w:after="0"/>
        <w:rPr>
          <w:sz w:val="20"/>
          <w:szCs w:val="20"/>
          <w:color w:val="auto"/>
        </w:rPr>
      </w:pPr>
      <w:r>
        <w:rPr>
          <w:rFonts w:ascii="Arial" w:cs="Arial" w:eastAsia="Arial" w:hAnsi="Arial"/>
          <w:sz w:val="13"/>
          <w:szCs w:val="13"/>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67"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to</w:t>
      </w:r>
    </w:p>
    <w:p>
      <w:pPr>
        <w:spacing w:after="0" w:line="7" w:lineRule="exact"/>
        <w:rPr>
          <w:sz w:val="24"/>
          <w:szCs w:val="24"/>
          <w:color w:val="auto"/>
        </w:rPr>
      </w:pPr>
    </w:p>
    <w:p>
      <w:pPr>
        <w:sectPr>
          <w:pgSz w:w="11880" w:h="15480" w:orient="portrait"/>
          <w:cols w:equalWidth="0" w:num="2">
            <w:col w:w="5920" w:space="640"/>
            <w:col w:w="4600"/>
          </w:cols>
          <w:pgMar w:left="360" w:top="1440" w:right="360" w:bottom="998"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Commission File Number: 001-41886</w:t>
      </w:r>
    </w:p>
    <w:p>
      <w:pPr>
        <w:sectPr>
          <w:pgSz w:w="11880" w:h="15480" w:orient="portrait"/>
          <w:cols w:equalWidth="0" w:num="1">
            <w:col w:w="11160"/>
          </w:cols>
          <w:pgMar w:left="360" w:top="1440" w:right="360" w:bottom="998" w:gutter="0" w:footer="0" w:header="0"/>
          <w:type w:val="continuous"/>
        </w:sectPr>
      </w:pPr>
    </w:p>
    <w:p>
      <w:pPr>
        <w:spacing w:after="0" w:line="62"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CITI TRENDS,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72" w:lineRule="exact"/>
        <w:rPr>
          <w:sz w:val="24"/>
          <w:szCs w:val="24"/>
          <w:color w:val="auto"/>
        </w:rPr>
      </w:pPr>
    </w:p>
    <w:tbl>
      <w:tblPr>
        <w:tblLayout w:type="fixed"/>
        <w:tblInd w:w="10" w:type="dxa"/>
        <w:tblCellMar>
          <w:top w:w="0" w:type="dxa"/>
          <w:left w:w="0" w:type="dxa"/>
          <w:bottom w:w="0" w:type="dxa"/>
          <w:right w:w="0" w:type="dxa"/>
        </w:tblCellMar>
      </w:tblPr>
      <w:tr>
        <w:trPr>
          <w:trHeight w:val="163"/>
        </w:trPr>
        <w:tc>
          <w:tcPr>
            <w:tcW w:w="3740" w:type="dxa"/>
            <w:vAlign w:val="bottom"/>
          </w:tcPr>
          <w:p>
            <w:pPr>
              <w:jc w:val="center"/>
              <w:ind w:left="1770"/>
              <w:spacing w:after="0"/>
              <w:rPr>
                <w:sz w:val="20"/>
                <w:szCs w:val="20"/>
                <w:color w:val="auto"/>
              </w:rPr>
            </w:pPr>
            <w:r>
              <w:rPr>
                <w:rFonts w:ascii="Arial" w:cs="Arial" w:eastAsia="Arial" w:hAnsi="Arial"/>
                <w:sz w:val="14"/>
                <w:szCs w:val="14"/>
                <w:b w:val="1"/>
                <w:bCs w:val="1"/>
                <w:color w:val="auto"/>
              </w:rPr>
              <w:t>Delaware</w:t>
            </w:r>
          </w:p>
        </w:tc>
        <w:tc>
          <w:tcPr>
            <w:tcW w:w="3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40" w:type="dxa"/>
            <w:vAlign w:val="bottom"/>
          </w:tcPr>
          <w:p>
            <w:pPr>
              <w:jc w:val="right"/>
              <w:ind w:right="2250"/>
              <w:spacing w:after="0"/>
              <w:rPr>
                <w:sz w:val="20"/>
                <w:szCs w:val="20"/>
                <w:color w:val="auto"/>
              </w:rPr>
            </w:pPr>
            <w:r>
              <w:rPr>
                <w:rFonts w:ascii="Arial" w:cs="Arial" w:eastAsia="Arial" w:hAnsi="Arial"/>
                <w:sz w:val="14"/>
                <w:szCs w:val="14"/>
                <w:b w:val="1"/>
                <w:bCs w:val="1"/>
                <w:color w:val="auto"/>
              </w:rPr>
              <w:t>52-2150697</w:t>
            </w:r>
          </w:p>
        </w:tc>
      </w:tr>
      <w:tr>
        <w:trPr>
          <w:trHeight w:val="162"/>
        </w:trPr>
        <w:tc>
          <w:tcPr>
            <w:tcW w:w="3740" w:type="dxa"/>
            <w:vAlign w:val="bottom"/>
          </w:tcPr>
          <w:p>
            <w:pPr>
              <w:jc w:val="center"/>
              <w:ind w:left="1770"/>
              <w:spacing w:after="0"/>
              <w:rPr>
                <w:sz w:val="20"/>
                <w:szCs w:val="20"/>
                <w:color w:val="auto"/>
              </w:rPr>
            </w:pPr>
            <w:r>
              <w:rPr>
                <w:rFonts w:ascii="Arial" w:cs="Arial" w:eastAsia="Arial" w:hAnsi="Arial"/>
                <w:sz w:val="14"/>
                <w:szCs w:val="14"/>
                <w:color w:val="auto"/>
                <w:w w:val="99"/>
              </w:rPr>
              <w:t>(State or other jurisdiction of</w:t>
            </w:r>
          </w:p>
        </w:tc>
        <w:tc>
          <w:tcPr>
            <w:tcW w:w="3620" w:type="dxa"/>
            <w:vAlign w:val="bottom"/>
          </w:tcPr>
          <w:p>
            <w:pPr>
              <w:spacing w:after="0"/>
              <w:rPr>
                <w:sz w:val="14"/>
                <w:szCs w:val="14"/>
                <w:color w:val="auto"/>
              </w:rPr>
            </w:pPr>
          </w:p>
        </w:tc>
        <w:tc>
          <w:tcPr>
            <w:tcW w:w="3800" w:type="dxa"/>
            <w:vAlign w:val="bottom"/>
            <w:gridSpan w:val="4"/>
          </w:tcPr>
          <w:p>
            <w:pPr>
              <w:ind w:left="20"/>
              <w:spacing w:after="0"/>
              <w:rPr>
                <w:sz w:val="20"/>
                <w:szCs w:val="20"/>
                <w:color w:val="auto"/>
              </w:rPr>
            </w:pPr>
            <w:r>
              <w:rPr>
                <w:rFonts w:ascii="Arial" w:cs="Arial" w:eastAsia="Arial" w:hAnsi="Arial"/>
                <w:sz w:val="14"/>
                <w:szCs w:val="14"/>
                <w:color w:val="auto"/>
              </w:rPr>
              <w:t>(I.R.S. Employer Identification No.)</w:t>
            </w:r>
          </w:p>
        </w:tc>
      </w:tr>
      <w:tr>
        <w:trPr>
          <w:trHeight w:val="189"/>
        </w:trPr>
        <w:tc>
          <w:tcPr>
            <w:tcW w:w="3740" w:type="dxa"/>
            <w:vAlign w:val="bottom"/>
          </w:tcPr>
          <w:p>
            <w:pPr>
              <w:jc w:val="center"/>
              <w:ind w:left="1770"/>
              <w:spacing w:after="0"/>
              <w:rPr>
                <w:sz w:val="20"/>
                <w:szCs w:val="20"/>
                <w:color w:val="auto"/>
              </w:rPr>
            </w:pPr>
            <w:r>
              <w:rPr>
                <w:rFonts w:ascii="Arial" w:cs="Arial" w:eastAsia="Arial" w:hAnsi="Arial"/>
                <w:sz w:val="14"/>
                <w:szCs w:val="14"/>
                <w:color w:val="auto"/>
                <w:w w:val="99"/>
              </w:rPr>
              <w:t>incorporation or organization)</w:t>
            </w:r>
          </w:p>
        </w:tc>
        <w:tc>
          <w:tcPr>
            <w:tcW w:w="3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40" w:type="dxa"/>
            <w:vAlign w:val="bottom"/>
          </w:tcPr>
          <w:p>
            <w:pPr>
              <w:spacing w:after="0"/>
              <w:rPr>
                <w:sz w:val="16"/>
                <w:szCs w:val="16"/>
                <w:color w:val="auto"/>
              </w:rPr>
            </w:pPr>
          </w:p>
        </w:tc>
      </w:tr>
      <w:tr>
        <w:trPr>
          <w:trHeight w:val="225"/>
        </w:trPr>
        <w:tc>
          <w:tcPr>
            <w:tcW w:w="7360" w:type="dxa"/>
            <w:vAlign w:val="bottom"/>
            <w:gridSpan w:val="2"/>
          </w:tcPr>
          <w:p>
            <w:pPr>
              <w:jc w:val="center"/>
              <w:ind w:right="1710"/>
              <w:spacing w:after="0"/>
              <w:rPr>
                <w:sz w:val="20"/>
                <w:szCs w:val="20"/>
                <w:color w:val="auto"/>
              </w:rPr>
            </w:pPr>
            <w:r>
              <w:rPr>
                <w:rFonts w:ascii="Arial" w:cs="Arial" w:eastAsia="Arial" w:hAnsi="Arial"/>
                <w:sz w:val="14"/>
                <w:szCs w:val="14"/>
                <w:b w:val="1"/>
                <w:bCs w:val="1"/>
                <w:color w:val="auto"/>
                <w:w w:val="99"/>
              </w:rPr>
              <w:t>17 Park of Commerce Boulevard, Suite 200, Savannah, Georgia</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40" w:type="dxa"/>
            <w:vAlign w:val="bottom"/>
          </w:tcPr>
          <w:p>
            <w:pPr>
              <w:jc w:val="right"/>
              <w:ind w:right="2430"/>
              <w:spacing w:after="0"/>
              <w:rPr>
                <w:sz w:val="20"/>
                <w:szCs w:val="20"/>
                <w:color w:val="auto"/>
              </w:rPr>
            </w:pPr>
            <w:r>
              <w:rPr>
                <w:rFonts w:ascii="Arial" w:cs="Arial" w:eastAsia="Arial" w:hAnsi="Arial"/>
                <w:sz w:val="14"/>
                <w:szCs w:val="14"/>
                <w:b w:val="1"/>
                <w:bCs w:val="1"/>
                <w:color w:val="auto"/>
              </w:rPr>
              <w:t>31405</w:t>
            </w:r>
          </w:p>
        </w:tc>
      </w:tr>
      <w:tr>
        <w:trPr>
          <w:trHeight w:val="189"/>
        </w:trPr>
        <w:tc>
          <w:tcPr>
            <w:tcW w:w="7360" w:type="dxa"/>
            <w:vAlign w:val="bottom"/>
            <w:gridSpan w:val="2"/>
          </w:tcPr>
          <w:p>
            <w:pPr>
              <w:jc w:val="center"/>
              <w:ind w:right="1730"/>
              <w:spacing w:after="0"/>
              <w:rPr>
                <w:sz w:val="20"/>
                <w:szCs w:val="20"/>
                <w:color w:val="auto"/>
              </w:rPr>
            </w:pPr>
            <w:r>
              <w:rPr>
                <w:rFonts w:ascii="Arial" w:cs="Arial" w:eastAsia="Arial" w:hAnsi="Arial"/>
                <w:sz w:val="14"/>
                <w:szCs w:val="14"/>
                <w:color w:val="auto"/>
              </w:rPr>
              <w:t>(Address of principal executive offices)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40" w:type="dxa"/>
            <w:vAlign w:val="bottom"/>
          </w:tcPr>
          <w:p>
            <w:pPr>
              <w:ind w:left="200"/>
              <w:spacing w:after="0"/>
              <w:rPr>
                <w:sz w:val="20"/>
                <w:szCs w:val="20"/>
                <w:color w:val="auto"/>
              </w:rPr>
            </w:pPr>
            <w:r>
              <w:rPr>
                <w:rFonts w:ascii="Arial" w:cs="Arial" w:eastAsia="Arial" w:hAnsi="Arial"/>
                <w:sz w:val="14"/>
                <w:szCs w:val="14"/>
                <w:color w:val="auto"/>
              </w:rPr>
              <w:t>(Zip Code)</w:t>
            </w:r>
          </w:p>
        </w:tc>
      </w:tr>
      <w:tr>
        <w:trPr>
          <w:trHeight w:val="260"/>
        </w:trPr>
        <w:tc>
          <w:tcPr>
            <w:tcW w:w="7920" w:type="dxa"/>
            <w:vAlign w:val="bottom"/>
            <w:gridSpan w:val="5"/>
          </w:tcPr>
          <w:p>
            <w:pPr>
              <w:jc w:val="center"/>
              <w:ind w:left="3170"/>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(912) 236-1561</w:t>
            </w:r>
          </w:p>
        </w:tc>
        <w:tc>
          <w:tcPr>
            <w:tcW w:w="3240" w:type="dxa"/>
            <w:vAlign w:val="bottom"/>
          </w:tcPr>
          <w:p>
            <w:pPr>
              <w:spacing w:after="0"/>
              <w:rPr>
                <w:sz w:val="22"/>
                <w:szCs w:val="22"/>
                <w:color w:val="auto"/>
              </w:rPr>
            </w:pPr>
          </w:p>
        </w:tc>
      </w:tr>
      <w:tr>
        <w:trPr>
          <w:trHeight w:val="200"/>
        </w:trPr>
        <w:tc>
          <w:tcPr>
            <w:tcW w:w="3740" w:type="dxa"/>
            <w:vAlign w:val="bottom"/>
          </w:tcPr>
          <w:p>
            <w:pPr>
              <w:spacing w:after="0"/>
              <w:rPr>
                <w:sz w:val="17"/>
                <w:szCs w:val="17"/>
                <w:color w:val="auto"/>
              </w:rPr>
            </w:pPr>
          </w:p>
        </w:tc>
        <w:tc>
          <w:tcPr>
            <w:tcW w:w="3620" w:type="dxa"/>
            <w:vAlign w:val="bottom"/>
          </w:tcPr>
          <w:p>
            <w:pPr>
              <w:jc w:val="center"/>
              <w:spacing w:after="0"/>
              <w:rPr>
                <w:sz w:val="20"/>
                <w:szCs w:val="20"/>
                <w:color w:val="auto"/>
              </w:rPr>
            </w:pPr>
            <w:r>
              <w:rPr>
                <w:rFonts w:ascii="Arial" w:cs="Arial" w:eastAsia="Arial" w:hAnsi="Arial"/>
                <w:sz w:val="14"/>
                <w:szCs w:val="14"/>
                <w:color w:val="auto"/>
              </w:rPr>
              <w:t>Securities registered pursuant to Section 12(b) of the Act: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40" w:type="dxa"/>
            <w:vAlign w:val="bottom"/>
          </w:tcPr>
          <w:p>
            <w:pPr>
              <w:spacing w:after="0"/>
              <w:rPr>
                <w:sz w:val="17"/>
                <w:szCs w:val="17"/>
                <w:color w:val="auto"/>
              </w:rPr>
            </w:pPr>
          </w:p>
        </w:tc>
      </w:tr>
      <w:tr>
        <w:trPr>
          <w:trHeight w:val="32"/>
        </w:trPr>
        <w:tc>
          <w:tcPr>
            <w:tcW w:w="374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gridSpan w:val="2"/>
          </w:tcPr>
          <w:p>
            <w:pPr>
              <w:spacing w:after="0"/>
              <w:rPr>
                <w:sz w:val="2"/>
                <w:szCs w:val="2"/>
                <w:color w:val="auto"/>
              </w:rPr>
            </w:pPr>
          </w:p>
        </w:tc>
      </w:tr>
      <w:tr>
        <w:trPr>
          <w:trHeight w:val="152"/>
        </w:trPr>
        <w:tc>
          <w:tcPr>
            <w:tcW w:w="3740" w:type="dxa"/>
            <w:vAlign w:val="bottom"/>
            <w:tcBorders>
              <w:left w:val="single" w:sz="8" w:color="auto"/>
              <w:bottom w:val="single" w:sz="8" w:color="auto"/>
              <w:right w:val="single" w:sz="8" w:color="auto"/>
            </w:tcBorders>
          </w:tcPr>
          <w:p>
            <w:pPr>
              <w:jc w:val="center"/>
              <w:spacing w:after="0" w:line="151" w:lineRule="exact"/>
              <w:rPr>
                <w:sz w:val="20"/>
                <w:szCs w:val="20"/>
                <w:color w:val="auto"/>
              </w:rPr>
            </w:pPr>
            <w:r>
              <w:rPr>
                <w:rFonts w:ascii="Arial" w:cs="Arial" w:eastAsia="Arial" w:hAnsi="Arial"/>
                <w:sz w:val="14"/>
                <w:szCs w:val="14"/>
                <w:b w:val="1"/>
                <w:bCs w:val="1"/>
                <w:color w:val="auto"/>
              </w:rPr>
              <w:t>Title of each class</w:t>
            </w:r>
          </w:p>
        </w:tc>
        <w:tc>
          <w:tcPr>
            <w:tcW w:w="3620" w:type="dxa"/>
            <w:vAlign w:val="bottom"/>
            <w:tcBorders>
              <w:bottom w:val="single" w:sz="8" w:color="auto"/>
            </w:tcBorders>
          </w:tcPr>
          <w:p>
            <w:pPr>
              <w:jc w:val="center"/>
              <w:spacing w:after="0" w:line="151" w:lineRule="exact"/>
              <w:rPr>
                <w:sz w:val="20"/>
                <w:szCs w:val="20"/>
                <w:color w:val="auto"/>
              </w:rPr>
            </w:pPr>
            <w:r>
              <w:rPr>
                <w:rFonts w:ascii="Arial" w:cs="Arial" w:eastAsia="Arial" w:hAnsi="Arial"/>
                <w:sz w:val="14"/>
                <w:szCs w:val="14"/>
                <w:b w:val="1"/>
                <w:bCs w:val="1"/>
                <w:color w:val="auto"/>
                <w:w w:val="98"/>
              </w:rPr>
              <w:t>Trading Symbol</w:t>
            </w:r>
          </w:p>
        </w:tc>
        <w:tc>
          <w:tcPr>
            <w:tcW w:w="100" w:type="dxa"/>
            <w:vAlign w:val="bottom"/>
            <w:tcBorders>
              <w:bottom w:val="single" w:sz="8" w:color="auto"/>
              <w:right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480" w:type="dxa"/>
            <w:vAlign w:val="bottom"/>
            <w:tcBorders>
              <w:bottom w:val="single" w:sz="8" w:color="auto"/>
              <w:right w:val="single" w:sz="8" w:color="auto"/>
            </w:tcBorders>
            <w:gridSpan w:val="2"/>
          </w:tcPr>
          <w:p>
            <w:pPr>
              <w:jc w:val="center"/>
              <w:ind w:right="170"/>
              <w:spacing w:after="0" w:line="151" w:lineRule="exact"/>
              <w:rPr>
                <w:sz w:val="20"/>
                <w:szCs w:val="20"/>
                <w:color w:val="auto"/>
              </w:rPr>
            </w:pPr>
            <w:r>
              <w:rPr>
                <w:rFonts w:ascii="Arial" w:cs="Arial" w:eastAsia="Arial" w:hAnsi="Arial"/>
                <w:sz w:val="14"/>
                <w:szCs w:val="14"/>
                <w:b w:val="1"/>
                <w:bCs w:val="1"/>
                <w:color w:val="auto"/>
              </w:rPr>
              <w:t>Name of each exchange on which registered</w:t>
            </w:r>
          </w:p>
        </w:tc>
      </w:tr>
      <w:tr>
        <w:trPr>
          <w:trHeight w:val="152"/>
        </w:trPr>
        <w:tc>
          <w:tcPr>
            <w:tcW w:w="3740" w:type="dxa"/>
            <w:vAlign w:val="bottom"/>
            <w:tcBorders>
              <w:left w:val="single" w:sz="8" w:color="auto"/>
              <w:bottom w:val="single" w:sz="8" w:color="auto"/>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9"/>
              </w:rPr>
              <w:t>Common Stock, $.01 Par Value</w:t>
            </w:r>
          </w:p>
        </w:tc>
        <w:tc>
          <w:tcPr>
            <w:tcW w:w="3620" w:type="dxa"/>
            <w:vAlign w:val="bottom"/>
            <w:tcBorders>
              <w:bottom w:val="single" w:sz="8" w:color="auto"/>
            </w:tcBorders>
          </w:tcPr>
          <w:p>
            <w:pPr>
              <w:jc w:val="center"/>
              <w:spacing w:after="0" w:line="151" w:lineRule="exact"/>
              <w:rPr>
                <w:sz w:val="20"/>
                <w:szCs w:val="20"/>
                <w:color w:val="auto"/>
              </w:rPr>
            </w:pPr>
            <w:r>
              <w:rPr>
                <w:rFonts w:ascii="Arial" w:cs="Arial" w:eastAsia="Arial" w:hAnsi="Arial"/>
                <w:sz w:val="14"/>
                <w:szCs w:val="14"/>
                <w:color w:val="auto"/>
              </w:rPr>
              <w:t>CTRN</w:t>
            </w:r>
          </w:p>
        </w:tc>
        <w:tc>
          <w:tcPr>
            <w:tcW w:w="100" w:type="dxa"/>
            <w:vAlign w:val="bottom"/>
            <w:tcBorders>
              <w:bottom w:val="single" w:sz="8" w:color="auto"/>
              <w:right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240" w:type="dxa"/>
            <w:vAlign w:val="bottom"/>
            <w:tcBorders>
              <w:bottom w:val="single" w:sz="8" w:color="auto"/>
              <w:right w:val="single" w:sz="8" w:color="auto"/>
            </w:tcBorders>
          </w:tcPr>
          <w:p>
            <w:pPr>
              <w:jc w:val="center"/>
              <w:ind w:right="430"/>
              <w:spacing w:after="0" w:line="151" w:lineRule="exact"/>
              <w:rPr>
                <w:sz w:val="20"/>
                <w:szCs w:val="20"/>
                <w:color w:val="auto"/>
              </w:rPr>
            </w:pPr>
            <w:r>
              <w:rPr>
                <w:rFonts w:ascii="Arial" w:cs="Arial" w:eastAsia="Arial" w:hAnsi="Arial"/>
                <w:sz w:val="14"/>
                <w:szCs w:val="14"/>
                <w:color w:val="auto"/>
              </w:rPr>
              <w:t>NASDAQ Stock Market</w:t>
            </w:r>
          </w:p>
        </w:tc>
      </w:tr>
      <w:tr>
        <w:trPr>
          <w:trHeight w:val="318"/>
        </w:trPr>
        <w:tc>
          <w:tcPr>
            <w:tcW w:w="3740" w:type="dxa"/>
            <w:vAlign w:val="bottom"/>
          </w:tcPr>
          <w:p>
            <w:pPr>
              <w:spacing w:after="0"/>
              <w:rPr>
                <w:sz w:val="24"/>
                <w:szCs w:val="24"/>
                <w:color w:val="auto"/>
              </w:rPr>
            </w:pPr>
          </w:p>
        </w:tc>
        <w:tc>
          <w:tcPr>
            <w:tcW w:w="3620" w:type="dxa"/>
            <w:vAlign w:val="bottom"/>
          </w:tcPr>
          <w:p>
            <w:pPr>
              <w:jc w:val="center"/>
              <w:spacing w:after="0"/>
              <w:rPr>
                <w:sz w:val="20"/>
                <w:szCs w:val="20"/>
                <w:color w:val="auto"/>
              </w:rPr>
            </w:pPr>
            <w:r>
              <w:rPr>
                <w:rFonts w:ascii="Arial" w:cs="Arial" w:eastAsia="Arial" w:hAnsi="Arial"/>
                <w:sz w:val="14"/>
                <w:szCs w:val="14"/>
                <w:color w:val="auto"/>
              </w:rPr>
              <w:t>Securities registered pursuant to Section 12(g) of the Act: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199"/>
        </w:trPr>
        <w:tc>
          <w:tcPr>
            <w:tcW w:w="3740" w:type="dxa"/>
            <w:vAlign w:val="bottom"/>
          </w:tcPr>
          <w:p>
            <w:pPr>
              <w:spacing w:after="0"/>
              <w:rPr>
                <w:sz w:val="17"/>
                <w:szCs w:val="17"/>
                <w:color w:val="auto"/>
              </w:rPr>
            </w:pP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rPr>
              <w:t>None</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40" w:type="dxa"/>
            <w:vAlign w:val="bottom"/>
          </w:tcPr>
          <w:p>
            <w:pPr>
              <w:spacing w:after="0"/>
              <w:rPr>
                <w:sz w:val="17"/>
                <w:szCs w:val="17"/>
                <w:color w:val="auto"/>
              </w:rPr>
            </w:pPr>
          </w:p>
        </w:tc>
      </w:tr>
      <w:tr>
        <w:trPr>
          <w:trHeight w:val="346"/>
        </w:trPr>
        <w:tc>
          <w:tcPr>
            <w:tcW w:w="7360" w:type="dxa"/>
            <w:vAlign w:val="bottom"/>
            <w:gridSpan w:val="2"/>
          </w:tcPr>
          <w:p>
            <w:pPr>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tc>
        <w:tc>
          <w:tcPr>
            <w:tcW w:w="320" w:type="dxa"/>
            <w:vAlign w:val="bottom"/>
            <w:gridSpan w:val="2"/>
          </w:tcPr>
          <w:p>
            <w:pPr>
              <w:spacing w:after="0"/>
              <w:rPr>
                <w:sz w:val="20"/>
                <w:szCs w:val="20"/>
                <w:color w:val="auto"/>
              </w:rPr>
            </w:pPr>
            <w:r>
              <w:rPr>
                <w:rFonts w:ascii="Arial" w:cs="Arial" w:eastAsia="Arial" w:hAnsi="Arial"/>
                <w:sz w:val="14"/>
                <w:szCs w:val="14"/>
                <w:color w:val="auto"/>
              </w:rPr>
              <w:t>Yes</w:t>
            </w:r>
          </w:p>
        </w:tc>
        <w:tc>
          <w:tcPr>
            <w:tcW w:w="240" w:type="dxa"/>
            <w:vAlign w:val="bottom"/>
          </w:tcPr>
          <w:p>
            <w:pPr>
              <w:spacing w:after="0"/>
              <w:rPr>
                <w:sz w:val="20"/>
                <w:szCs w:val="20"/>
                <w:color w:val="auto"/>
              </w:rPr>
            </w:pPr>
            <w:r>
              <w:rPr>
                <w:rFonts w:ascii="Segoe UI Symbol" w:cs="Segoe UI Symbol" w:eastAsia="Segoe UI Symbol" w:hAnsi="Segoe UI Symbol"/>
                <w:sz w:val="14"/>
                <w:szCs w:val="14"/>
                <w:color w:val="auto"/>
              </w:rPr>
              <w:t>☐</w:t>
            </w:r>
          </w:p>
        </w:tc>
        <w:tc>
          <w:tcPr>
            <w:tcW w:w="3240" w:type="dxa"/>
            <w:vAlign w:val="bottom"/>
          </w:tcPr>
          <w:p>
            <w:pPr>
              <w:ind w:left="40"/>
              <w:spacing w:after="0"/>
              <w:rPr>
                <w:sz w:val="20"/>
                <w:szCs w:val="20"/>
                <w:color w:val="auto"/>
              </w:rPr>
            </w:pPr>
            <w:r>
              <w:rPr>
                <w:rFonts w:ascii="Arial" w:cs="Arial" w:eastAsia="Arial" w:hAnsi="Arial"/>
                <w:sz w:val="14"/>
                <w:szCs w:val="14"/>
                <w:color w:val="auto"/>
              </w:rPr>
              <w:t xml:space="preserve">No </w:t>
            </w:r>
            <w:r>
              <w:rPr>
                <w:rFonts w:ascii="Segoe UI Symbol" w:cs="Segoe UI Symbol" w:eastAsia="Segoe UI Symbol" w:hAnsi="Segoe UI Symbol"/>
                <w:sz w:val="14"/>
                <w:szCs w:val="14"/>
                <w:color w:val="auto"/>
              </w:rPr>
              <w:t>☒</w:t>
            </w:r>
          </w:p>
        </w:tc>
      </w:tr>
      <w:tr>
        <w:trPr>
          <w:trHeight w:val="319"/>
        </w:trPr>
        <w:tc>
          <w:tcPr>
            <w:tcW w:w="7360" w:type="dxa"/>
            <w:vAlign w:val="bottom"/>
            <w:gridSpan w:val="2"/>
          </w:tcPr>
          <w:p>
            <w:pPr>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r>
          </w:p>
        </w:tc>
        <w:tc>
          <w:tcPr>
            <w:tcW w:w="10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4"/>
                <w:szCs w:val="14"/>
                <w:color w:val="auto"/>
                <w:w w:val="82"/>
              </w:rPr>
              <w:t>Yes</w:t>
            </w:r>
          </w:p>
        </w:tc>
        <w:tc>
          <w:tcPr>
            <w:tcW w:w="240" w:type="dxa"/>
            <w:vAlign w:val="bottom"/>
          </w:tcPr>
          <w:p>
            <w:pPr>
              <w:ind w:left="80"/>
              <w:spacing w:after="0"/>
              <w:rPr>
                <w:sz w:val="20"/>
                <w:szCs w:val="20"/>
                <w:color w:val="auto"/>
              </w:rPr>
            </w:pPr>
            <w:r>
              <w:rPr>
                <w:rFonts w:ascii="Segoe UI Symbol" w:cs="Segoe UI Symbol" w:eastAsia="Segoe UI Symbol" w:hAnsi="Segoe UI Symbol"/>
                <w:sz w:val="14"/>
                <w:szCs w:val="14"/>
                <w:color w:val="auto"/>
              </w:rPr>
              <w:t>☐</w:t>
            </w:r>
          </w:p>
        </w:tc>
        <w:tc>
          <w:tcPr>
            <w:tcW w:w="3240" w:type="dxa"/>
            <w:vAlign w:val="bottom"/>
          </w:tcPr>
          <w:p>
            <w:pPr>
              <w:ind w:left="120"/>
              <w:spacing w:after="0"/>
              <w:rPr>
                <w:sz w:val="20"/>
                <w:szCs w:val="20"/>
                <w:color w:val="auto"/>
              </w:rPr>
            </w:pPr>
            <w:r>
              <w:rPr>
                <w:rFonts w:ascii="Arial" w:cs="Arial" w:eastAsia="Arial" w:hAnsi="Arial"/>
                <w:sz w:val="14"/>
                <w:szCs w:val="14"/>
                <w:color w:val="auto"/>
              </w:rPr>
              <w:t xml:space="preserve">No </w:t>
            </w:r>
            <w:r>
              <w:rPr>
                <w:rFonts w:ascii="Segoe UI Symbol" w:cs="Segoe UI Symbol" w:eastAsia="Segoe UI Symbol" w:hAnsi="Segoe UI Symbol"/>
                <w:sz w:val="14"/>
                <w:szCs w:val="14"/>
                <w:color w:val="auto"/>
              </w:rPr>
              <w:t>☒</w:t>
            </w:r>
          </w:p>
        </w:tc>
      </w:tr>
    </w:tbl>
    <w:p>
      <w:pPr>
        <w:spacing w:after="0" w:line="32" w:lineRule="exact"/>
        <w:rPr>
          <w:sz w:val="24"/>
          <w:szCs w:val="24"/>
          <w:color w:val="auto"/>
        </w:rPr>
      </w:pPr>
    </w:p>
    <w:p>
      <w:pPr>
        <w:ind w:right="160"/>
        <w:spacing w:after="0" w:line="322" w:lineRule="auto"/>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Segoe UI Symbol" w:cs="Segoe UI Symbol" w:eastAsia="Segoe UI Symbol" w:hAnsi="Segoe UI Symbol"/>
          <w:sz w:val="14"/>
          <w:szCs w:val="14"/>
          <w:color w:val="auto"/>
        </w:rPr>
        <w:t>☒</w:t>
      </w:r>
      <w:r>
        <w:rPr>
          <w:rFonts w:ascii="Arial" w:cs="Arial" w:eastAsia="Arial" w:hAnsi="Arial"/>
          <w:sz w:val="14"/>
          <w:szCs w:val="14"/>
          <w:color w:val="auto"/>
        </w:rPr>
        <w:t xml:space="preserve"> No </w:t>
      </w:r>
      <w:r>
        <w:rPr>
          <w:rFonts w:ascii="Segoe UI Symbol" w:cs="Segoe UI Symbol" w:eastAsia="Segoe UI Symbol" w:hAnsi="Segoe UI Symbol"/>
          <w:sz w:val="14"/>
          <w:szCs w:val="14"/>
          <w:color w:val="auto"/>
        </w:rPr>
        <w:t>☐</w:t>
      </w:r>
    </w:p>
    <w:p>
      <w:pPr>
        <w:spacing w:after="0" w:line="1" w:lineRule="exact"/>
        <w:rPr>
          <w:sz w:val="24"/>
          <w:szCs w:val="24"/>
          <w:color w:val="auto"/>
        </w:rPr>
      </w:pPr>
    </w:p>
    <w:p>
      <w:pPr>
        <w:ind w:right="60"/>
        <w:spacing w:after="0" w:line="322" w:lineRule="auto"/>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Segoe UI Symbol" w:cs="Segoe UI Symbol" w:eastAsia="Segoe UI Symbol" w:hAnsi="Segoe UI Symbol"/>
          <w:sz w:val="14"/>
          <w:szCs w:val="14"/>
          <w:color w:val="auto"/>
        </w:rPr>
        <w:t>☒</w:t>
      </w:r>
      <w:r>
        <w:rPr>
          <w:rFonts w:ascii="Arial" w:cs="Arial" w:eastAsia="Arial" w:hAnsi="Arial"/>
          <w:sz w:val="14"/>
          <w:szCs w:val="14"/>
          <w:color w:val="auto"/>
        </w:rPr>
        <w:t xml:space="preserve"> No </w:t>
      </w:r>
      <w:r>
        <w:rPr>
          <w:rFonts w:ascii="Segoe UI Symbol" w:cs="Segoe UI Symbol" w:eastAsia="Segoe UI Symbol" w:hAnsi="Segoe UI Symbol"/>
          <w:sz w:val="14"/>
          <w:szCs w:val="14"/>
          <w:color w:val="auto"/>
        </w:rPr>
        <w:t>☐</w:t>
      </w:r>
    </w:p>
    <w:p>
      <w:pPr>
        <w:spacing w:after="0" w:line="1" w:lineRule="exact"/>
        <w:rPr>
          <w:sz w:val="24"/>
          <w:szCs w:val="24"/>
          <w:color w:val="auto"/>
        </w:rPr>
      </w:pPr>
    </w:p>
    <w:p>
      <w:pPr>
        <w:ind w:right="460"/>
        <w:spacing w:after="0" w:line="28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880" w:h="15480" w:orient="portrait"/>
          <w:cols w:equalWidth="0" w:num="1">
            <w:col w:w="11160"/>
          </w:cols>
          <w:pgMar w:left="360" w:top="1440" w:right="360" w:bottom="998" w:gutter="0" w:footer="0" w:header="0"/>
          <w:type w:val="continuous"/>
        </w:sectPr>
      </w:pPr>
    </w:p>
    <w:p>
      <w:pPr>
        <w:spacing w:after="0" w:line="86" w:lineRule="exact"/>
        <w:rPr>
          <w:sz w:val="24"/>
          <w:szCs w:val="24"/>
          <w:color w:val="auto"/>
        </w:rPr>
      </w:pPr>
    </w:p>
    <w:p>
      <w:pPr>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rPr>
          <w:sz w:val="20"/>
          <w:szCs w:val="20"/>
          <w:color w:val="auto"/>
        </w:rPr>
      </w:pPr>
      <w:r>
        <w:rPr>
          <w:rFonts w:ascii="Segoe UI Symbol" w:cs="Segoe UI Symbol" w:eastAsia="Segoe UI Symbol" w:hAnsi="Segoe UI Symbol"/>
          <w:sz w:val="14"/>
          <w:szCs w:val="14"/>
          <w:color w:val="auto"/>
        </w:rPr>
        <w:t>☐</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rPr>
          <w:sz w:val="20"/>
          <w:szCs w:val="20"/>
          <w:color w:val="auto"/>
        </w:rPr>
      </w:pPr>
      <w:r>
        <w:rPr>
          <w:rFonts w:ascii="Segoe UI Symbol" w:cs="Segoe UI Symbol" w:eastAsia="Segoe UI Symbol" w:hAnsi="Segoe UI Symbol"/>
          <w:sz w:val="13"/>
          <w:szCs w:val="13"/>
          <w:color w:val="auto"/>
        </w:rPr>
        <w:t>☒</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rPr>
          <w:sz w:val="20"/>
          <w:szCs w:val="20"/>
          <w:color w:val="auto"/>
        </w:rPr>
      </w:pPr>
      <w:r>
        <w:rPr>
          <w:rFonts w:ascii="Segoe UI Symbol" w:cs="Segoe UI Symbol" w:eastAsia="Segoe UI Symbol" w:hAnsi="Segoe UI Symbol"/>
          <w:sz w:val="13"/>
          <w:szCs w:val="13"/>
          <w:color w:val="auto"/>
        </w:rPr>
        <w:t>☐</w:t>
      </w:r>
    </w:p>
    <w:p>
      <w:pPr>
        <w:spacing w:after="0" w:line="105" w:lineRule="exact"/>
        <w:rPr>
          <w:sz w:val="24"/>
          <w:szCs w:val="24"/>
          <w:color w:val="auto"/>
        </w:rPr>
      </w:pPr>
    </w:p>
    <w:p>
      <w:pPr>
        <w:sectPr>
          <w:pgSz w:w="11880" w:h="15480" w:orient="portrait"/>
          <w:cols w:equalWidth="0" w:num="6">
            <w:col w:w="1400" w:space="100"/>
            <w:col w:w="1320" w:space="720"/>
            <w:col w:w="1000" w:space="120"/>
            <w:col w:w="660" w:space="720"/>
            <w:col w:w="1300" w:space="80"/>
            <w:col w:w="3740"/>
          </w:cols>
          <w:pgMar w:left="360" w:top="1440" w:right="360" w:bottom="998" w:gutter="0" w:footer="0" w:header="0"/>
          <w:type w:val="continuous"/>
        </w:sect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Segoe UI Symbol" w:cs="Segoe UI Symbol" w:eastAsia="Segoe UI Symbol" w:hAnsi="Segoe UI Symbol"/>
          <w:sz w:val="13"/>
          <w:szCs w:val="13"/>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Segoe UI Symbol" w:cs="Segoe UI Symbol" w:eastAsia="Segoe UI Symbol" w:hAnsi="Segoe UI Symbol"/>
          <w:sz w:val="13"/>
          <w:szCs w:val="13"/>
          <w:color w:val="auto"/>
        </w:rPr>
        <w:t>☐</w:t>
      </w:r>
    </w:p>
    <w:p>
      <w:pPr>
        <w:spacing w:after="0" w:line="44" w:lineRule="exact"/>
        <w:rPr>
          <w:sz w:val="24"/>
          <w:szCs w:val="24"/>
          <w:color w:val="auto"/>
        </w:rPr>
      </w:pPr>
    </w:p>
    <w:p>
      <w:pPr>
        <w:sectPr>
          <w:pgSz w:w="11880" w:h="15480" w:orient="portrait"/>
          <w:cols w:equalWidth="0" w:num="4">
            <w:col w:w="1680" w:space="120"/>
            <w:col w:w="1020" w:space="720"/>
            <w:col w:w="1660" w:space="120"/>
            <w:col w:w="5840"/>
          </w:cols>
          <w:pgMar w:left="360" w:top="1440" w:right="360" w:bottom="998" w:gutter="0" w:footer="0" w:header="0"/>
          <w:type w:val="continuous"/>
        </w:sectPr>
      </w:pPr>
    </w:p>
    <w:p>
      <w:pPr>
        <w:ind w:right="500"/>
        <w:spacing w:after="0" w:line="322" w:lineRule="auto"/>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Symbol" w:cs="Segoe UI Symbol" w:eastAsia="Segoe UI Symbol" w:hAnsi="Segoe UI Symbol"/>
          <w:sz w:val="14"/>
          <w:szCs w:val="14"/>
          <w:color w:val="auto"/>
        </w:rPr>
        <w:t>☐</w:t>
      </w:r>
    </w:p>
    <w:p>
      <w:pPr>
        <w:spacing w:after="0" w:line="1" w:lineRule="exact"/>
        <w:rPr>
          <w:sz w:val="24"/>
          <w:szCs w:val="24"/>
          <w:color w:val="auto"/>
        </w:rPr>
      </w:pPr>
    </w:p>
    <w:p>
      <w:pPr>
        <w:ind w:right="20"/>
        <w:spacing w:after="0" w:line="323" w:lineRule="auto"/>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Segoe UI Symbol" w:cs="Segoe UI Symbol" w:eastAsia="Segoe UI Symbol" w:hAnsi="Segoe UI Symbol"/>
          <w:sz w:val="14"/>
          <w:szCs w:val="14"/>
          <w:color w:val="auto"/>
        </w:rPr>
        <w:t>☒</w:t>
      </w:r>
    </w:p>
    <w:p>
      <w:pPr>
        <w:spacing w:after="0" w:line="1" w:lineRule="exact"/>
        <w:rPr>
          <w:sz w:val="24"/>
          <w:szCs w:val="24"/>
          <w:color w:val="auto"/>
        </w:rPr>
      </w:pPr>
    </w:p>
    <w:p>
      <w:pPr>
        <w:spacing w:after="0" w:line="322" w:lineRule="auto"/>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Symbol" w:cs="Segoe UI Symbol" w:eastAsia="Segoe UI Symbol" w:hAnsi="Segoe UI Symbol"/>
          <w:sz w:val="14"/>
          <w:szCs w:val="14"/>
          <w:color w:val="auto"/>
        </w:rPr>
        <w:t>☐</w:t>
      </w:r>
    </w:p>
    <w:p>
      <w:pPr>
        <w:spacing w:after="0" w:line="1" w:lineRule="exact"/>
        <w:rPr>
          <w:sz w:val="24"/>
          <w:szCs w:val="24"/>
          <w:color w:val="auto"/>
        </w:rPr>
      </w:pPr>
    </w:p>
    <w:p>
      <w:pPr>
        <w:ind w:right="680"/>
        <w:spacing w:after="0" w:line="301" w:lineRule="auto"/>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Segoe UI Symbol" w:cs="Segoe UI Symbol" w:eastAsia="Segoe UI Symbol" w:hAnsi="Segoe UI Symbol"/>
          <w:sz w:val="14"/>
          <w:szCs w:val="14"/>
          <w:color w:val="auto"/>
        </w:rPr>
        <w:t>☐</w:t>
      </w:r>
    </w:p>
    <w:p>
      <w:pPr>
        <w:spacing w:after="0" w:line="1" w:lineRule="exact"/>
        <w:rPr>
          <w:sz w:val="24"/>
          <w:szCs w:val="24"/>
          <w:color w:val="auto"/>
        </w:rPr>
      </w:pPr>
    </w:p>
    <w:p>
      <w:pPr>
        <w:spacing w:after="0"/>
        <w:tabs>
          <w:tab w:leader="none" w:pos="6440" w:val="left"/>
          <w:tab w:leader="none" w:pos="70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 xml:space="preserve">Yes </w:t>
      </w:r>
      <w:r>
        <w:rPr>
          <w:rFonts w:ascii="Segoe UI Symbol" w:cs="Segoe UI Symbol" w:eastAsia="Segoe UI Symbol" w:hAnsi="Segoe UI Symbol"/>
          <w:sz w:val="14"/>
          <w:szCs w:val="14"/>
          <w:color w:val="auto"/>
        </w:rPr>
        <w:t>☐</w:t>
      </w:r>
      <w:r>
        <w:rPr>
          <w:rFonts w:ascii="Arial" w:cs="Arial" w:eastAsia="Arial" w:hAnsi="Arial"/>
          <w:sz w:val="14"/>
          <w:szCs w:val="14"/>
          <w:color w:val="auto"/>
        </w:rPr>
        <w:tab/>
        <w:t xml:space="preserve">No </w:t>
      </w:r>
      <w:r>
        <w:rPr>
          <w:rFonts w:ascii="Segoe UI Symbol" w:cs="Segoe UI Symbol" w:eastAsia="Segoe UI Symbol" w:hAnsi="Segoe UI Symbol"/>
          <w:sz w:val="14"/>
          <w:szCs w:val="14"/>
          <w:color w:val="auto"/>
        </w:rPr>
        <w:t>☒</w:t>
      </w:r>
    </w:p>
    <w:p>
      <w:pPr>
        <w:spacing w:after="0" w:line="150" w:lineRule="exact"/>
        <w:rPr>
          <w:sz w:val="24"/>
          <w:szCs w:val="24"/>
          <w:color w:val="auto"/>
        </w:rPr>
      </w:pPr>
    </w:p>
    <w:p>
      <w:pPr>
        <w:ind w:right="140"/>
        <w:spacing w:after="0" w:line="261" w:lineRule="auto"/>
        <w:rPr>
          <w:sz w:val="20"/>
          <w:szCs w:val="20"/>
          <w:color w:val="auto"/>
        </w:rPr>
      </w:pPr>
      <w:r>
        <w:rPr>
          <w:rFonts w:ascii="Arial" w:cs="Arial" w:eastAsia="Arial" w:hAnsi="Arial"/>
          <w:sz w:val="14"/>
          <w:szCs w:val="14"/>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$241,618,980 as of August 2, 2025.</w:t>
      </w:r>
    </w:p>
    <w:p>
      <w:pPr>
        <w:spacing w:after="0" w:line="78" w:lineRule="exact"/>
        <w:rPr>
          <w:sz w:val="24"/>
          <w:szCs w:val="24"/>
          <w:color w:val="auto"/>
        </w:rPr>
      </w:pPr>
    </w:p>
    <w:p>
      <w:pPr>
        <w:ind w:right="560"/>
        <w:spacing w:after="0" w:line="281" w:lineRule="auto"/>
        <w:rPr>
          <w:sz w:val="20"/>
          <w:szCs w:val="20"/>
          <w:color w:val="auto"/>
        </w:rPr>
      </w:pPr>
      <w:r>
        <w:rPr>
          <w:rFonts w:ascii="Arial" w:cs="Arial" w:eastAsia="Arial" w:hAnsi="Arial"/>
          <w:sz w:val="14"/>
          <w:szCs w:val="14"/>
          <w:color w:val="auto"/>
        </w:rPr>
        <w:t>Indicate the number of shares outstanding of each of the registrant’s classes of common stock, as of the latest practicable date: Common Stock, par value $0.01 per share, 8,343,340 shares outstanding as of April 10, 2026.</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122" w:lineRule="exact"/>
        <w:rPr>
          <w:sz w:val="24"/>
          <w:szCs w:val="24"/>
          <w:color w:val="auto"/>
        </w:rPr>
      </w:pPr>
    </w:p>
    <w:p>
      <w:pPr>
        <w:ind w:right="380"/>
        <w:spacing w:after="0" w:line="283" w:lineRule="auto"/>
        <w:rPr>
          <w:sz w:val="20"/>
          <w:szCs w:val="20"/>
          <w:color w:val="auto"/>
        </w:rPr>
      </w:pPr>
      <w:r>
        <w:rPr>
          <w:rFonts w:ascii="Arial" w:cs="Arial" w:eastAsia="Arial" w:hAnsi="Arial"/>
          <w:sz w:val="14"/>
          <w:szCs w:val="14"/>
          <w:color w:val="auto"/>
        </w:rPr>
        <w:t>Part III incorporates information from the registrant’s definitive proxy statement, to be filed with the Securities and Exchange Commission within 120 days after the close of the registrant’s fiscal year covered by this Annual Report on Form 10-K, with respect to the Annual Meeting of Stockholders to be held on June 10, 2026.</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-13970</wp:posOffset>
                </wp:positionH>
                <wp:positionV relativeFrom="paragraph">
                  <wp:posOffset>171450</wp:posOffset>
                </wp:positionV>
                <wp:extent cx="711454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4540" cy="4763"/>
                        </a:xfrm>
                        <a:prstGeom prst="line">
                          <a:avLst/>
                        </a:prstGeom>
                        <a:solidFill>
                          <a:srgbClr val="FFFFFF"/>
                        </a:solidFill>
                        <a:ln w="38100">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999pt,13.5pt" to="559.1pt,13.5pt" o:allowincell="f" strokecolor="#000000" strokeweight="3pt"/>
            </w:pict>
          </mc:Fallback>
        </mc:AlternateContent>
        <mc:AlternateContent>
          <mc:Choice Requires="wps">
            <w:drawing>
              <wp:anchor simplePos="0" relativeHeight="251657728" behindDoc="1" locked="0" layoutInCell="0" allowOverlap="1">
                <wp:simplePos x="0" y="0"/>
                <wp:positionH relativeFrom="column">
                  <wp:posOffset>-13970</wp:posOffset>
                </wp:positionH>
                <wp:positionV relativeFrom="paragraph">
                  <wp:posOffset>138430</wp:posOffset>
                </wp:positionV>
                <wp:extent cx="711454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454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999pt,10.9pt" to="559.1pt,10.9pt" o:allowincell="f" strokecolor="#000000" strokeweight="0.72pt"/>
            </w:pict>
          </mc:Fallback>
        </mc:AlternateContent>
      </w:r>
    </w:p>
    <w:p>
      <w:pPr>
        <w:sectPr>
          <w:pgSz w:w="11880" w:h="15480" w:orient="portrait"/>
          <w:cols w:equalWidth="0" w:num="1">
            <w:col w:w="11160"/>
          </w:cols>
          <w:pgMar w:left="360" w:top="1440" w:right="360" w:bottom="998"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8"/>
        </w:trPr>
        <w:tc>
          <w:tcPr>
            <w:tcW w:w="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380" w:type="dxa"/>
            <w:vAlign w:val="bottom"/>
          </w:tcPr>
          <w:p>
            <w:pPr>
              <w:jc w:val="center"/>
              <w:ind w:right="1525"/>
              <w:spacing w:after="0"/>
              <w:rPr>
                <w:sz w:val="20"/>
                <w:szCs w:val="20"/>
                <w:color w:val="auto"/>
              </w:rPr>
            </w:pPr>
            <w:r>
              <w:rPr>
                <w:rFonts w:ascii="Arial" w:cs="Arial" w:eastAsia="Arial" w:hAnsi="Arial"/>
                <w:sz w:val="19"/>
                <w:szCs w:val="19"/>
                <w:b w:val="1"/>
                <w:bCs w:val="1"/>
                <w:color w:val="auto"/>
              </w:rPr>
              <w:t>CITI TRENDS, INC.</w:t>
            </w:r>
          </w:p>
        </w:tc>
        <w:tc>
          <w:tcPr>
            <w:tcW w:w="360" w:type="dxa"/>
            <w:vAlign w:val="bottom"/>
          </w:tcPr>
          <w:p>
            <w:pPr>
              <w:spacing w:after="0"/>
              <w:rPr>
                <w:sz w:val="18"/>
                <w:szCs w:val="18"/>
                <w:color w:val="auto"/>
              </w:rPr>
            </w:pPr>
          </w:p>
        </w:tc>
      </w:tr>
      <w:tr>
        <w:trPr>
          <w:trHeight w:val="218"/>
        </w:trPr>
        <w:tc>
          <w:tcPr>
            <w:tcW w:w="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380" w:type="dxa"/>
            <w:vAlign w:val="bottom"/>
          </w:tcPr>
          <w:p>
            <w:pPr>
              <w:jc w:val="center"/>
              <w:ind w:right="1525"/>
              <w:spacing w:after="0"/>
              <w:rPr>
                <w:sz w:val="20"/>
                <w:szCs w:val="20"/>
                <w:color w:val="auto"/>
              </w:rPr>
            </w:pPr>
            <w:r>
              <w:rPr>
                <w:rFonts w:ascii="Arial" w:cs="Arial" w:eastAsia="Arial" w:hAnsi="Arial"/>
                <w:sz w:val="19"/>
                <w:szCs w:val="19"/>
                <w:b w:val="1"/>
                <w:bCs w:val="1"/>
                <w:color w:val="auto"/>
              </w:rPr>
              <w:t>FORM 10-K</w:t>
            </w:r>
          </w:p>
        </w:tc>
        <w:tc>
          <w:tcPr>
            <w:tcW w:w="360" w:type="dxa"/>
            <w:vAlign w:val="bottom"/>
          </w:tcPr>
          <w:p>
            <w:pPr>
              <w:spacing w:after="0"/>
              <w:rPr>
                <w:sz w:val="18"/>
                <w:szCs w:val="18"/>
                <w:color w:val="auto"/>
              </w:rPr>
            </w:pPr>
          </w:p>
        </w:tc>
      </w:tr>
      <w:tr>
        <w:trPr>
          <w:trHeight w:val="270"/>
        </w:trPr>
        <w:tc>
          <w:tcPr>
            <w:tcW w:w="8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380" w:type="dxa"/>
            <w:vAlign w:val="bottom"/>
          </w:tcPr>
          <w:p>
            <w:pPr>
              <w:jc w:val="center"/>
              <w:ind w:right="1525"/>
              <w:spacing w:after="0"/>
              <w:rPr>
                <w:sz w:val="20"/>
                <w:szCs w:val="20"/>
                <w:color w:val="auto"/>
              </w:rPr>
            </w:pPr>
            <w:r>
              <w:rPr>
                <w:rFonts w:ascii="Arial" w:cs="Arial" w:eastAsia="Arial" w:hAnsi="Arial"/>
                <w:sz w:val="19"/>
                <w:szCs w:val="19"/>
                <w:b w:val="1"/>
                <w:bCs w:val="1"/>
                <w:color w:val="auto"/>
                <w:w w:val="99"/>
              </w:rPr>
              <w:t>TABLE OF CONTENTS</w:t>
            </w:r>
          </w:p>
        </w:tc>
        <w:tc>
          <w:tcPr>
            <w:tcW w:w="360" w:type="dxa"/>
            <w:vAlign w:val="bottom"/>
          </w:tcPr>
          <w:p>
            <w:pPr>
              <w:spacing w:after="0"/>
              <w:rPr>
                <w:sz w:val="23"/>
                <w:szCs w:val="23"/>
                <w:color w:val="auto"/>
              </w:rPr>
            </w:pPr>
          </w:p>
        </w:tc>
      </w:tr>
      <w:tr>
        <w:trPr>
          <w:trHeight w:val="410"/>
        </w:trPr>
        <w:tc>
          <w:tcPr>
            <w:tcW w:w="10400" w:type="dxa"/>
            <w:vAlign w:val="bottom"/>
            <w:gridSpan w:val="3"/>
          </w:tcPr>
          <w:p>
            <w:pPr>
              <w:spacing w:after="0"/>
              <w:rPr>
                <w:sz w:val="20"/>
                <w:szCs w:val="20"/>
                <w:color w:val="auto"/>
              </w:rPr>
            </w:pPr>
            <w:r>
              <w:rPr>
                <w:rFonts w:ascii="Arial" w:cs="Arial" w:eastAsia="Arial" w:hAnsi="Arial"/>
                <w:sz w:val="19"/>
                <w:szCs w:val="19"/>
                <w:b w:val="1"/>
                <w:bCs w:val="1"/>
                <w:color w:val="auto"/>
              </w:rPr>
              <w:t>10-K Part and Item No.</w:t>
            </w:r>
          </w:p>
        </w:tc>
        <w:tc>
          <w:tcPr>
            <w:tcW w:w="360" w:type="dxa"/>
            <w:vAlign w:val="bottom"/>
          </w:tcPr>
          <w:p>
            <w:pPr>
              <w:spacing w:after="0"/>
              <w:rPr>
                <w:sz w:val="24"/>
                <w:szCs w:val="24"/>
                <w:color w:val="auto"/>
              </w:rPr>
            </w:pPr>
          </w:p>
        </w:tc>
      </w:tr>
      <w:tr>
        <w:trPr>
          <w:trHeight w:val="420"/>
        </w:trPr>
        <w:tc>
          <w:tcPr>
            <w:tcW w:w="800" w:type="dxa"/>
            <w:vAlign w:val="bottom"/>
            <w:tcBorders>
              <w:top w:val="single" w:sz="8" w:color="auto"/>
            </w:tcBorders>
          </w:tcPr>
          <w:p>
            <w:pPr>
              <w:spacing w:after="0"/>
              <w:rPr>
                <w:sz w:val="20"/>
                <w:szCs w:val="20"/>
                <w:color w:val="auto"/>
              </w:rPr>
            </w:pPr>
            <w:r>
              <w:rPr>
                <w:rFonts w:ascii="Arial" w:cs="Arial" w:eastAsia="Arial" w:hAnsi="Arial"/>
                <w:sz w:val="19"/>
                <w:szCs w:val="19"/>
                <w:color w:val="auto"/>
              </w:rPr>
              <w:t>PART I</w:t>
            </w:r>
          </w:p>
        </w:tc>
        <w:tc>
          <w:tcPr>
            <w:tcW w:w="1220" w:type="dxa"/>
            <w:vAlign w:val="bottom"/>
            <w:tcBorders>
              <w:top w:val="single" w:sz="8" w:color="auto"/>
            </w:tcBorders>
          </w:tcPr>
          <w:p>
            <w:pPr>
              <w:spacing w:after="0"/>
              <w:rPr>
                <w:sz w:val="24"/>
                <w:szCs w:val="24"/>
                <w:color w:val="auto"/>
              </w:rPr>
            </w:pPr>
          </w:p>
        </w:tc>
        <w:tc>
          <w:tcPr>
            <w:tcW w:w="83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18"/>
        </w:trPr>
        <w:tc>
          <w:tcPr>
            <w:tcW w:w="800" w:type="dxa"/>
            <w:vAlign w:val="bottom"/>
          </w:tcPr>
          <w:p>
            <w:pPr>
              <w:spacing w:after="0"/>
              <w:rPr>
                <w:sz w:val="20"/>
                <w:szCs w:val="20"/>
                <w:color w:val="auto"/>
              </w:rPr>
            </w:pPr>
            <w:r>
              <w:rPr>
                <w:rFonts w:ascii="Arial" w:cs="Arial" w:eastAsia="Arial" w:hAnsi="Arial"/>
                <w:sz w:val="19"/>
                <w:szCs w:val="19"/>
                <w:color w:val="auto"/>
              </w:rPr>
              <w:t>Item 1.</w:t>
            </w:r>
          </w:p>
        </w:tc>
        <w:tc>
          <w:tcPr>
            <w:tcW w:w="9600" w:type="dxa"/>
            <w:vAlign w:val="bottom"/>
            <w:gridSpan w:val="2"/>
          </w:tcPr>
          <w:p>
            <w:pPr>
              <w:ind w:left="60"/>
              <w:spacing w:after="0"/>
              <w:rPr>
                <w:sz w:val="20"/>
                <w:szCs w:val="20"/>
                <w:color w:val="auto"/>
              </w:rPr>
            </w:pPr>
            <w:r>
              <w:rPr>
                <w:rFonts w:ascii="Arial" w:cs="Arial" w:eastAsia="Arial" w:hAnsi="Arial"/>
                <w:sz w:val="19"/>
                <w:szCs w:val="19"/>
                <w:color w:val="auto"/>
              </w:rPr>
              <w:t>Business</w:t>
            </w:r>
          </w:p>
        </w:tc>
        <w:tc>
          <w:tcPr>
            <w:tcW w:w="360" w:type="dxa"/>
            <w:vAlign w:val="bottom"/>
          </w:tcPr>
          <w:p>
            <w:pPr>
              <w:ind w:left="160"/>
              <w:spacing w:after="0"/>
              <w:rPr>
                <w:sz w:val="20"/>
                <w:szCs w:val="20"/>
                <w:color w:val="auto"/>
              </w:rPr>
            </w:pPr>
            <w:r>
              <w:rPr>
                <w:rFonts w:ascii="Arial" w:cs="Arial" w:eastAsia="Arial" w:hAnsi="Arial"/>
                <w:sz w:val="19"/>
                <w:szCs w:val="19"/>
                <w:color w:val="auto"/>
              </w:rPr>
              <w:t>3</w:t>
            </w:r>
          </w:p>
        </w:tc>
      </w:tr>
      <w:tr>
        <w:trPr>
          <w:trHeight w:val="218"/>
        </w:trPr>
        <w:tc>
          <w:tcPr>
            <w:tcW w:w="800" w:type="dxa"/>
            <w:vAlign w:val="bottom"/>
          </w:tcPr>
          <w:p>
            <w:pPr>
              <w:spacing w:after="0"/>
              <w:rPr>
                <w:sz w:val="20"/>
                <w:szCs w:val="20"/>
                <w:color w:val="auto"/>
              </w:rPr>
            </w:pPr>
            <w:r>
              <w:rPr>
                <w:rFonts w:ascii="Arial" w:cs="Arial" w:eastAsia="Arial" w:hAnsi="Arial"/>
                <w:sz w:val="19"/>
                <w:szCs w:val="19"/>
                <w:color w:val="auto"/>
              </w:rPr>
              <w:t>Item 1A.</w:t>
            </w:r>
          </w:p>
        </w:tc>
        <w:tc>
          <w:tcPr>
            <w:tcW w:w="9600" w:type="dxa"/>
            <w:vAlign w:val="bottom"/>
            <w:gridSpan w:val="2"/>
          </w:tcPr>
          <w:p>
            <w:pPr>
              <w:ind w:left="60"/>
              <w:spacing w:after="0"/>
              <w:rPr>
                <w:sz w:val="20"/>
                <w:szCs w:val="20"/>
                <w:color w:val="auto"/>
              </w:rPr>
            </w:pPr>
            <w:r>
              <w:rPr>
                <w:rFonts w:ascii="Arial" w:cs="Arial" w:eastAsia="Arial" w:hAnsi="Arial"/>
                <w:sz w:val="19"/>
                <w:szCs w:val="19"/>
                <w:color w:val="auto"/>
              </w:rPr>
              <w:t>Risk Factors</w:t>
            </w:r>
          </w:p>
        </w:tc>
        <w:tc>
          <w:tcPr>
            <w:tcW w:w="360" w:type="dxa"/>
            <w:vAlign w:val="bottom"/>
          </w:tcPr>
          <w:p>
            <w:pPr>
              <w:ind w:left="160"/>
              <w:spacing w:after="0"/>
              <w:rPr>
                <w:sz w:val="20"/>
                <w:szCs w:val="20"/>
                <w:color w:val="auto"/>
              </w:rPr>
            </w:pPr>
            <w:r>
              <w:rPr>
                <w:rFonts w:ascii="Arial" w:cs="Arial" w:eastAsia="Arial" w:hAnsi="Arial"/>
                <w:sz w:val="19"/>
                <w:szCs w:val="19"/>
                <w:color w:val="auto"/>
                <w:w w:val="84"/>
              </w:rPr>
              <w:t>10</w:t>
            </w:r>
          </w:p>
        </w:tc>
      </w:tr>
      <w:tr>
        <w:trPr>
          <w:trHeight w:val="218"/>
        </w:trPr>
        <w:tc>
          <w:tcPr>
            <w:tcW w:w="800" w:type="dxa"/>
            <w:vAlign w:val="bottom"/>
          </w:tcPr>
          <w:p>
            <w:pPr>
              <w:spacing w:after="0"/>
              <w:rPr>
                <w:sz w:val="20"/>
                <w:szCs w:val="20"/>
                <w:color w:val="auto"/>
              </w:rPr>
            </w:pPr>
            <w:r>
              <w:rPr>
                <w:rFonts w:ascii="Arial" w:cs="Arial" w:eastAsia="Arial" w:hAnsi="Arial"/>
                <w:sz w:val="19"/>
                <w:szCs w:val="19"/>
                <w:color w:val="auto"/>
              </w:rPr>
              <w:t>Item 1B.</w:t>
            </w:r>
          </w:p>
        </w:tc>
        <w:tc>
          <w:tcPr>
            <w:tcW w:w="9600" w:type="dxa"/>
            <w:vAlign w:val="bottom"/>
            <w:gridSpan w:val="2"/>
          </w:tcPr>
          <w:p>
            <w:pPr>
              <w:ind w:left="60"/>
              <w:spacing w:after="0"/>
              <w:rPr>
                <w:sz w:val="20"/>
                <w:szCs w:val="20"/>
                <w:color w:val="auto"/>
              </w:rPr>
            </w:pPr>
            <w:r>
              <w:rPr>
                <w:rFonts w:ascii="Arial" w:cs="Arial" w:eastAsia="Arial" w:hAnsi="Arial"/>
                <w:sz w:val="19"/>
                <w:szCs w:val="19"/>
                <w:color w:val="auto"/>
              </w:rPr>
              <w:t>Unresolved Staff Comments</w:t>
            </w:r>
          </w:p>
        </w:tc>
        <w:tc>
          <w:tcPr>
            <w:tcW w:w="360" w:type="dxa"/>
            <w:vAlign w:val="bottom"/>
          </w:tcPr>
          <w:p>
            <w:pPr>
              <w:ind w:left="160"/>
              <w:spacing w:after="0"/>
              <w:rPr>
                <w:sz w:val="20"/>
                <w:szCs w:val="20"/>
                <w:color w:val="auto"/>
              </w:rPr>
            </w:pPr>
            <w:r>
              <w:rPr>
                <w:rFonts w:ascii="Arial" w:cs="Arial" w:eastAsia="Arial" w:hAnsi="Arial"/>
                <w:sz w:val="19"/>
                <w:szCs w:val="19"/>
                <w:color w:val="auto"/>
                <w:w w:val="84"/>
              </w:rPr>
              <w:t>19</w:t>
            </w:r>
          </w:p>
        </w:tc>
      </w:tr>
      <w:tr>
        <w:trPr>
          <w:trHeight w:val="218"/>
        </w:trPr>
        <w:tc>
          <w:tcPr>
            <w:tcW w:w="800" w:type="dxa"/>
            <w:vAlign w:val="bottom"/>
          </w:tcPr>
          <w:p>
            <w:pPr>
              <w:spacing w:after="0"/>
              <w:rPr>
                <w:sz w:val="20"/>
                <w:szCs w:val="20"/>
                <w:color w:val="auto"/>
              </w:rPr>
            </w:pPr>
            <w:r>
              <w:rPr>
                <w:rFonts w:ascii="Arial" w:cs="Arial" w:eastAsia="Arial" w:hAnsi="Arial"/>
                <w:sz w:val="19"/>
                <w:szCs w:val="19"/>
                <w:color w:val="auto"/>
              </w:rPr>
              <w:t>Item 1C.</w:t>
            </w:r>
          </w:p>
        </w:tc>
        <w:tc>
          <w:tcPr>
            <w:tcW w:w="9600" w:type="dxa"/>
            <w:vAlign w:val="bottom"/>
            <w:gridSpan w:val="2"/>
          </w:tcPr>
          <w:p>
            <w:pPr>
              <w:ind w:left="60"/>
              <w:spacing w:after="0"/>
              <w:rPr>
                <w:sz w:val="20"/>
                <w:szCs w:val="20"/>
                <w:color w:val="auto"/>
              </w:rPr>
            </w:pPr>
            <w:r>
              <w:rPr>
                <w:rFonts w:ascii="Arial" w:cs="Arial" w:eastAsia="Arial" w:hAnsi="Arial"/>
                <w:sz w:val="19"/>
                <w:szCs w:val="19"/>
                <w:color w:val="auto"/>
              </w:rPr>
              <w:t>Cybersecurity</w:t>
            </w:r>
          </w:p>
        </w:tc>
        <w:tc>
          <w:tcPr>
            <w:tcW w:w="360" w:type="dxa"/>
            <w:vAlign w:val="bottom"/>
          </w:tcPr>
          <w:p>
            <w:pPr>
              <w:ind w:left="160"/>
              <w:spacing w:after="0"/>
              <w:rPr>
                <w:sz w:val="20"/>
                <w:szCs w:val="20"/>
                <w:color w:val="auto"/>
              </w:rPr>
            </w:pPr>
            <w:r>
              <w:rPr>
                <w:rFonts w:ascii="Arial" w:cs="Arial" w:eastAsia="Arial" w:hAnsi="Arial"/>
                <w:sz w:val="19"/>
                <w:szCs w:val="19"/>
                <w:color w:val="auto"/>
                <w:w w:val="84"/>
              </w:rPr>
              <w:t>20</w:t>
            </w:r>
          </w:p>
        </w:tc>
      </w:tr>
      <w:tr>
        <w:trPr>
          <w:trHeight w:val="218"/>
        </w:trPr>
        <w:tc>
          <w:tcPr>
            <w:tcW w:w="800" w:type="dxa"/>
            <w:vAlign w:val="bottom"/>
          </w:tcPr>
          <w:p>
            <w:pPr>
              <w:spacing w:after="0"/>
              <w:rPr>
                <w:sz w:val="20"/>
                <w:szCs w:val="20"/>
                <w:color w:val="auto"/>
              </w:rPr>
            </w:pPr>
            <w:r>
              <w:rPr>
                <w:rFonts w:ascii="Arial" w:cs="Arial" w:eastAsia="Arial" w:hAnsi="Arial"/>
                <w:sz w:val="19"/>
                <w:szCs w:val="19"/>
                <w:color w:val="auto"/>
              </w:rPr>
              <w:t>Item 2.</w:t>
            </w:r>
          </w:p>
        </w:tc>
        <w:tc>
          <w:tcPr>
            <w:tcW w:w="9600" w:type="dxa"/>
            <w:vAlign w:val="bottom"/>
            <w:gridSpan w:val="2"/>
          </w:tcPr>
          <w:p>
            <w:pPr>
              <w:ind w:left="60"/>
              <w:spacing w:after="0"/>
              <w:rPr>
                <w:sz w:val="20"/>
                <w:szCs w:val="20"/>
                <w:color w:val="auto"/>
              </w:rPr>
            </w:pPr>
            <w:r>
              <w:rPr>
                <w:rFonts w:ascii="Arial" w:cs="Arial" w:eastAsia="Arial" w:hAnsi="Arial"/>
                <w:sz w:val="19"/>
                <w:szCs w:val="19"/>
                <w:color w:val="auto"/>
              </w:rPr>
              <w:t>Properties</w:t>
            </w:r>
          </w:p>
        </w:tc>
        <w:tc>
          <w:tcPr>
            <w:tcW w:w="360" w:type="dxa"/>
            <w:vAlign w:val="bottom"/>
          </w:tcPr>
          <w:p>
            <w:pPr>
              <w:ind w:left="160"/>
              <w:spacing w:after="0"/>
              <w:rPr>
                <w:sz w:val="20"/>
                <w:szCs w:val="20"/>
                <w:color w:val="auto"/>
              </w:rPr>
            </w:pPr>
            <w:r>
              <w:rPr>
                <w:rFonts w:ascii="Arial" w:cs="Arial" w:eastAsia="Arial" w:hAnsi="Arial"/>
                <w:sz w:val="19"/>
                <w:szCs w:val="19"/>
                <w:color w:val="auto"/>
                <w:w w:val="84"/>
              </w:rPr>
              <w:t>21</w:t>
            </w:r>
          </w:p>
        </w:tc>
      </w:tr>
      <w:tr>
        <w:trPr>
          <w:trHeight w:val="218"/>
        </w:trPr>
        <w:tc>
          <w:tcPr>
            <w:tcW w:w="800" w:type="dxa"/>
            <w:vAlign w:val="bottom"/>
          </w:tcPr>
          <w:p>
            <w:pPr>
              <w:spacing w:after="0"/>
              <w:rPr>
                <w:sz w:val="20"/>
                <w:szCs w:val="20"/>
                <w:color w:val="auto"/>
              </w:rPr>
            </w:pPr>
            <w:r>
              <w:rPr>
                <w:rFonts w:ascii="Arial" w:cs="Arial" w:eastAsia="Arial" w:hAnsi="Arial"/>
                <w:sz w:val="19"/>
                <w:szCs w:val="19"/>
                <w:color w:val="auto"/>
              </w:rPr>
              <w:t>Item 3.</w:t>
            </w:r>
          </w:p>
        </w:tc>
        <w:tc>
          <w:tcPr>
            <w:tcW w:w="9600" w:type="dxa"/>
            <w:vAlign w:val="bottom"/>
            <w:gridSpan w:val="2"/>
          </w:tcPr>
          <w:p>
            <w:pPr>
              <w:ind w:left="60"/>
              <w:spacing w:after="0"/>
              <w:rPr>
                <w:sz w:val="20"/>
                <w:szCs w:val="20"/>
                <w:color w:val="auto"/>
              </w:rPr>
            </w:pPr>
            <w:r>
              <w:rPr>
                <w:rFonts w:ascii="Arial" w:cs="Arial" w:eastAsia="Arial" w:hAnsi="Arial"/>
                <w:sz w:val="19"/>
                <w:szCs w:val="19"/>
                <w:color w:val="auto"/>
              </w:rPr>
              <w:t>Legal Proceedings</w:t>
            </w:r>
          </w:p>
        </w:tc>
        <w:tc>
          <w:tcPr>
            <w:tcW w:w="360" w:type="dxa"/>
            <w:vAlign w:val="bottom"/>
          </w:tcPr>
          <w:p>
            <w:pPr>
              <w:ind w:left="160"/>
              <w:spacing w:after="0"/>
              <w:rPr>
                <w:sz w:val="20"/>
                <w:szCs w:val="20"/>
                <w:color w:val="auto"/>
              </w:rPr>
            </w:pPr>
            <w:r>
              <w:rPr>
                <w:rFonts w:ascii="Arial" w:cs="Arial" w:eastAsia="Arial" w:hAnsi="Arial"/>
                <w:sz w:val="19"/>
                <w:szCs w:val="19"/>
                <w:color w:val="auto"/>
                <w:w w:val="84"/>
              </w:rPr>
              <w:t>22</w:t>
            </w:r>
          </w:p>
        </w:tc>
      </w:tr>
      <w:tr>
        <w:trPr>
          <w:trHeight w:val="256"/>
        </w:trPr>
        <w:tc>
          <w:tcPr>
            <w:tcW w:w="800" w:type="dxa"/>
            <w:vAlign w:val="bottom"/>
          </w:tcPr>
          <w:p>
            <w:pPr>
              <w:spacing w:after="0"/>
              <w:rPr>
                <w:sz w:val="20"/>
                <w:szCs w:val="20"/>
                <w:color w:val="auto"/>
              </w:rPr>
            </w:pPr>
            <w:r>
              <w:rPr>
                <w:rFonts w:ascii="Arial" w:cs="Arial" w:eastAsia="Arial" w:hAnsi="Arial"/>
                <w:sz w:val="19"/>
                <w:szCs w:val="19"/>
                <w:color w:val="auto"/>
              </w:rPr>
              <w:t>Item 4.</w:t>
            </w:r>
          </w:p>
        </w:tc>
        <w:tc>
          <w:tcPr>
            <w:tcW w:w="9600" w:type="dxa"/>
            <w:vAlign w:val="bottom"/>
            <w:gridSpan w:val="2"/>
          </w:tcPr>
          <w:p>
            <w:pPr>
              <w:ind w:left="60"/>
              <w:spacing w:after="0"/>
              <w:rPr>
                <w:sz w:val="20"/>
                <w:szCs w:val="20"/>
                <w:color w:val="auto"/>
              </w:rPr>
            </w:pPr>
            <w:r>
              <w:rPr>
                <w:rFonts w:ascii="Arial" w:cs="Arial" w:eastAsia="Arial" w:hAnsi="Arial"/>
                <w:sz w:val="19"/>
                <w:szCs w:val="19"/>
                <w:color w:val="auto"/>
              </w:rPr>
              <w:t>Mine Safety Disclosures</w:t>
            </w:r>
          </w:p>
        </w:tc>
        <w:tc>
          <w:tcPr>
            <w:tcW w:w="360" w:type="dxa"/>
            <w:vAlign w:val="bottom"/>
          </w:tcPr>
          <w:p>
            <w:pPr>
              <w:ind w:left="160"/>
              <w:spacing w:after="0"/>
              <w:rPr>
                <w:sz w:val="20"/>
                <w:szCs w:val="20"/>
                <w:color w:val="auto"/>
              </w:rPr>
            </w:pPr>
            <w:r>
              <w:rPr>
                <w:rFonts w:ascii="Arial" w:cs="Arial" w:eastAsia="Arial" w:hAnsi="Arial"/>
                <w:sz w:val="19"/>
                <w:szCs w:val="19"/>
                <w:color w:val="auto"/>
                <w:w w:val="84"/>
              </w:rPr>
              <w:t>22</w:t>
            </w:r>
          </w:p>
        </w:tc>
      </w:tr>
      <w:tr>
        <w:trPr>
          <w:trHeight w:val="400"/>
        </w:trPr>
        <w:tc>
          <w:tcPr>
            <w:tcW w:w="800" w:type="dxa"/>
            <w:vAlign w:val="bottom"/>
          </w:tcPr>
          <w:p>
            <w:pPr>
              <w:spacing w:after="0"/>
              <w:rPr>
                <w:sz w:val="20"/>
                <w:szCs w:val="20"/>
                <w:color w:val="auto"/>
              </w:rPr>
            </w:pPr>
            <w:r>
              <w:rPr>
                <w:rFonts w:ascii="Arial" w:cs="Arial" w:eastAsia="Arial" w:hAnsi="Arial"/>
                <w:sz w:val="19"/>
                <w:szCs w:val="19"/>
                <w:color w:val="auto"/>
              </w:rPr>
              <w:t>PART II</w:t>
            </w:r>
          </w:p>
        </w:tc>
        <w:tc>
          <w:tcPr>
            <w:tcW w:w="1220" w:type="dxa"/>
            <w:vAlign w:val="bottom"/>
          </w:tcPr>
          <w:p>
            <w:pPr>
              <w:spacing w:after="0"/>
              <w:rPr>
                <w:sz w:val="24"/>
                <w:szCs w:val="24"/>
                <w:color w:val="auto"/>
              </w:rPr>
            </w:pPr>
          </w:p>
        </w:tc>
        <w:tc>
          <w:tcPr>
            <w:tcW w:w="83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18"/>
        </w:trPr>
        <w:tc>
          <w:tcPr>
            <w:tcW w:w="800" w:type="dxa"/>
            <w:vAlign w:val="bottom"/>
          </w:tcPr>
          <w:p>
            <w:pPr>
              <w:spacing w:after="0"/>
              <w:rPr>
                <w:sz w:val="20"/>
                <w:szCs w:val="20"/>
                <w:color w:val="auto"/>
              </w:rPr>
            </w:pPr>
            <w:r>
              <w:rPr>
                <w:rFonts w:ascii="Arial" w:cs="Arial" w:eastAsia="Arial" w:hAnsi="Arial"/>
                <w:sz w:val="19"/>
                <w:szCs w:val="19"/>
                <w:color w:val="auto"/>
              </w:rPr>
              <w:t>Item 5.</w:t>
            </w:r>
          </w:p>
        </w:tc>
        <w:tc>
          <w:tcPr>
            <w:tcW w:w="9600" w:type="dxa"/>
            <w:vAlign w:val="bottom"/>
            <w:gridSpan w:val="2"/>
          </w:tcPr>
          <w:p>
            <w:pPr>
              <w:ind w:left="60"/>
              <w:spacing w:after="0"/>
              <w:rPr>
                <w:sz w:val="20"/>
                <w:szCs w:val="20"/>
                <w:color w:val="auto"/>
              </w:rPr>
            </w:pPr>
            <w:r>
              <w:rPr>
                <w:rFonts w:ascii="Arial" w:cs="Arial" w:eastAsia="Arial" w:hAnsi="Arial"/>
                <w:sz w:val="19"/>
                <w:szCs w:val="19"/>
                <w:color w:val="auto"/>
              </w:rPr>
              <w:t>Market for Registrant’s Common Equity, Related Stockholder Matters and Issuer Purchases of Equity Securities</w:t>
            </w:r>
          </w:p>
        </w:tc>
        <w:tc>
          <w:tcPr>
            <w:tcW w:w="360" w:type="dxa"/>
            <w:vAlign w:val="bottom"/>
          </w:tcPr>
          <w:p>
            <w:pPr>
              <w:ind w:left="160"/>
              <w:spacing w:after="0"/>
              <w:rPr>
                <w:sz w:val="20"/>
                <w:szCs w:val="20"/>
                <w:color w:val="auto"/>
              </w:rPr>
            </w:pPr>
            <w:r>
              <w:rPr>
                <w:rFonts w:ascii="Arial" w:cs="Arial" w:eastAsia="Arial" w:hAnsi="Arial"/>
                <w:sz w:val="19"/>
                <w:szCs w:val="19"/>
                <w:color w:val="auto"/>
                <w:w w:val="84"/>
              </w:rPr>
              <w:t>22</w:t>
            </w:r>
          </w:p>
        </w:tc>
      </w:tr>
      <w:tr>
        <w:trPr>
          <w:trHeight w:val="218"/>
        </w:trPr>
        <w:tc>
          <w:tcPr>
            <w:tcW w:w="800" w:type="dxa"/>
            <w:vAlign w:val="bottom"/>
          </w:tcPr>
          <w:p>
            <w:pPr>
              <w:spacing w:after="0"/>
              <w:rPr>
                <w:sz w:val="20"/>
                <w:szCs w:val="20"/>
                <w:color w:val="auto"/>
              </w:rPr>
            </w:pPr>
            <w:r>
              <w:rPr>
                <w:rFonts w:ascii="Arial" w:cs="Arial" w:eastAsia="Arial" w:hAnsi="Arial"/>
                <w:sz w:val="19"/>
                <w:szCs w:val="19"/>
                <w:color w:val="auto"/>
              </w:rPr>
              <w:t>Item 6.</w:t>
            </w:r>
          </w:p>
        </w:tc>
        <w:tc>
          <w:tcPr>
            <w:tcW w:w="9600" w:type="dxa"/>
            <w:vAlign w:val="bottom"/>
            <w:gridSpan w:val="2"/>
          </w:tcPr>
          <w:p>
            <w:pPr>
              <w:ind w:left="60"/>
              <w:spacing w:after="0"/>
              <w:rPr>
                <w:sz w:val="20"/>
                <w:szCs w:val="20"/>
                <w:color w:val="auto"/>
              </w:rPr>
            </w:pPr>
            <w:r>
              <w:rPr>
                <w:rFonts w:ascii="Arial" w:cs="Arial" w:eastAsia="Arial" w:hAnsi="Arial"/>
                <w:sz w:val="19"/>
                <w:szCs w:val="19"/>
                <w:color w:val="auto"/>
              </w:rPr>
              <w:t>[Reserved]</w:t>
            </w:r>
          </w:p>
        </w:tc>
        <w:tc>
          <w:tcPr>
            <w:tcW w:w="360" w:type="dxa"/>
            <w:vAlign w:val="bottom"/>
          </w:tcPr>
          <w:p>
            <w:pPr>
              <w:ind w:left="160"/>
              <w:spacing w:after="0"/>
              <w:rPr>
                <w:sz w:val="20"/>
                <w:szCs w:val="20"/>
                <w:color w:val="auto"/>
              </w:rPr>
            </w:pPr>
            <w:r>
              <w:rPr>
                <w:rFonts w:ascii="Arial" w:cs="Arial" w:eastAsia="Arial" w:hAnsi="Arial"/>
                <w:sz w:val="19"/>
                <w:szCs w:val="19"/>
                <w:color w:val="auto"/>
                <w:w w:val="84"/>
              </w:rPr>
              <w:t>23</w:t>
            </w:r>
          </w:p>
        </w:tc>
      </w:tr>
      <w:tr>
        <w:trPr>
          <w:trHeight w:val="218"/>
        </w:trPr>
        <w:tc>
          <w:tcPr>
            <w:tcW w:w="800" w:type="dxa"/>
            <w:vAlign w:val="bottom"/>
          </w:tcPr>
          <w:p>
            <w:pPr>
              <w:spacing w:after="0"/>
              <w:rPr>
                <w:sz w:val="20"/>
                <w:szCs w:val="20"/>
                <w:color w:val="auto"/>
              </w:rPr>
            </w:pPr>
            <w:r>
              <w:rPr>
                <w:rFonts w:ascii="Arial" w:cs="Arial" w:eastAsia="Arial" w:hAnsi="Arial"/>
                <w:sz w:val="19"/>
                <w:szCs w:val="19"/>
                <w:color w:val="auto"/>
              </w:rPr>
              <w:t>Item 7.</w:t>
            </w:r>
          </w:p>
        </w:tc>
        <w:tc>
          <w:tcPr>
            <w:tcW w:w="9600" w:type="dxa"/>
            <w:vAlign w:val="bottom"/>
            <w:gridSpan w:val="2"/>
          </w:tcPr>
          <w:p>
            <w:pPr>
              <w:ind w:left="60"/>
              <w:spacing w:after="0"/>
              <w:rPr>
                <w:sz w:val="20"/>
                <w:szCs w:val="20"/>
                <w:color w:val="auto"/>
              </w:rPr>
            </w:pPr>
            <w:r>
              <w:rPr>
                <w:rFonts w:ascii="Arial" w:cs="Arial" w:eastAsia="Arial" w:hAnsi="Arial"/>
                <w:sz w:val="19"/>
                <w:szCs w:val="19"/>
                <w:color w:val="auto"/>
              </w:rPr>
              <w:t>Management’s Discussion and Analysis of Financial Condition and Results of Operations</w:t>
            </w:r>
          </w:p>
        </w:tc>
        <w:tc>
          <w:tcPr>
            <w:tcW w:w="360" w:type="dxa"/>
            <w:vAlign w:val="bottom"/>
          </w:tcPr>
          <w:p>
            <w:pPr>
              <w:ind w:left="160"/>
              <w:spacing w:after="0"/>
              <w:rPr>
                <w:sz w:val="20"/>
                <w:szCs w:val="20"/>
                <w:color w:val="auto"/>
              </w:rPr>
            </w:pPr>
            <w:r>
              <w:rPr>
                <w:rFonts w:ascii="Arial" w:cs="Arial" w:eastAsia="Arial" w:hAnsi="Arial"/>
                <w:sz w:val="19"/>
                <w:szCs w:val="19"/>
                <w:color w:val="auto"/>
                <w:w w:val="84"/>
              </w:rPr>
              <w:t>24</w:t>
            </w:r>
          </w:p>
        </w:tc>
      </w:tr>
      <w:tr>
        <w:trPr>
          <w:trHeight w:val="218"/>
        </w:trPr>
        <w:tc>
          <w:tcPr>
            <w:tcW w:w="800" w:type="dxa"/>
            <w:vAlign w:val="bottom"/>
          </w:tcPr>
          <w:p>
            <w:pPr>
              <w:spacing w:after="0"/>
              <w:rPr>
                <w:sz w:val="20"/>
                <w:szCs w:val="20"/>
                <w:color w:val="auto"/>
              </w:rPr>
            </w:pPr>
            <w:r>
              <w:rPr>
                <w:rFonts w:ascii="Arial" w:cs="Arial" w:eastAsia="Arial" w:hAnsi="Arial"/>
                <w:sz w:val="19"/>
                <w:szCs w:val="19"/>
                <w:color w:val="auto"/>
              </w:rPr>
              <w:t>Item 7A.</w:t>
            </w:r>
          </w:p>
        </w:tc>
        <w:tc>
          <w:tcPr>
            <w:tcW w:w="9600" w:type="dxa"/>
            <w:vAlign w:val="bottom"/>
            <w:gridSpan w:val="2"/>
          </w:tcPr>
          <w:p>
            <w:pPr>
              <w:ind w:left="60"/>
              <w:spacing w:after="0"/>
              <w:rPr>
                <w:sz w:val="20"/>
                <w:szCs w:val="20"/>
                <w:color w:val="auto"/>
              </w:rPr>
            </w:pPr>
            <w:r>
              <w:rPr>
                <w:rFonts w:ascii="Arial" w:cs="Arial" w:eastAsia="Arial" w:hAnsi="Arial"/>
                <w:sz w:val="19"/>
                <w:szCs w:val="19"/>
                <w:color w:val="auto"/>
              </w:rPr>
              <w:t>Quantitative and Qualitative Disclosures About Market Risk</w:t>
            </w:r>
          </w:p>
        </w:tc>
        <w:tc>
          <w:tcPr>
            <w:tcW w:w="360" w:type="dxa"/>
            <w:vAlign w:val="bottom"/>
          </w:tcPr>
          <w:p>
            <w:pPr>
              <w:ind w:left="160"/>
              <w:spacing w:after="0"/>
              <w:rPr>
                <w:sz w:val="20"/>
                <w:szCs w:val="20"/>
                <w:color w:val="auto"/>
              </w:rPr>
            </w:pPr>
            <w:r>
              <w:rPr>
                <w:rFonts w:ascii="Arial" w:cs="Arial" w:eastAsia="Arial" w:hAnsi="Arial"/>
                <w:sz w:val="19"/>
                <w:szCs w:val="19"/>
                <w:color w:val="auto"/>
                <w:w w:val="84"/>
              </w:rPr>
              <w:t>29</w:t>
            </w:r>
          </w:p>
        </w:tc>
      </w:tr>
      <w:tr>
        <w:trPr>
          <w:trHeight w:val="218"/>
        </w:trPr>
        <w:tc>
          <w:tcPr>
            <w:tcW w:w="800" w:type="dxa"/>
            <w:vAlign w:val="bottom"/>
          </w:tcPr>
          <w:p>
            <w:pPr>
              <w:spacing w:after="0"/>
              <w:rPr>
                <w:sz w:val="20"/>
                <w:szCs w:val="20"/>
                <w:color w:val="auto"/>
              </w:rPr>
            </w:pPr>
            <w:r>
              <w:rPr>
                <w:rFonts w:ascii="Arial" w:cs="Arial" w:eastAsia="Arial" w:hAnsi="Arial"/>
                <w:sz w:val="19"/>
                <w:szCs w:val="19"/>
                <w:color w:val="auto"/>
              </w:rPr>
              <w:t>Item 8.</w:t>
            </w:r>
          </w:p>
        </w:tc>
        <w:tc>
          <w:tcPr>
            <w:tcW w:w="9600" w:type="dxa"/>
            <w:vAlign w:val="bottom"/>
            <w:gridSpan w:val="2"/>
          </w:tcPr>
          <w:p>
            <w:pPr>
              <w:ind w:left="60"/>
              <w:spacing w:after="0"/>
              <w:rPr>
                <w:sz w:val="20"/>
                <w:szCs w:val="20"/>
                <w:color w:val="auto"/>
              </w:rPr>
            </w:pPr>
            <w:r>
              <w:rPr>
                <w:rFonts w:ascii="Arial" w:cs="Arial" w:eastAsia="Arial" w:hAnsi="Arial"/>
                <w:sz w:val="19"/>
                <w:szCs w:val="19"/>
                <w:color w:val="auto"/>
              </w:rPr>
              <w:t>Financial Statements and Supplementary Data</w:t>
            </w:r>
          </w:p>
        </w:tc>
        <w:tc>
          <w:tcPr>
            <w:tcW w:w="360" w:type="dxa"/>
            <w:vAlign w:val="bottom"/>
          </w:tcPr>
          <w:p>
            <w:pPr>
              <w:ind w:left="160"/>
              <w:spacing w:after="0"/>
              <w:rPr>
                <w:sz w:val="20"/>
                <w:szCs w:val="20"/>
                <w:color w:val="auto"/>
              </w:rPr>
            </w:pPr>
            <w:r>
              <w:rPr>
                <w:rFonts w:ascii="Arial" w:cs="Arial" w:eastAsia="Arial" w:hAnsi="Arial"/>
                <w:sz w:val="19"/>
                <w:szCs w:val="19"/>
                <w:color w:val="auto"/>
                <w:w w:val="84"/>
              </w:rPr>
              <w:t>30</w:t>
            </w:r>
          </w:p>
        </w:tc>
      </w:tr>
      <w:tr>
        <w:trPr>
          <w:trHeight w:val="220"/>
        </w:trPr>
        <w:tc>
          <w:tcPr>
            <w:tcW w:w="800" w:type="dxa"/>
            <w:vAlign w:val="bottom"/>
          </w:tcPr>
          <w:p>
            <w:pPr>
              <w:spacing w:after="0"/>
              <w:rPr>
                <w:sz w:val="20"/>
                <w:szCs w:val="20"/>
                <w:color w:val="auto"/>
              </w:rPr>
            </w:pPr>
            <w:r>
              <w:rPr>
                <w:rFonts w:ascii="Arial" w:cs="Arial" w:eastAsia="Arial" w:hAnsi="Arial"/>
                <w:sz w:val="19"/>
                <w:szCs w:val="19"/>
                <w:color w:val="auto"/>
              </w:rPr>
              <w:t>Item 9.</w:t>
            </w:r>
          </w:p>
        </w:tc>
        <w:tc>
          <w:tcPr>
            <w:tcW w:w="9600" w:type="dxa"/>
            <w:vAlign w:val="bottom"/>
            <w:gridSpan w:val="2"/>
          </w:tcPr>
          <w:p>
            <w:pPr>
              <w:ind w:left="60"/>
              <w:spacing w:after="0"/>
              <w:rPr>
                <w:sz w:val="20"/>
                <w:szCs w:val="20"/>
                <w:color w:val="auto"/>
              </w:rPr>
            </w:pPr>
            <w:r>
              <w:rPr>
                <w:rFonts w:ascii="Arial" w:cs="Arial" w:eastAsia="Arial" w:hAnsi="Arial"/>
                <w:sz w:val="19"/>
                <w:szCs w:val="19"/>
                <w:color w:val="auto"/>
              </w:rPr>
              <w:t>Changes in and Disagreements with Accountants on Accounting and Financial Disclosure</w:t>
            </w:r>
          </w:p>
        </w:tc>
        <w:tc>
          <w:tcPr>
            <w:tcW w:w="360" w:type="dxa"/>
            <w:vAlign w:val="bottom"/>
          </w:tcPr>
          <w:p>
            <w:pPr>
              <w:ind w:left="160"/>
              <w:spacing w:after="0"/>
              <w:rPr>
                <w:sz w:val="20"/>
                <w:szCs w:val="20"/>
                <w:color w:val="auto"/>
              </w:rPr>
            </w:pPr>
            <w:r>
              <w:rPr>
                <w:rFonts w:ascii="Arial" w:cs="Arial" w:eastAsia="Arial" w:hAnsi="Arial"/>
                <w:sz w:val="19"/>
                <w:szCs w:val="19"/>
                <w:color w:val="auto"/>
                <w:w w:val="84"/>
              </w:rPr>
              <w:t>48</w:t>
            </w:r>
          </w:p>
        </w:tc>
      </w:tr>
      <w:tr>
        <w:trPr>
          <w:trHeight w:val="218"/>
        </w:trPr>
        <w:tc>
          <w:tcPr>
            <w:tcW w:w="800" w:type="dxa"/>
            <w:vAlign w:val="bottom"/>
          </w:tcPr>
          <w:p>
            <w:pPr>
              <w:spacing w:after="0"/>
              <w:rPr>
                <w:sz w:val="20"/>
                <w:szCs w:val="20"/>
                <w:color w:val="auto"/>
              </w:rPr>
            </w:pPr>
            <w:r>
              <w:rPr>
                <w:rFonts w:ascii="Arial" w:cs="Arial" w:eastAsia="Arial" w:hAnsi="Arial"/>
                <w:sz w:val="19"/>
                <w:szCs w:val="19"/>
                <w:color w:val="auto"/>
              </w:rPr>
              <w:t>Item 9A.</w:t>
            </w:r>
          </w:p>
        </w:tc>
        <w:tc>
          <w:tcPr>
            <w:tcW w:w="9600" w:type="dxa"/>
            <w:vAlign w:val="bottom"/>
            <w:gridSpan w:val="2"/>
          </w:tcPr>
          <w:p>
            <w:pPr>
              <w:ind w:left="60"/>
              <w:spacing w:after="0"/>
              <w:rPr>
                <w:sz w:val="20"/>
                <w:szCs w:val="20"/>
                <w:color w:val="auto"/>
              </w:rPr>
            </w:pPr>
            <w:r>
              <w:rPr>
                <w:rFonts w:ascii="Arial" w:cs="Arial" w:eastAsia="Arial" w:hAnsi="Arial"/>
                <w:sz w:val="19"/>
                <w:szCs w:val="19"/>
                <w:color w:val="auto"/>
              </w:rPr>
              <w:t>Controls and Procedures</w:t>
            </w:r>
          </w:p>
        </w:tc>
        <w:tc>
          <w:tcPr>
            <w:tcW w:w="360" w:type="dxa"/>
            <w:vAlign w:val="bottom"/>
          </w:tcPr>
          <w:p>
            <w:pPr>
              <w:ind w:left="160"/>
              <w:spacing w:after="0"/>
              <w:rPr>
                <w:sz w:val="20"/>
                <w:szCs w:val="20"/>
                <w:color w:val="auto"/>
              </w:rPr>
            </w:pPr>
            <w:r>
              <w:rPr>
                <w:rFonts w:ascii="Arial" w:cs="Arial" w:eastAsia="Arial" w:hAnsi="Arial"/>
                <w:sz w:val="19"/>
                <w:szCs w:val="19"/>
                <w:color w:val="auto"/>
                <w:w w:val="84"/>
              </w:rPr>
              <w:t>48</w:t>
            </w:r>
          </w:p>
        </w:tc>
      </w:tr>
      <w:tr>
        <w:trPr>
          <w:trHeight w:val="218"/>
        </w:trPr>
        <w:tc>
          <w:tcPr>
            <w:tcW w:w="800" w:type="dxa"/>
            <w:vAlign w:val="bottom"/>
          </w:tcPr>
          <w:p>
            <w:pPr>
              <w:spacing w:after="0"/>
              <w:rPr>
                <w:sz w:val="20"/>
                <w:szCs w:val="20"/>
                <w:color w:val="auto"/>
              </w:rPr>
            </w:pPr>
            <w:r>
              <w:rPr>
                <w:rFonts w:ascii="Arial" w:cs="Arial" w:eastAsia="Arial" w:hAnsi="Arial"/>
                <w:sz w:val="19"/>
                <w:szCs w:val="19"/>
                <w:color w:val="auto"/>
              </w:rPr>
              <w:t>Item 9B.</w:t>
            </w:r>
          </w:p>
        </w:tc>
        <w:tc>
          <w:tcPr>
            <w:tcW w:w="9600" w:type="dxa"/>
            <w:vAlign w:val="bottom"/>
            <w:gridSpan w:val="2"/>
          </w:tcPr>
          <w:p>
            <w:pPr>
              <w:ind w:left="60"/>
              <w:spacing w:after="0"/>
              <w:rPr>
                <w:sz w:val="20"/>
                <w:szCs w:val="20"/>
                <w:color w:val="auto"/>
              </w:rPr>
            </w:pPr>
            <w:r>
              <w:rPr>
                <w:rFonts w:ascii="Arial" w:cs="Arial" w:eastAsia="Arial" w:hAnsi="Arial"/>
                <w:sz w:val="19"/>
                <w:szCs w:val="19"/>
                <w:color w:val="auto"/>
              </w:rPr>
              <w:t>Other Information</w:t>
            </w:r>
          </w:p>
        </w:tc>
        <w:tc>
          <w:tcPr>
            <w:tcW w:w="360" w:type="dxa"/>
            <w:vAlign w:val="bottom"/>
          </w:tcPr>
          <w:p>
            <w:pPr>
              <w:ind w:left="160"/>
              <w:spacing w:after="0"/>
              <w:rPr>
                <w:sz w:val="20"/>
                <w:szCs w:val="20"/>
                <w:color w:val="auto"/>
              </w:rPr>
            </w:pPr>
            <w:r>
              <w:rPr>
                <w:rFonts w:ascii="Arial" w:cs="Arial" w:eastAsia="Arial" w:hAnsi="Arial"/>
                <w:sz w:val="19"/>
                <w:szCs w:val="19"/>
                <w:color w:val="auto"/>
                <w:w w:val="84"/>
              </w:rPr>
              <w:t>51</w:t>
            </w:r>
          </w:p>
        </w:tc>
      </w:tr>
      <w:tr>
        <w:trPr>
          <w:trHeight w:val="256"/>
        </w:trPr>
        <w:tc>
          <w:tcPr>
            <w:tcW w:w="800" w:type="dxa"/>
            <w:vAlign w:val="bottom"/>
          </w:tcPr>
          <w:p>
            <w:pPr>
              <w:spacing w:after="0"/>
              <w:rPr>
                <w:sz w:val="20"/>
                <w:szCs w:val="20"/>
                <w:color w:val="auto"/>
              </w:rPr>
            </w:pPr>
            <w:r>
              <w:rPr>
                <w:rFonts w:ascii="Arial" w:cs="Arial" w:eastAsia="Arial" w:hAnsi="Arial"/>
                <w:sz w:val="19"/>
                <w:szCs w:val="19"/>
                <w:color w:val="auto"/>
              </w:rPr>
              <w:t>Item 9C.</w:t>
            </w:r>
          </w:p>
        </w:tc>
        <w:tc>
          <w:tcPr>
            <w:tcW w:w="9600" w:type="dxa"/>
            <w:vAlign w:val="bottom"/>
            <w:gridSpan w:val="2"/>
          </w:tcPr>
          <w:p>
            <w:pPr>
              <w:ind w:left="60"/>
              <w:spacing w:after="0"/>
              <w:rPr>
                <w:sz w:val="20"/>
                <w:szCs w:val="20"/>
                <w:color w:val="auto"/>
              </w:rPr>
            </w:pPr>
            <w:r>
              <w:rPr>
                <w:rFonts w:ascii="Arial" w:cs="Arial" w:eastAsia="Arial" w:hAnsi="Arial"/>
                <w:sz w:val="19"/>
                <w:szCs w:val="19"/>
                <w:color w:val="auto"/>
              </w:rPr>
              <w:t>Disclosure Regarding Foreign Jurisdictions that Prevent Inspections</w:t>
            </w:r>
          </w:p>
        </w:tc>
        <w:tc>
          <w:tcPr>
            <w:tcW w:w="360" w:type="dxa"/>
            <w:vAlign w:val="bottom"/>
          </w:tcPr>
          <w:p>
            <w:pPr>
              <w:ind w:left="160"/>
              <w:spacing w:after="0"/>
              <w:rPr>
                <w:sz w:val="20"/>
                <w:szCs w:val="20"/>
                <w:color w:val="auto"/>
              </w:rPr>
            </w:pPr>
            <w:r>
              <w:rPr>
                <w:rFonts w:ascii="Arial" w:cs="Arial" w:eastAsia="Arial" w:hAnsi="Arial"/>
                <w:sz w:val="19"/>
                <w:szCs w:val="19"/>
                <w:color w:val="auto"/>
                <w:w w:val="84"/>
              </w:rPr>
              <w:t>51</w:t>
            </w:r>
          </w:p>
        </w:tc>
      </w:tr>
      <w:tr>
        <w:trPr>
          <w:trHeight w:val="400"/>
        </w:trPr>
        <w:tc>
          <w:tcPr>
            <w:tcW w:w="800" w:type="dxa"/>
            <w:vAlign w:val="bottom"/>
          </w:tcPr>
          <w:p>
            <w:pPr>
              <w:spacing w:after="0"/>
              <w:rPr>
                <w:sz w:val="20"/>
                <w:szCs w:val="20"/>
                <w:color w:val="auto"/>
              </w:rPr>
            </w:pPr>
            <w:r>
              <w:rPr>
                <w:rFonts w:ascii="Arial" w:cs="Arial" w:eastAsia="Arial" w:hAnsi="Arial"/>
                <w:sz w:val="19"/>
                <w:szCs w:val="19"/>
                <w:color w:val="auto"/>
              </w:rPr>
              <w:t>PART III</w:t>
            </w:r>
          </w:p>
        </w:tc>
        <w:tc>
          <w:tcPr>
            <w:tcW w:w="1220" w:type="dxa"/>
            <w:vAlign w:val="bottom"/>
          </w:tcPr>
          <w:p>
            <w:pPr>
              <w:spacing w:after="0"/>
              <w:rPr>
                <w:sz w:val="24"/>
                <w:szCs w:val="24"/>
                <w:color w:val="auto"/>
              </w:rPr>
            </w:pPr>
          </w:p>
        </w:tc>
        <w:tc>
          <w:tcPr>
            <w:tcW w:w="83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18"/>
        </w:trPr>
        <w:tc>
          <w:tcPr>
            <w:tcW w:w="800" w:type="dxa"/>
            <w:vAlign w:val="bottom"/>
          </w:tcPr>
          <w:p>
            <w:pPr>
              <w:spacing w:after="0"/>
              <w:rPr>
                <w:sz w:val="20"/>
                <w:szCs w:val="20"/>
                <w:color w:val="auto"/>
              </w:rPr>
            </w:pPr>
            <w:r>
              <w:rPr>
                <w:rFonts w:ascii="Arial" w:cs="Arial" w:eastAsia="Arial" w:hAnsi="Arial"/>
                <w:sz w:val="19"/>
                <w:szCs w:val="19"/>
                <w:color w:val="auto"/>
              </w:rPr>
              <w:t>Item 10.</w:t>
            </w:r>
          </w:p>
        </w:tc>
        <w:tc>
          <w:tcPr>
            <w:tcW w:w="9600" w:type="dxa"/>
            <w:vAlign w:val="bottom"/>
            <w:gridSpan w:val="2"/>
          </w:tcPr>
          <w:p>
            <w:pPr>
              <w:ind w:left="60"/>
              <w:spacing w:after="0"/>
              <w:rPr>
                <w:sz w:val="20"/>
                <w:szCs w:val="20"/>
                <w:color w:val="auto"/>
              </w:rPr>
            </w:pPr>
            <w:r>
              <w:rPr>
                <w:rFonts w:ascii="Arial" w:cs="Arial" w:eastAsia="Arial" w:hAnsi="Arial"/>
                <w:sz w:val="19"/>
                <w:szCs w:val="19"/>
                <w:color w:val="auto"/>
              </w:rPr>
              <w:t>Directors, Executive Officers and Corporate Governance</w:t>
            </w:r>
          </w:p>
        </w:tc>
        <w:tc>
          <w:tcPr>
            <w:tcW w:w="360" w:type="dxa"/>
            <w:vAlign w:val="bottom"/>
          </w:tcPr>
          <w:p>
            <w:pPr>
              <w:ind w:left="160"/>
              <w:spacing w:after="0"/>
              <w:rPr>
                <w:sz w:val="20"/>
                <w:szCs w:val="20"/>
                <w:color w:val="auto"/>
              </w:rPr>
            </w:pPr>
            <w:r>
              <w:rPr>
                <w:rFonts w:ascii="Arial" w:cs="Arial" w:eastAsia="Arial" w:hAnsi="Arial"/>
                <w:sz w:val="19"/>
                <w:szCs w:val="19"/>
                <w:color w:val="auto"/>
                <w:w w:val="84"/>
              </w:rPr>
              <w:t>51</w:t>
            </w:r>
          </w:p>
        </w:tc>
      </w:tr>
      <w:tr>
        <w:trPr>
          <w:trHeight w:val="218"/>
        </w:trPr>
        <w:tc>
          <w:tcPr>
            <w:tcW w:w="800" w:type="dxa"/>
            <w:vAlign w:val="bottom"/>
          </w:tcPr>
          <w:p>
            <w:pPr>
              <w:spacing w:after="0"/>
              <w:rPr>
                <w:sz w:val="20"/>
                <w:szCs w:val="20"/>
                <w:color w:val="auto"/>
              </w:rPr>
            </w:pPr>
            <w:r>
              <w:rPr>
                <w:rFonts w:ascii="Arial" w:cs="Arial" w:eastAsia="Arial" w:hAnsi="Arial"/>
                <w:sz w:val="19"/>
                <w:szCs w:val="19"/>
                <w:color w:val="auto"/>
              </w:rPr>
              <w:t>Item 11.</w:t>
            </w:r>
          </w:p>
        </w:tc>
        <w:tc>
          <w:tcPr>
            <w:tcW w:w="9600" w:type="dxa"/>
            <w:vAlign w:val="bottom"/>
            <w:gridSpan w:val="2"/>
          </w:tcPr>
          <w:p>
            <w:pPr>
              <w:ind w:left="60"/>
              <w:spacing w:after="0"/>
              <w:rPr>
                <w:sz w:val="20"/>
                <w:szCs w:val="20"/>
                <w:color w:val="auto"/>
              </w:rPr>
            </w:pPr>
            <w:r>
              <w:rPr>
                <w:rFonts w:ascii="Arial" w:cs="Arial" w:eastAsia="Arial" w:hAnsi="Arial"/>
                <w:sz w:val="19"/>
                <w:szCs w:val="19"/>
                <w:color w:val="auto"/>
              </w:rPr>
              <w:t>Executive Compensation</w:t>
            </w:r>
          </w:p>
        </w:tc>
        <w:tc>
          <w:tcPr>
            <w:tcW w:w="360" w:type="dxa"/>
            <w:vAlign w:val="bottom"/>
          </w:tcPr>
          <w:p>
            <w:pPr>
              <w:ind w:left="160"/>
              <w:spacing w:after="0"/>
              <w:rPr>
                <w:sz w:val="20"/>
                <w:szCs w:val="20"/>
                <w:color w:val="auto"/>
              </w:rPr>
            </w:pPr>
            <w:r>
              <w:rPr>
                <w:rFonts w:ascii="Arial" w:cs="Arial" w:eastAsia="Arial" w:hAnsi="Arial"/>
                <w:sz w:val="19"/>
                <w:szCs w:val="19"/>
                <w:color w:val="auto"/>
                <w:w w:val="84"/>
              </w:rPr>
              <w:t>51</w:t>
            </w:r>
          </w:p>
        </w:tc>
      </w:tr>
      <w:tr>
        <w:trPr>
          <w:trHeight w:val="218"/>
        </w:trPr>
        <w:tc>
          <w:tcPr>
            <w:tcW w:w="800" w:type="dxa"/>
            <w:vAlign w:val="bottom"/>
          </w:tcPr>
          <w:p>
            <w:pPr>
              <w:spacing w:after="0"/>
              <w:rPr>
                <w:sz w:val="20"/>
                <w:szCs w:val="20"/>
                <w:color w:val="auto"/>
              </w:rPr>
            </w:pPr>
            <w:r>
              <w:rPr>
                <w:rFonts w:ascii="Arial" w:cs="Arial" w:eastAsia="Arial" w:hAnsi="Arial"/>
                <w:sz w:val="19"/>
                <w:szCs w:val="19"/>
                <w:color w:val="auto"/>
              </w:rPr>
              <w:t>Item 12.</w:t>
            </w:r>
          </w:p>
        </w:tc>
        <w:tc>
          <w:tcPr>
            <w:tcW w:w="9600" w:type="dxa"/>
            <w:vAlign w:val="bottom"/>
            <w:gridSpan w:val="2"/>
          </w:tcPr>
          <w:p>
            <w:pPr>
              <w:ind w:left="60"/>
              <w:spacing w:after="0"/>
              <w:rPr>
                <w:sz w:val="20"/>
                <w:szCs w:val="20"/>
                <w:color w:val="auto"/>
              </w:rPr>
            </w:pPr>
            <w:r>
              <w:rPr>
                <w:rFonts w:ascii="Arial" w:cs="Arial" w:eastAsia="Arial" w:hAnsi="Arial"/>
                <w:sz w:val="19"/>
                <w:szCs w:val="19"/>
                <w:color w:val="auto"/>
              </w:rPr>
              <w:t>Security Ownership of Certain Beneficial Owners and Management and Related Stockholder Matters</w:t>
            </w:r>
          </w:p>
        </w:tc>
        <w:tc>
          <w:tcPr>
            <w:tcW w:w="360" w:type="dxa"/>
            <w:vAlign w:val="bottom"/>
          </w:tcPr>
          <w:p>
            <w:pPr>
              <w:ind w:left="160"/>
              <w:spacing w:after="0"/>
              <w:rPr>
                <w:sz w:val="20"/>
                <w:szCs w:val="20"/>
                <w:color w:val="auto"/>
              </w:rPr>
            </w:pPr>
            <w:r>
              <w:rPr>
                <w:rFonts w:ascii="Arial" w:cs="Arial" w:eastAsia="Arial" w:hAnsi="Arial"/>
                <w:sz w:val="19"/>
                <w:szCs w:val="19"/>
                <w:color w:val="auto"/>
                <w:w w:val="84"/>
              </w:rPr>
              <w:t>51</w:t>
            </w:r>
          </w:p>
        </w:tc>
      </w:tr>
      <w:tr>
        <w:trPr>
          <w:trHeight w:val="218"/>
        </w:trPr>
        <w:tc>
          <w:tcPr>
            <w:tcW w:w="800" w:type="dxa"/>
            <w:vAlign w:val="bottom"/>
          </w:tcPr>
          <w:p>
            <w:pPr>
              <w:spacing w:after="0"/>
              <w:rPr>
                <w:sz w:val="20"/>
                <w:szCs w:val="20"/>
                <w:color w:val="auto"/>
              </w:rPr>
            </w:pPr>
            <w:r>
              <w:rPr>
                <w:rFonts w:ascii="Arial" w:cs="Arial" w:eastAsia="Arial" w:hAnsi="Arial"/>
                <w:sz w:val="19"/>
                <w:szCs w:val="19"/>
                <w:color w:val="auto"/>
              </w:rPr>
              <w:t>Item 13.</w:t>
            </w:r>
          </w:p>
        </w:tc>
        <w:tc>
          <w:tcPr>
            <w:tcW w:w="9600" w:type="dxa"/>
            <w:vAlign w:val="bottom"/>
            <w:gridSpan w:val="2"/>
          </w:tcPr>
          <w:p>
            <w:pPr>
              <w:ind w:left="60"/>
              <w:spacing w:after="0"/>
              <w:rPr>
                <w:sz w:val="20"/>
                <w:szCs w:val="20"/>
                <w:color w:val="auto"/>
              </w:rPr>
            </w:pPr>
            <w:r>
              <w:rPr>
                <w:rFonts w:ascii="Arial" w:cs="Arial" w:eastAsia="Arial" w:hAnsi="Arial"/>
                <w:sz w:val="19"/>
                <w:szCs w:val="19"/>
                <w:color w:val="auto"/>
              </w:rPr>
              <w:t>Certain Relationships and Related Transactions, and Director Independence</w:t>
            </w:r>
          </w:p>
        </w:tc>
        <w:tc>
          <w:tcPr>
            <w:tcW w:w="360" w:type="dxa"/>
            <w:vAlign w:val="bottom"/>
          </w:tcPr>
          <w:p>
            <w:pPr>
              <w:ind w:left="160"/>
              <w:spacing w:after="0"/>
              <w:rPr>
                <w:sz w:val="20"/>
                <w:szCs w:val="20"/>
                <w:color w:val="auto"/>
              </w:rPr>
            </w:pPr>
            <w:r>
              <w:rPr>
                <w:rFonts w:ascii="Arial" w:cs="Arial" w:eastAsia="Arial" w:hAnsi="Arial"/>
                <w:sz w:val="19"/>
                <w:szCs w:val="19"/>
                <w:color w:val="auto"/>
                <w:w w:val="84"/>
              </w:rPr>
              <w:t>51</w:t>
            </w:r>
          </w:p>
        </w:tc>
      </w:tr>
      <w:tr>
        <w:trPr>
          <w:trHeight w:val="256"/>
        </w:trPr>
        <w:tc>
          <w:tcPr>
            <w:tcW w:w="800" w:type="dxa"/>
            <w:vAlign w:val="bottom"/>
          </w:tcPr>
          <w:p>
            <w:pPr>
              <w:spacing w:after="0"/>
              <w:rPr>
                <w:sz w:val="20"/>
                <w:szCs w:val="20"/>
                <w:color w:val="auto"/>
              </w:rPr>
            </w:pPr>
            <w:r>
              <w:rPr>
                <w:rFonts w:ascii="Arial" w:cs="Arial" w:eastAsia="Arial" w:hAnsi="Arial"/>
                <w:sz w:val="19"/>
                <w:szCs w:val="19"/>
                <w:color w:val="auto"/>
              </w:rPr>
              <w:t>Item 14.</w:t>
            </w:r>
          </w:p>
        </w:tc>
        <w:tc>
          <w:tcPr>
            <w:tcW w:w="9600" w:type="dxa"/>
            <w:vAlign w:val="bottom"/>
            <w:gridSpan w:val="2"/>
          </w:tcPr>
          <w:p>
            <w:pPr>
              <w:ind w:left="60"/>
              <w:spacing w:after="0"/>
              <w:rPr>
                <w:sz w:val="20"/>
                <w:szCs w:val="20"/>
                <w:color w:val="auto"/>
              </w:rPr>
            </w:pPr>
            <w:r>
              <w:rPr>
                <w:rFonts w:ascii="Arial" w:cs="Arial" w:eastAsia="Arial" w:hAnsi="Arial"/>
                <w:sz w:val="19"/>
                <w:szCs w:val="19"/>
                <w:color w:val="auto"/>
              </w:rPr>
              <w:t>Principal Accountant Fees and Services</w:t>
            </w:r>
          </w:p>
        </w:tc>
        <w:tc>
          <w:tcPr>
            <w:tcW w:w="360" w:type="dxa"/>
            <w:vAlign w:val="bottom"/>
          </w:tcPr>
          <w:p>
            <w:pPr>
              <w:ind w:left="160"/>
              <w:spacing w:after="0"/>
              <w:rPr>
                <w:sz w:val="20"/>
                <w:szCs w:val="20"/>
                <w:color w:val="auto"/>
              </w:rPr>
            </w:pPr>
            <w:r>
              <w:rPr>
                <w:rFonts w:ascii="Arial" w:cs="Arial" w:eastAsia="Arial" w:hAnsi="Arial"/>
                <w:sz w:val="19"/>
                <w:szCs w:val="19"/>
                <w:color w:val="auto"/>
                <w:w w:val="84"/>
              </w:rPr>
              <w:t>51</w:t>
            </w:r>
          </w:p>
        </w:tc>
      </w:tr>
      <w:tr>
        <w:trPr>
          <w:trHeight w:val="400"/>
        </w:trPr>
        <w:tc>
          <w:tcPr>
            <w:tcW w:w="800" w:type="dxa"/>
            <w:vAlign w:val="bottom"/>
          </w:tcPr>
          <w:p>
            <w:pPr>
              <w:spacing w:after="0"/>
              <w:rPr>
                <w:sz w:val="20"/>
                <w:szCs w:val="20"/>
                <w:color w:val="auto"/>
              </w:rPr>
            </w:pPr>
            <w:r>
              <w:rPr>
                <w:rFonts w:ascii="Arial" w:cs="Arial" w:eastAsia="Arial" w:hAnsi="Arial"/>
                <w:sz w:val="19"/>
                <w:szCs w:val="19"/>
                <w:color w:val="auto"/>
              </w:rPr>
              <w:t>PART IV</w:t>
            </w:r>
          </w:p>
        </w:tc>
        <w:tc>
          <w:tcPr>
            <w:tcW w:w="1220" w:type="dxa"/>
            <w:vAlign w:val="bottom"/>
          </w:tcPr>
          <w:p>
            <w:pPr>
              <w:spacing w:after="0"/>
              <w:rPr>
                <w:sz w:val="24"/>
                <w:szCs w:val="24"/>
                <w:color w:val="auto"/>
              </w:rPr>
            </w:pPr>
          </w:p>
        </w:tc>
        <w:tc>
          <w:tcPr>
            <w:tcW w:w="83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18"/>
        </w:trPr>
        <w:tc>
          <w:tcPr>
            <w:tcW w:w="800" w:type="dxa"/>
            <w:vAlign w:val="bottom"/>
          </w:tcPr>
          <w:p>
            <w:pPr>
              <w:spacing w:after="0"/>
              <w:rPr>
                <w:sz w:val="20"/>
                <w:szCs w:val="20"/>
                <w:color w:val="auto"/>
              </w:rPr>
            </w:pPr>
            <w:r>
              <w:rPr>
                <w:rFonts w:ascii="Arial" w:cs="Arial" w:eastAsia="Arial" w:hAnsi="Arial"/>
                <w:sz w:val="19"/>
                <w:szCs w:val="19"/>
                <w:color w:val="auto"/>
              </w:rPr>
              <w:t>Item 15.</w:t>
            </w:r>
          </w:p>
        </w:tc>
        <w:tc>
          <w:tcPr>
            <w:tcW w:w="9600" w:type="dxa"/>
            <w:vAlign w:val="bottom"/>
            <w:gridSpan w:val="2"/>
          </w:tcPr>
          <w:p>
            <w:pPr>
              <w:ind w:left="60"/>
              <w:spacing w:after="0"/>
              <w:rPr>
                <w:sz w:val="20"/>
                <w:szCs w:val="20"/>
                <w:color w:val="auto"/>
              </w:rPr>
            </w:pPr>
            <w:r>
              <w:rPr>
                <w:rFonts w:ascii="Arial" w:cs="Arial" w:eastAsia="Arial" w:hAnsi="Arial"/>
                <w:sz w:val="19"/>
                <w:szCs w:val="19"/>
                <w:color w:val="auto"/>
              </w:rPr>
              <w:t>Exhibits and Financial Statement Schedules</w:t>
            </w:r>
          </w:p>
        </w:tc>
        <w:tc>
          <w:tcPr>
            <w:tcW w:w="360" w:type="dxa"/>
            <w:vAlign w:val="bottom"/>
          </w:tcPr>
          <w:p>
            <w:pPr>
              <w:ind w:left="160"/>
              <w:spacing w:after="0"/>
              <w:rPr>
                <w:sz w:val="20"/>
                <w:szCs w:val="20"/>
                <w:color w:val="auto"/>
              </w:rPr>
            </w:pPr>
            <w:r>
              <w:rPr>
                <w:rFonts w:ascii="Arial" w:cs="Arial" w:eastAsia="Arial" w:hAnsi="Arial"/>
                <w:sz w:val="19"/>
                <w:szCs w:val="19"/>
                <w:color w:val="auto"/>
                <w:w w:val="84"/>
              </w:rPr>
              <w:t>52</w:t>
            </w:r>
          </w:p>
        </w:tc>
      </w:tr>
      <w:tr>
        <w:trPr>
          <w:trHeight w:val="256"/>
        </w:trPr>
        <w:tc>
          <w:tcPr>
            <w:tcW w:w="800" w:type="dxa"/>
            <w:vAlign w:val="bottom"/>
          </w:tcPr>
          <w:p>
            <w:pPr>
              <w:spacing w:after="0"/>
              <w:rPr>
                <w:sz w:val="20"/>
                <w:szCs w:val="20"/>
                <w:color w:val="auto"/>
              </w:rPr>
            </w:pPr>
            <w:r>
              <w:rPr>
                <w:rFonts w:ascii="Arial" w:cs="Arial" w:eastAsia="Arial" w:hAnsi="Arial"/>
                <w:sz w:val="19"/>
                <w:szCs w:val="19"/>
                <w:color w:val="auto"/>
              </w:rPr>
              <w:t>Item 16.</w:t>
            </w:r>
          </w:p>
        </w:tc>
        <w:tc>
          <w:tcPr>
            <w:tcW w:w="9600" w:type="dxa"/>
            <w:vAlign w:val="bottom"/>
            <w:gridSpan w:val="2"/>
          </w:tcPr>
          <w:p>
            <w:pPr>
              <w:ind w:left="60"/>
              <w:spacing w:after="0"/>
              <w:rPr>
                <w:sz w:val="20"/>
                <w:szCs w:val="20"/>
                <w:color w:val="auto"/>
              </w:rPr>
            </w:pPr>
            <w:r>
              <w:rPr>
                <w:rFonts w:ascii="Arial" w:cs="Arial" w:eastAsia="Arial" w:hAnsi="Arial"/>
                <w:sz w:val="19"/>
                <w:szCs w:val="19"/>
                <w:color w:val="auto"/>
              </w:rPr>
              <w:t>Form 10-K Summary</w:t>
            </w:r>
          </w:p>
        </w:tc>
        <w:tc>
          <w:tcPr>
            <w:tcW w:w="360" w:type="dxa"/>
            <w:vAlign w:val="bottom"/>
          </w:tcPr>
          <w:p>
            <w:pPr>
              <w:ind w:left="160"/>
              <w:spacing w:after="0"/>
              <w:rPr>
                <w:sz w:val="20"/>
                <w:szCs w:val="20"/>
                <w:color w:val="auto"/>
              </w:rPr>
            </w:pPr>
            <w:r>
              <w:rPr>
                <w:rFonts w:ascii="Arial" w:cs="Arial" w:eastAsia="Arial" w:hAnsi="Arial"/>
                <w:sz w:val="19"/>
                <w:szCs w:val="19"/>
                <w:color w:val="auto"/>
                <w:w w:val="84"/>
              </w:rPr>
              <w:t>54</w:t>
            </w:r>
          </w:p>
        </w:tc>
      </w:tr>
    </w:tbl>
    <w:p>
      <w:pPr>
        <w:spacing w:after="0" w:line="200" w:lineRule="exact"/>
        <w:rPr>
          <w:sz w:val="20"/>
          <w:szCs w:val="20"/>
          <w:color w:val="auto"/>
        </w:rPr>
      </w:pPr>
    </w:p>
    <w:p>
      <w:pPr>
        <w:sectPr>
          <w:pgSz w:w="11880" w:h="15480" w:orient="portrait"/>
          <w:cols w:equalWidth="0" w:num="1">
            <w:col w:w="10760"/>
          </w:cols>
          <w:pgMar w:left="540" w:top="803"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2</w:t>
      </w:r>
    </w:p>
    <w:p>
      <w:pPr>
        <w:sectPr>
          <w:pgSz w:w="11880" w:h="15480" w:orient="portrait"/>
          <w:cols w:equalWidth="0" w:num="1">
            <w:col w:w="10760"/>
          </w:cols>
          <w:pgMar w:left="540" w:top="803" w:right="580" w:bottom="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9"/>
          <w:szCs w:val="19"/>
          <w:b w:val="1"/>
          <w:bCs w:val="1"/>
          <w:color w:val="auto"/>
        </w:rPr>
        <w:t>PART I</w:t>
      </w:r>
    </w:p>
    <w:p>
      <w:pPr>
        <w:spacing w:after="0" w:line="170" w:lineRule="exact"/>
        <w:rPr>
          <w:sz w:val="20"/>
          <w:szCs w:val="20"/>
          <w:color w:val="auto"/>
        </w:rPr>
      </w:pPr>
    </w:p>
    <w:p>
      <w:pPr>
        <w:ind w:right="40"/>
        <w:spacing w:after="0" w:line="241" w:lineRule="auto"/>
        <w:rPr>
          <w:sz w:val="20"/>
          <w:szCs w:val="20"/>
          <w:color w:val="auto"/>
        </w:rPr>
      </w:pPr>
      <w:r>
        <w:rPr>
          <w:rFonts w:ascii="Arial" w:cs="Arial" w:eastAsia="Arial" w:hAnsi="Arial"/>
          <w:sz w:val="19"/>
          <w:szCs w:val="19"/>
          <w:i w:val="1"/>
          <w:iCs w:val="1"/>
          <w:color w:val="auto"/>
        </w:rPr>
        <w:t>Some statements in, or incorporated by reference into, this Annual Report on Form 10-K (this “Report”) of Citi Trends, Inc. (“CITITRENDS”, “we”, “us”, or the “Company”) may constitute “forward-looking statements” within the meaning of Section 27A of the Securities Act of 1933, as amended, and Section 21E of the Securities Exchange Act of 1934, as amended (the “Exchange Act”). All statements other than historical facts contained in this Report, including statements regarding our future financial results and position, business policy and plans, objectives and expectations of management for future operations and capital allocation expectations, are forward-looking statements. The words “believe,” “anticipate,” “project,” “plan,” “expect,” “trend,” “estimate,” “objective,” “forecast,” “upcoming,” “goal,” “intend,” “may,” “could,” “will likely result,” or “will continue” and similar expressions, as they relate to us, are intended to identify forward-looking statements, although not all forward-looking statements contain such language. We have based these forward-looking statements largely on our current expectations and projections about future events, including, among other things: general economic conditions, including inflation, energy and fuel costs, unemployment levels, and any deterioration whether caused by acts of war, terrorism, political or social unrest (including any resulting store closures, damage or loss of inventory) or other factors; changes in market interest rates and market levels of wages; the imposition of new taxes on imports, new tariffs and changes in existing tariff rates; the imposition of new trade restrictions and changes in existing trade restrictions or trade relationships; impacts of natural disasters such as hurricanes; uncertainty and economic impact of pandemics, epidemics or other public health emergencies; transportation and distribution delays or interruptions; changes in freight rates; the Company’s ability to attract and retain workers; the Company’s ability to negotiate effectively the cost and purchase of merchandise inventory risks due to shifts in market demand and to manage inventory shrink; the Company’s ability to gauge fashion trends and changing consumer preferences; consumer confidence and changes in consumer spending patterns; competition within the industry; competition in our markets; the duration and extent of any economic stimulus programs; changes in product mix; interruptions in suppliers’ businesses; risks related to cybersecurity, data privacy and intellectual property; temporary changes in demand due to weather patterns; seasonality of the Company’s business; the results of pending or threatened litigation; delays associated with building, remodeling, opening and operating new stores; and delays associated with building, opening or expanding new or existing distribution centers.</w:t>
      </w:r>
    </w:p>
    <w:p>
      <w:pPr>
        <w:spacing w:after="0" w:line="139" w:lineRule="exact"/>
        <w:rPr>
          <w:sz w:val="20"/>
          <w:szCs w:val="20"/>
          <w:color w:val="auto"/>
        </w:rPr>
      </w:pPr>
    </w:p>
    <w:p>
      <w:pPr>
        <w:spacing w:after="0" w:line="243" w:lineRule="auto"/>
        <w:rPr>
          <w:sz w:val="20"/>
          <w:szCs w:val="20"/>
          <w:color w:val="auto"/>
        </w:rPr>
      </w:pPr>
      <w:r>
        <w:rPr>
          <w:rFonts w:ascii="Arial" w:cs="Arial" w:eastAsia="Arial" w:hAnsi="Arial"/>
          <w:sz w:val="19"/>
          <w:szCs w:val="19"/>
          <w:i w:val="1"/>
          <w:iCs w:val="1"/>
          <w:color w:val="auto"/>
        </w:rPr>
        <w:t>These forward-looking statements are subject to a number of risks, uncertainties and assumptions, including those described in Item 1A. Risk Factors and elsewhere in this Report and the other documents we file with the Securities and Exchange Commission (“SEC”), including our reports on Form 8-K and Form 10-Q, and any amendments thereto. Because forward -looking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These forward-looking statements speak only as of the date of such statements. Except as required by applicable law, including the securities laws of the United States and the rules and regulations of the SEC, we do not plan to publicly update or revise any forward-looking statements contained in this Report, whether as a result of any new information, future events or otherwise.</w:t>
      </w:r>
    </w:p>
    <w:p>
      <w:pPr>
        <w:spacing w:after="0" w:line="133" w:lineRule="exact"/>
        <w:rPr>
          <w:sz w:val="20"/>
          <w:szCs w:val="20"/>
          <w:color w:val="auto"/>
        </w:rPr>
      </w:pPr>
    </w:p>
    <w:p>
      <w:pPr>
        <w:ind w:right="600"/>
        <w:spacing w:after="0" w:line="273" w:lineRule="auto"/>
        <w:rPr>
          <w:sz w:val="20"/>
          <w:szCs w:val="20"/>
          <w:color w:val="auto"/>
        </w:rPr>
      </w:pPr>
      <w:r>
        <w:rPr>
          <w:rFonts w:ascii="Arial" w:cs="Arial" w:eastAsia="Arial" w:hAnsi="Arial"/>
          <w:sz w:val="19"/>
          <w:szCs w:val="19"/>
          <w:i w:val="1"/>
          <w:iCs w:val="1"/>
          <w:color w:val="auto"/>
        </w:rPr>
        <w:t>Information is provided herein with respect to our operations related to our fiscal years ended on January 31, 2026 (“fiscal 2025”), February 1, 2025 (“fiscal 2024”) and February 3, 2024 (“fiscal 2023”)</w:t>
      </w:r>
      <w:r>
        <w:rPr>
          <w:rFonts w:ascii="Arial" w:cs="Arial" w:eastAsia="Arial" w:hAnsi="Arial"/>
          <w:sz w:val="19"/>
          <w:szCs w:val="19"/>
          <w:color w:val="auto"/>
        </w:rPr>
        <w:t>.</w:t>
      </w:r>
    </w:p>
    <w:p>
      <w:pPr>
        <w:spacing w:after="0" w:line="90" w:lineRule="exact"/>
        <w:rPr>
          <w:sz w:val="20"/>
          <w:szCs w:val="20"/>
          <w:color w:val="auto"/>
        </w:rPr>
      </w:pPr>
    </w:p>
    <w:p>
      <w:pPr>
        <w:spacing w:after="0"/>
        <w:tabs>
          <w:tab w:leader="none" w:pos="1060" w:val="left"/>
        </w:tabs>
        <w:rPr>
          <w:sz w:val="20"/>
          <w:szCs w:val="20"/>
          <w:color w:val="auto"/>
        </w:rPr>
      </w:pPr>
      <w:r>
        <w:rPr>
          <w:rFonts w:ascii="Arial" w:cs="Arial" w:eastAsia="Arial" w:hAnsi="Arial"/>
          <w:sz w:val="19"/>
          <w:szCs w:val="19"/>
          <w:b w:val="1"/>
          <w:bCs w:val="1"/>
          <w:color w:val="auto"/>
        </w:rPr>
        <w:t>ITEM 1.</w:t>
      </w:r>
      <w:r>
        <w:rPr>
          <w:sz w:val="20"/>
          <w:szCs w:val="20"/>
          <w:color w:val="auto"/>
        </w:rPr>
        <w:tab/>
      </w:r>
      <w:r>
        <w:rPr>
          <w:rFonts w:ascii="Arial" w:cs="Arial" w:eastAsia="Arial" w:hAnsi="Arial"/>
          <w:sz w:val="18"/>
          <w:szCs w:val="18"/>
          <w:b w:val="1"/>
          <w:bCs w:val="1"/>
          <w:u w:val="single" w:color="auto"/>
          <w:color w:val="auto"/>
        </w:rPr>
        <w:t>BUSINESS</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Overview</w:t>
      </w:r>
    </w:p>
    <w:p>
      <w:pPr>
        <w:spacing w:after="0" w:line="162" w:lineRule="exact"/>
        <w:rPr>
          <w:sz w:val="20"/>
          <w:szCs w:val="20"/>
          <w:color w:val="auto"/>
        </w:rPr>
      </w:pPr>
    </w:p>
    <w:p>
      <w:pPr>
        <w:ind w:right="60"/>
        <w:spacing w:after="0" w:line="244" w:lineRule="auto"/>
        <w:rPr>
          <w:sz w:val="20"/>
          <w:szCs w:val="20"/>
          <w:color w:val="auto"/>
        </w:rPr>
      </w:pPr>
      <w:r>
        <w:rPr>
          <w:rFonts w:ascii="Arial" w:cs="Arial" w:eastAsia="Arial" w:hAnsi="Arial"/>
          <w:sz w:val="19"/>
          <w:szCs w:val="19"/>
          <w:color w:val="auto"/>
        </w:rPr>
        <w:t>Citi Trends, Inc. (“CITITRENDS” or the “Company”) is a highly differentiated off-price value retailer known for trendy fashions, great brands and amazing prices. We are the leading off-price retailer specifically focused on Black customers, delivering the styles, brands, and trends at amazing prices that resonate with our primary and secondary customers. Our product offering is Women’s, Men’s and Children’s apparel, family footwear, accessories and products for the home, with a three-tiered mix of product. At the opening price point, we offer value-focused basics for our most budget -conscious customers. The core of our business is our ‘better’ tier- quality products with breadth of selection and fresh styles. At the top end, we’re expanding our ‘best’ tier with two distinct approaches. First, we’re adding more trend-relevant product at prices well below specialty retail. Second, we’re building our extreme value capabilities, offering well-known branded product at 50% to 75% off MSRP. Our research shows this treasure hunt element resonates particularly well with our core customer, who views shopping as both a practical necessity and an enjoyable activity, fostering deep customer loyalty and high shopping frequency in the communities in which we operate.</w:t>
      </w:r>
    </w:p>
    <w:p>
      <w:pPr>
        <w:spacing w:after="0" w:line="121" w:lineRule="exact"/>
        <w:rPr>
          <w:sz w:val="20"/>
          <w:szCs w:val="20"/>
          <w:color w:val="auto"/>
        </w:rPr>
      </w:pPr>
    </w:p>
    <w:p>
      <w:pPr>
        <w:ind w:right="80"/>
        <w:spacing w:after="0" w:line="260" w:lineRule="auto"/>
        <w:rPr>
          <w:sz w:val="20"/>
          <w:szCs w:val="20"/>
          <w:color w:val="auto"/>
        </w:rPr>
      </w:pPr>
      <w:r>
        <w:rPr>
          <w:rFonts w:ascii="Arial" w:cs="Arial" w:eastAsia="Arial" w:hAnsi="Arial"/>
          <w:sz w:val="19"/>
          <w:szCs w:val="19"/>
          <w:color w:val="auto"/>
        </w:rPr>
        <w:t>Our customers are discerning. They understand that value is more than price and are willing to spend more when the style is for them, the fashion is on trend and the quality is right. In short, value is not just price. Our brand promise is clear: Styles that see you, prices that amaze you and trends that tell your story.</w:t>
      </w:r>
    </w:p>
    <w:p>
      <w:pPr>
        <w:sectPr>
          <w:pgSz w:w="11880" w:h="15480" w:orient="portrait"/>
          <w:cols w:equalWidth="0" w:num="1">
            <w:col w:w="10800"/>
          </w:cols>
          <w:pgMar w:left="540" w:top="80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ectPr>
          <w:pgSz w:w="11880" w:h="15480" w:orient="portrait"/>
          <w:cols w:equalWidth="0" w:num="1">
            <w:col w:w="10800"/>
          </w:cols>
          <w:pgMar w:left="540" w:top="804" w:right="540" w:bottom="0" w:gutter="0" w:footer="0" w:header="0"/>
          <w:type w:val="continuous"/>
        </w:sectPr>
      </w:pPr>
    </w:p>
    <w:bookmarkStart w:id="3" w:name="page4"/>
    <w:bookmarkEnd w:id="3"/>
    <w:p>
      <w:pPr>
        <w:ind w:right="120"/>
        <w:spacing w:after="0" w:line="260" w:lineRule="auto"/>
        <w:rPr>
          <w:sz w:val="20"/>
          <w:szCs w:val="20"/>
          <w:color w:val="auto"/>
        </w:rPr>
      </w:pPr>
      <w:r>
        <w:rPr>
          <w:rFonts w:ascii="Arial" w:cs="Arial" w:eastAsia="Arial" w:hAnsi="Arial"/>
          <w:sz w:val="19"/>
          <w:szCs w:val="19"/>
          <w:color w:val="auto"/>
        </w:rPr>
        <w:t>Our stores are strategically located in vibrant Black communities with product offerings for the entire family. Our stores average approximately 11,000 square feet of selling space and are typically found in outdoor community shopping centers across a variety of urban, suburban and rural markets. As of January 31, 2026, we operated 590 stores in 33 states.</w:t>
      </w:r>
    </w:p>
    <w:p>
      <w:pPr>
        <w:spacing w:after="0" w:line="105" w:lineRule="exact"/>
        <w:rPr>
          <w:sz w:val="20"/>
          <w:szCs w:val="20"/>
          <w:color w:val="auto"/>
        </w:rPr>
      </w:pPr>
    </w:p>
    <w:p>
      <w:pPr>
        <w:ind w:right="700"/>
        <w:spacing w:after="0" w:line="283" w:lineRule="auto"/>
        <w:rPr>
          <w:sz w:val="20"/>
          <w:szCs w:val="20"/>
          <w:color w:val="auto"/>
        </w:rPr>
      </w:pPr>
      <w:r>
        <w:rPr>
          <w:rFonts w:ascii="Arial" w:cs="Arial" w:eastAsia="Arial" w:hAnsi="Arial"/>
          <w:sz w:val="19"/>
          <w:szCs w:val="19"/>
          <w:color w:val="auto"/>
        </w:rPr>
        <w:t>We believe the combination of product curated for the Black consumer at amazing prices, and the large scale of our 590 community stores is extremely hard to duplicate which gives us a defensible moat against competition.</w:t>
      </w:r>
    </w:p>
    <w:p>
      <w:pPr>
        <w:spacing w:after="0" w:line="8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Competitive Strengths and Strategies</w:t>
      </w:r>
    </w:p>
    <w:p>
      <w:pPr>
        <w:spacing w:after="0" w:line="162" w:lineRule="exact"/>
        <w:rPr>
          <w:sz w:val="20"/>
          <w:szCs w:val="20"/>
          <w:color w:val="auto"/>
        </w:rPr>
      </w:pPr>
    </w:p>
    <w:p>
      <w:pPr>
        <w:ind w:right="160"/>
        <w:spacing w:after="0" w:line="250" w:lineRule="auto"/>
        <w:rPr>
          <w:sz w:val="20"/>
          <w:szCs w:val="20"/>
          <w:color w:val="auto"/>
        </w:rPr>
      </w:pPr>
      <w:r>
        <w:rPr>
          <w:rFonts w:ascii="Arial" w:cs="Arial" w:eastAsia="Arial" w:hAnsi="Arial"/>
          <w:sz w:val="19"/>
          <w:szCs w:val="19"/>
          <w:color w:val="auto"/>
        </w:rPr>
        <w:t>CITITRENDS is the leading off-price retailer specifically focused on Black customers. With 590 stores located in the communities we serve, our customers rely on us as their off- price value retailer of apparel, accessories and home trends. Because of our long-term presence in the Black community, our customers are highly engaged and loyal to CITITRENDS. We strive to provide an engaging and exciting shopping experience supported by fresh product and a friendly, welcoming staff. We believe the following business strengths differentiate us from our competitors and are important to our success.</w:t>
      </w:r>
    </w:p>
    <w:p>
      <w:pPr>
        <w:spacing w:after="0" w:line="115" w:lineRule="exact"/>
        <w:rPr>
          <w:sz w:val="20"/>
          <w:szCs w:val="20"/>
          <w:color w:val="auto"/>
        </w:rPr>
      </w:pPr>
    </w:p>
    <w:p>
      <w:pPr>
        <w:spacing w:after="0" w:line="246" w:lineRule="auto"/>
        <w:rPr>
          <w:sz w:val="20"/>
          <w:szCs w:val="20"/>
          <w:color w:val="auto"/>
        </w:rPr>
      </w:pPr>
      <w:r>
        <w:rPr>
          <w:rFonts w:ascii="Arial" w:cs="Arial" w:eastAsia="Arial" w:hAnsi="Arial"/>
          <w:sz w:val="19"/>
          <w:szCs w:val="19"/>
          <w:b w:val="1"/>
          <w:bCs w:val="1"/>
          <w:i w:val="1"/>
          <w:iCs w:val="1"/>
          <w:color w:val="auto"/>
        </w:rPr>
        <w:t xml:space="preserve">Community Store Locations are a key point of differentiation. </w:t>
      </w:r>
      <w:r>
        <w:rPr>
          <w:rFonts w:ascii="Arial" w:cs="Arial" w:eastAsia="Arial" w:hAnsi="Arial"/>
          <w:sz w:val="19"/>
          <w:szCs w:val="19"/>
          <w:color w:val="auto"/>
        </w:rPr>
        <w:t>We locate our stores in high- traffic outdoor community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shopping centers that are convenient to Black families. Our location strategy allows us to be an integral part of the communities we serve while providing convenience for our customers. We believe that these community locations are difficult to duplicate, creating a competitive moat for our brand. We generally utilize previously occupied store sites in locations where we are often the brightest and cleanest store in the shopping center, which enables us to obtain attractive rents while establishing ourselves as community cornerstones. When opening new stores, we seek to partner with landlords that contribute to buildout costs, which helps maintain lower startup and fixturing investment.</w:t>
      </w:r>
    </w:p>
    <w:p>
      <w:pPr>
        <w:spacing w:after="0" w:line="122" w:lineRule="exact"/>
        <w:rPr>
          <w:sz w:val="20"/>
          <w:szCs w:val="20"/>
          <w:color w:val="auto"/>
        </w:rPr>
      </w:pPr>
    </w:p>
    <w:p>
      <w:pPr>
        <w:ind w:right="300"/>
        <w:spacing w:after="0" w:line="267" w:lineRule="auto"/>
        <w:rPr>
          <w:sz w:val="20"/>
          <w:szCs w:val="20"/>
          <w:color w:val="auto"/>
        </w:rPr>
      </w:pPr>
      <w:r>
        <w:rPr>
          <w:rFonts w:ascii="Arial" w:cs="Arial" w:eastAsia="Arial" w:hAnsi="Arial"/>
          <w:sz w:val="18"/>
          <w:szCs w:val="18"/>
          <w:b w:val="1"/>
          <w:bCs w:val="1"/>
          <w:i w:val="1"/>
          <w:iCs w:val="1"/>
          <w:color w:val="auto"/>
        </w:rPr>
        <w:t>Focus on Fashion and Trend Mix</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curate our merchandise assortment to be trend right styles at amazing prices,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recognizing that our customers use style as a form of personal expression. Our creative department is focused on identifying emerging trends and ensuring that our wide assortment of apparel and non-apparel merchandise is curated to appeal to the preferences of Black customers. Our buying team actively manages a dynamic blend of essentials, fashion -forward pieces, trending items and recognized brands, all at strong value prices to keep the assortment fresh, relevant and culturally attuned.</w:t>
      </w:r>
    </w:p>
    <w:p>
      <w:pPr>
        <w:spacing w:after="0" w:line="100" w:lineRule="exact"/>
        <w:rPr>
          <w:sz w:val="20"/>
          <w:szCs w:val="20"/>
          <w:color w:val="auto"/>
        </w:rPr>
      </w:pPr>
    </w:p>
    <w:p>
      <w:pPr>
        <w:ind w:right="40"/>
        <w:spacing w:after="0" w:line="246" w:lineRule="auto"/>
        <w:rPr>
          <w:sz w:val="20"/>
          <w:szCs w:val="20"/>
          <w:color w:val="auto"/>
        </w:rPr>
      </w:pPr>
      <w:r>
        <w:rPr>
          <w:rFonts w:ascii="Arial" w:cs="Arial" w:eastAsia="Arial" w:hAnsi="Arial"/>
          <w:sz w:val="19"/>
          <w:szCs w:val="19"/>
          <w:b w:val="1"/>
          <w:bCs w:val="1"/>
          <w:i w:val="1"/>
          <w:iCs w:val="1"/>
          <w:color w:val="auto"/>
        </w:rPr>
        <w:t>Superior Value Proposition</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We seek to offer high quality, fashionable merchandise. Value is more than price. We know that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our customers are willing to spend more when the fashion is on trend, the brand is right, and the price- value proposition is strong. The majority of our product is sold at ticketed price with compare at pricing to demonstrate our pricing superiority against competition. We do not employ high -low or point of sale discounting pricing strategies; instead, our everyday ticketed low price points offer superior value, enabling our customers to purchase multiple items per visit. We focus on a balanced three-tiered assortment along with an increasing selection of off-price ‘treasures’ – nationally known brands at incredible values. We rely on regular in-store deliveries of the latest trends at great prices which drives word-of-mouth awareness and excitement in the communities we serve, which in turn creates customer visit frequency.</w:t>
      </w:r>
    </w:p>
    <w:p>
      <w:pPr>
        <w:spacing w:after="0" w:line="116" w:lineRule="exact"/>
        <w:rPr>
          <w:sz w:val="20"/>
          <w:szCs w:val="20"/>
          <w:color w:val="auto"/>
        </w:rPr>
      </w:pPr>
    </w:p>
    <w:p>
      <w:pPr>
        <w:spacing w:after="0" w:line="247" w:lineRule="auto"/>
        <w:rPr>
          <w:sz w:val="20"/>
          <w:szCs w:val="20"/>
          <w:color w:val="auto"/>
        </w:rPr>
      </w:pPr>
      <w:r>
        <w:rPr>
          <w:rFonts w:ascii="Arial" w:cs="Arial" w:eastAsia="Arial" w:hAnsi="Arial"/>
          <w:sz w:val="19"/>
          <w:szCs w:val="19"/>
          <w:b w:val="1"/>
          <w:bCs w:val="1"/>
          <w:i w:val="1"/>
          <w:iCs w:val="1"/>
          <w:color w:val="auto"/>
        </w:rPr>
        <w:t>Fashions for the Entire Family</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We offer Women’s, Men’s and Children’s apparel, family footwear, accessories and products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for the home which makes us a family destination in our communities. We offer a trendy assortment of culturally relevant fashions, core products and opening price products, making us appealing to wide range of income and style taste levels. We believe that our approximately 11,000 square feet store formats, combined with a neat, clean and organized in-store experience, friendly customer service where we often know our customers’ names, and breadth of merchandise, distinguishes our stores from many competitors and creates an exciting and welcoming environment that encourages high frequency repeat visits from the local community.</w:t>
      </w:r>
    </w:p>
    <w:p>
      <w:pPr>
        <w:spacing w:after="0" w:line="116" w:lineRule="exact"/>
        <w:rPr>
          <w:sz w:val="20"/>
          <w:szCs w:val="20"/>
          <w:color w:val="auto"/>
        </w:rPr>
      </w:pPr>
    </w:p>
    <w:p>
      <w:pPr>
        <w:ind w:right="180"/>
        <w:spacing w:after="0" w:line="246" w:lineRule="auto"/>
        <w:rPr>
          <w:sz w:val="20"/>
          <w:szCs w:val="20"/>
          <w:color w:val="auto"/>
        </w:rPr>
      </w:pPr>
      <w:r>
        <w:rPr>
          <w:rFonts w:ascii="Arial" w:cs="Arial" w:eastAsia="Arial" w:hAnsi="Arial"/>
          <w:sz w:val="19"/>
          <w:szCs w:val="19"/>
          <w:b w:val="1"/>
          <w:bCs w:val="1"/>
          <w:i w:val="1"/>
          <w:iCs w:val="1"/>
          <w:color w:val="auto"/>
        </w:rPr>
        <w:t>Strong and Flexible Sourcing Relationships</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We maintain strong, long-standing sourcing relationships with a large group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suppliers while continually opening new relationships with both well-known and up-and -coming brands. We believe that our access to the Black customer drives vendor interest. Our buying team plans, develops and creates curated assortments by (i) purchasing goods developed specifically for our customer, (ii) selecting products for our customers from vendor product lines,</w:t>
      </w:r>
    </w:p>
    <w:p>
      <w:pPr>
        <w:spacing w:after="0" w:line="2" w:lineRule="exact"/>
        <w:rPr>
          <w:sz w:val="20"/>
          <w:szCs w:val="20"/>
          <w:color w:val="auto"/>
        </w:rPr>
      </w:pPr>
    </w:p>
    <w:p>
      <w:pPr>
        <w:ind w:right="40"/>
        <w:spacing w:after="0" w:line="242" w:lineRule="auto"/>
        <w:tabs>
          <w:tab w:leader="none" w:pos="306" w:val="left"/>
        </w:tabs>
        <w:numPr>
          <w:ilvl w:val="0"/>
          <w:numId w:val="3"/>
        </w:numPr>
        <w:rPr>
          <w:rFonts w:ascii="Arial" w:cs="Arial" w:eastAsia="Arial" w:hAnsi="Arial"/>
          <w:sz w:val="19"/>
          <w:szCs w:val="19"/>
          <w:color w:val="auto"/>
        </w:rPr>
      </w:pPr>
      <w:r>
        <w:rPr>
          <w:rFonts w:ascii="Arial" w:cs="Arial" w:eastAsia="Arial" w:hAnsi="Arial"/>
          <w:sz w:val="19"/>
          <w:szCs w:val="19"/>
          <w:color w:val="auto"/>
        </w:rPr>
        <w:t>buying opportunistically available excess inventory from reliable vendors, with the majority of our merchandise purchased for the current season and a lesser quantity held for sale in future seasons and (iv) buying extreme value, off-price deals to offer exciting national brands at significantly reduced prices. Our vendor partnerships enable us to deliver fresh items weekly to our stores. This fresh assortment, coupled with exciting and surprising off-price deals, creates a shopping experience that can’t be easily replicated in an on-line environment, positioning us as an “instant gratification store”, allowing our customers to “buy now, wear now”, avoiding shipping fees and the wait for their potential online orders. This approach allows us to offer exceptional value that goes beyond mere price – it’s the thrill of discovering fresh styles that fosters a deep, in-person connection with our customers.</w:t>
      </w:r>
    </w:p>
    <w:p>
      <w:pPr>
        <w:sectPr>
          <w:pgSz w:w="11880" w:h="15480" w:orient="portrait"/>
          <w:cols w:equalWidth="0" w:num="1">
            <w:col w:w="10780"/>
          </w:cols>
          <w:pgMar w:left="540" w:top="807"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w:t>
      </w:r>
    </w:p>
    <w:p>
      <w:pPr>
        <w:sectPr>
          <w:pgSz w:w="11880" w:h="15480" w:orient="portrait"/>
          <w:cols w:equalWidth="0" w:num="1">
            <w:col w:w="10780"/>
          </w:cols>
          <w:pgMar w:left="540" w:top="807" w:right="560" w:bottom="0" w:gutter="0" w:footer="0" w:header="0"/>
          <w:type w:val="continuous"/>
        </w:sectPr>
      </w:pPr>
    </w:p>
    <w:bookmarkStart w:id="4" w:name="page5"/>
    <w:bookmarkEnd w:id="4"/>
    <w:p>
      <w:pPr>
        <w:ind w:right="20"/>
        <w:spacing w:after="0" w:line="262" w:lineRule="auto"/>
        <w:rPr>
          <w:sz w:val="20"/>
          <w:szCs w:val="20"/>
          <w:color w:val="auto"/>
        </w:rPr>
      </w:pPr>
      <w:r>
        <w:rPr>
          <w:rFonts w:ascii="Arial" w:cs="Arial" w:eastAsia="Arial" w:hAnsi="Arial"/>
          <w:sz w:val="18"/>
          <w:szCs w:val="18"/>
          <w:b w:val="1"/>
          <w:bCs w:val="1"/>
          <w:i w:val="1"/>
          <w:iCs w:val="1"/>
          <w:color w:val="auto"/>
        </w:rPr>
        <w:t>Dynamic Experience in a Friendly, Neat, Clean and Organized Environment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seek to provide a fashion -focused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shopping environment that is easy to navigate, encouraging shopping across divisions with a well-laid-out floor plan and exciting product displays throughout the space. We use a combination of style groupings, outfit suggestions and by-size displays to balance ease of shopping with suggestive selling. In each department, we showcase opening price-point offerings to enhance our strong value statement. Our stores are neat, clean and organized, offering a friendly environment where customers are encouraged to linger, explore and visit often. We are focused on refreshing and remodeling our store base to keep our stores current and continually refine our store format to ensure that we meet the needs of our customers and our store associates.</w:t>
      </w:r>
    </w:p>
    <w:p>
      <w:pPr>
        <w:spacing w:after="0" w:line="108" w:lineRule="exact"/>
        <w:rPr>
          <w:sz w:val="20"/>
          <w:szCs w:val="20"/>
          <w:color w:val="auto"/>
        </w:rPr>
      </w:pPr>
    </w:p>
    <w:p>
      <w:pPr>
        <w:ind w:right="20"/>
        <w:spacing w:after="0" w:line="246" w:lineRule="auto"/>
        <w:rPr>
          <w:sz w:val="20"/>
          <w:szCs w:val="20"/>
          <w:color w:val="auto"/>
        </w:rPr>
      </w:pPr>
      <w:r>
        <w:rPr>
          <w:rFonts w:ascii="Arial" w:cs="Arial" w:eastAsia="Arial" w:hAnsi="Arial"/>
          <w:sz w:val="19"/>
          <w:szCs w:val="19"/>
          <w:b w:val="1"/>
          <w:bCs w:val="1"/>
          <w:i w:val="1"/>
          <w:iCs w:val="1"/>
          <w:color w:val="auto"/>
        </w:rPr>
        <w:t>Friendly and Helpful Store Associates</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Our store associates are trained to provide friendly and helpful customer service to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deliver a positive shopping experience. Many of our store associates live in the communities where our stores are located and frequently shop our stores themselves. We have a long heritage of a diverse and inclusive workplace; 74% of our store associates are Black, and more than 90% of our store management positions are filled by women. As a result, our store associates cultivate a unique culture in our stores that creates a high level of connectivity with our customers. We strive to make our stores a destination where everyone is welcome, and our store associates foster that vision every day through enriched customer engagement.</w:t>
      </w:r>
    </w:p>
    <w:p>
      <w:pPr>
        <w:spacing w:after="0" w:line="122" w:lineRule="exact"/>
        <w:rPr>
          <w:sz w:val="20"/>
          <w:szCs w:val="20"/>
          <w:color w:val="auto"/>
        </w:rPr>
      </w:pPr>
    </w:p>
    <w:p>
      <w:pPr>
        <w:ind w:right="20"/>
        <w:spacing w:after="0" w:line="250" w:lineRule="auto"/>
        <w:rPr>
          <w:sz w:val="20"/>
          <w:szCs w:val="20"/>
          <w:color w:val="auto"/>
        </w:rPr>
      </w:pPr>
      <w:r>
        <w:rPr>
          <w:rFonts w:ascii="Arial" w:cs="Arial" w:eastAsia="Arial" w:hAnsi="Arial"/>
          <w:sz w:val="19"/>
          <w:szCs w:val="19"/>
          <w:b w:val="1"/>
          <w:bCs w:val="1"/>
          <w:i w:val="1"/>
          <w:iCs w:val="1"/>
          <w:color w:val="auto"/>
        </w:rPr>
        <w:t>Highly Talented and Motivated Leadership Team</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Our senior management team, led by Ken Seipel, our Chief Executive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Officer, has extensive retail experience across a broad range of disciplines, including merchandising, real estate, finance, store operations, supply chain management, human resources and information technology. Our management team plans and drives our growth strategy, which is based on our constant focus on providing trend-driven merchandise anchored in value to the Black customer. We believe our management team is integral to our success and positions us well for long-term growth.</w:t>
      </w:r>
    </w:p>
    <w:p>
      <w:pPr>
        <w:spacing w:after="0" w:line="11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Business Strategy</w:t>
      </w:r>
    </w:p>
    <w:p>
      <w:pPr>
        <w:spacing w:after="0" w:line="164"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color w:val="auto"/>
        </w:rPr>
        <w:t>With our focus on culturally-relevant fashion, exciting brands, and accessible pricing in each of our community locations, we believe that CITITRENDS is in a unique position to serve our loyal customer base, with a long runway for comp sales growth, store unit growth, profit margin expansion and a strong leadership team supported by a healthy, debt free balance sheet.</w:t>
      </w:r>
    </w:p>
    <w:p>
      <w:pPr>
        <w:spacing w:after="0" w:line="85" w:lineRule="exact"/>
        <w:rPr>
          <w:sz w:val="20"/>
          <w:szCs w:val="20"/>
          <w:color w:val="auto"/>
        </w:rPr>
      </w:pPr>
    </w:p>
    <w:p>
      <w:pPr>
        <w:ind w:right="300"/>
        <w:spacing w:after="0" w:line="281" w:lineRule="auto"/>
        <w:rPr>
          <w:sz w:val="20"/>
          <w:szCs w:val="20"/>
          <w:color w:val="auto"/>
        </w:rPr>
      </w:pPr>
      <w:r>
        <w:rPr>
          <w:rFonts w:ascii="Arial" w:cs="Arial" w:eastAsia="Arial" w:hAnsi="Arial"/>
          <w:sz w:val="19"/>
          <w:szCs w:val="19"/>
          <w:color w:val="auto"/>
        </w:rPr>
        <w:t>We have identified the following areas of focus to continue to improve the Company’s financial performance and to maximize long-term growth:</w:t>
      </w:r>
    </w:p>
    <w:p>
      <w:pPr>
        <w:spacing w:after="0" w:line="86" w:lineRule="exact"/>
        <w:rPr>
          <w:sz w:val="20"/>
          <w:szCs w:val="20"/>
          <w:color w:val="auto"/>
        </w:rPr>
      </w:pPr>
    </w:p>
    <w:p>
      <w:pPr>
        <w:ind w:right="20"/>
        <w:spacing w:after="0" w:line="243" w:lineRule="auto"/>
        <w:rPr>
          <w:sz w:val="20"/>
          <w:szCs w:val="20"/>
          <w:color w:val="auto"/>
        </w:rPr>
      </w:pPr>
      <w:r>
        <w:rPr>
          <w:rFonts w:ascii="Arial" w:cs="Arial" w:eastAsia="Arial" w:hAnsi="Arial"/>
          <w:sz w:val="19"/>
          <w:szCs w:val="19"/>
          <w:b w:val="1"/>
          <w:bCs w:val="1"/>
          <w:i w:val="1"/>
          <w:iCs w:val="1"/>
          <w:color w:val="auto"/>
        </w:rPr>
        <w:t xml:space="preserve">Offer Compelling Value Proposition </w:t>
      </w:r>
      <w:r>
        <w:rPr>
          <w:rFonts w:ascii="Arial" w:cs="Arial" w:eastAsia="Arial" w:hAnsi="Arial"/>
          <w:sz w:val="19"/>
          <w:szCs w:val="19"/>
          <w:color w:val="auto"/>
        </w:rPr>
        <w:t>. Our customers understand that value is more than price and are willing to spend more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when the style is for them, the fashion is on trend and the quality is right. Our brand promise is clear: Styles that see you, prices that amaze you and trends that tell your story. We offer a balanced assortment of good, better, and best products that resonates with our customer base across income levels, all focused on the wants and needs of our Black customers. This approach differentiates our model while driving customer loyalty and repeat visits. We are known for delivering newness and freshness, resulting in high customer frequency. We highlight our opening price point offerings consistently across departments, ensuring our budget-conscious customers can easily identify these options. Our core value product is the bedrock of our business, and we are focused on ensuring quality-for-price in this important tier. Our research confirms that our customers have good disposable income and respond positively to recognizable brands with a willingness to trade up. This insight has guided our branded merchandise strategy which will become a larger part of our product assortment. We are expanding our offering of “treasures,” or extreme value product offerings, enabling us to offer well-known brands at a significant discount to the market. Our product strategy is supported by our open-to-buy process which allows us to be flexible and responsive to emerging trends. We practice rigorous inventory management, prioritizing choice and breadth over depth, improving our speed to market and driving faster turns.</w:t>
      </w:r>
    </w:p>
    <w:p>
      <w:pPr>
        <w:spacing w:after="0" w:line="121" w:lineRule="exact"/>
        <w:rPr>
          <w:sz w:val="20"/>
          <w:szCs w:val="20"/>
          <w:color w:val="auto"/>
        </w:rPr>
      </w:pPr>
    </w:p>
    <w:p>
      <w:pPr>
        <w:spacing w:after="0" w:line="248" w:lineRule="auto"/>
        <w:rPr>
          <w:sz w:val="20"/>
          <w:szCs w:val="20"/>
          <w:color w:val="auto"/>
        </w:rPr>
      </w:pPr>
      <w:r>
        <w:rPr>
          <w:rFonts w:ascii="Arial" w:cs="Arial" w:eastAsia="Arial" w:hAnsi="Arial"/>
          <w:sz w:val="19"/>
          <w:szCs w:val="19"/>
          <w:b w:val="1"/>
          <w:bCs w:val="1"/>
          <w:i w:val="1"/>
          <w:iCs w:val="1"/>
          <w:color w:val="auto"/>
        </w:rPr>
        <w:t xml:space="preserve">Focus on the Black Customer. </w:t>
      </w:r>
      <w:r>
        <w:rPr>
          <w:rFonts w:ascii="Arial" w:cs="Arial" w:eastAsia="Arial" w:hAnsi="Arial"/>
          <w:sz w:val="19"/>
          <w:szCs w:val="19"/>
          <w:color w:val="auto"/>
        </w:rPr>
        <w:t>We are one of the largest national retailers focused on Black customers. Our customers are at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core of what we do, central to our business and critical to our success. Our customers are fashion conscious and prioritize style as an expression of self. Recent extensive customer research revealed that about one third of our customers visit our stores weekly or bi-weekly and have incomes in the $75k to $150k range. The next largest tier visits monthly with incomes in the range of $50k to $75k. We also serve a base of less frequent, lower income customers who are more budget conscious. We are serving customers across all income levels with our three-tiered product strategy.</w:t>
      </w:r>
    </w:p>
    <w:p>
      <w:pPr>
        <w:sectPr>
          <w:pgSz w:w="11880" w:h="15480" w:orient="portrait"/>
          <w:cols w:equalWidth="0" w:num="1">
            <w:col w:w="10760"/>
          </w:cols>
          <w:pgMar w:left="540" w:top="807"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5</w:t>
      </w:r>
    </w:p>
    <w:p>
      <w:pPr>
        <w:sectPr>
          <w:pgSz w:w="11880" w:h="15480" w:orient="portrait"/>
          <w:cols w:equalWidth="0" w:num="1">
            <w:col w:w="10760"/>
          </w:cols>
          <w:pgMar w:left="540" w:top="807" w:right="580" w:bottom="0" w:gutter="0" w:footer="0" w:header="0"/>
          <w:type w:val="continuous"/>
        </w:sectPr>
      </w:pPr>
    </w:p>
    <w:bookmarkStart w:id="5" w:name="page6"/>
    <w:bookmarkEnd w:id="5"/>
    <w:p>
      <w:pPr>
        <w:spacing w:after="0" w:line="245" w:lineRule="auto"/>
        <w:rPr>
          <w:sz w:val="20"/>
          <w:szCs w:val="20"/>
          <w:color w:val="auto"/>
        </w:rPr>
      </w:pPr>
      <w:r>
        <w:rPr>
          <w:rFonts w:ascii="Arial" w:cs="Arial" w:eastAsia="Arial" w:hAnsi="Arial"/>
          <w:sz w:val="19"/>
          <w:szCs w:val="19"/>
          <w:b w:val="1"/>
          <w:bCs w:val="1"/>
          <w:i w:val="1"/>
          <w:iCs w:val="1"/>
          <w:color w:val="auto"/>
        </w:rPr>
        <w:t>Consistent Operational Excellence</w:t>
      </w:r>
      <w:r>
        <w:rPr>
          <w:rFonts w:ascii="Arial" w:cs="Arial" w:eastAsia="Arial" w:hAnsi="Arial"/>
          <w:sz w:val="19"/>
          <w:szCs w:val="19"/>
          <w:color w:val="auto"/>
        </w:rPr>
        <w:t>. Our objective is to be fast, consistent and efficient. We believe that our ability to produce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strong, consistent and sustainable financial results depends on the development of fundamental retail practices and consistent execution. We have taken fast action to improve access to information and to develop consistent key performance indicators to drive business results. We have refined our product allocation methodology and are investing in artificial intelligence (“AI”)-based technology to drive more effective and efficient product allocation processes. We have made improvements to our supply chain speed and we are driving additional improvements to further improve product speed to store as well as to reduce our working capital needs. We have implemented improved product planning practices focused on pre -season strategy and open -to-buy to support growing categories. Each of these improvements is supported by having the right talent in place. We believe that these foundational improvements will drive near-term financial results while positioning us for future, accelerated growth.</w:t>
      </w:r>
    </w:p>
    <w:p>
      <w:pPr>
        <w:spacing w:after="0" w:line="119"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i w:val="1"/>
          <w:iCs w:val="1"/>
          <w:color w:val="auto"/>
        </w:rPr>
        <w:t>Growth</w:t>
      </w:r>
      <w:r>
        <w:rPr>
          <w:rFonts w:ascii="Arial" w:cs="Arial" w:eastAsia="Arial" w:hAnsi="Arial"/>
          <w:sz w:val="18"/>
          <w:szCs w:val="18"/>
          <w:color w:val="auto"/>
        </w:rPr>
        <w:t>. We believe that our 590 stores located in the heart of Black communities is a key differentiator of our business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gives us a defensible moat around our business and store base. To improve the financial performance of the company, we are focused on improving productivity in our existing stores by sharpening our focus on our Black customers and strategically investing in product categories identified for intensification through our customer insights studies, both with a goal of driving increased foot traffic and basket. Finally, we believe that an integral part of our sales growth is the continued refinement of our store format, incorporating customer feedback and insights from operational results to improve the in- store experience and enhance profitability. We are remodeling existing stores to the updated format, and all new stores will open in the revised format.</w:t>
      </w:r>
    </w:p>
    <w:p>
      <w:pPr>
        <w:spacing w:after="0" w:line="108" w:lineRule="exact"/>
        <w:rPr>
          <w:sz w:val="20"/>
          <w:szCs w:val="20"/>
          <w:color w:val="auto"/>
        </w:rPr>
      </w:pPr>
    </w:p>
    <w:p>
      <w:pPr>
        <w:ind w:right="240"/>
        <w:spacing w:after="0" w:line="246" w:lineRule="auto"/>
        <w:rPr>
          <w:sz w:val="20"/>
          <w:szCs w:val="20"/>
          <w:color w:val="auto"/>
        </w:rPr>
      </w:pPr>
      <w:r>
        <w:rPr>
          <w:rFonts w:ascii="Arial" w:cs="Arial" w:eastAsia="Arial" w:hAnsi="Arial"/>
          <w:sz w:val="19"/>
          <w:szCs w:val="19"/>
          <w:color w:val="auto"/>
        </w:rPr>
        <w:t>Looking forward, we are positioning CITITRENDS for strategic new store growth, including through potential assumptions of leases or subleases. Our expansion strategy focuses on backfilling existing markets where we have brand awareness and proven performance and selectively entering new markets with strong demographic alignment to our customer base. This new store expansion is guided by a disciplined approach leveraging AI tools and extensive data analysis designed to predict sales with approximately 90% accuracy. We are also applying financial criteria to every new store decision and rely on local-market expertise from our real estate team. We believe this approach positions us to expand intelligently while maximizing return on investments.</w:t>
      </w:r>
    </w:p>
    <w:p>
      <w:pPr>
        <w:spacing w:after="0" w:line="121" w:lineRule="exact"/>
        <w:rPr>
          <w:sz w:val="20"/>
          <w:szCs w:val="20"/>
          <w:color w:val="auto"/>
        </w:rPr>
      </w:pPr>
    </w:p>
    <w:p>
      <w:pPr>
        <w:ind w:right="60"/>
        <w:spacing w:after="0" w:line="246" w:lineRule="auto"/>
        <w:rPr>
          <w:sz w:val="20"/>
          <w:szCs w:val="20"/>
          <w:color w:val="auto"/>
        </w:rPr>
      </w:pPr>
      <w:r>
        <w:rPr>
          <w:rFonts w:ascii="Arial" w:cs="Arial" w:eastAsia="Arial" w:hAnsi="Arial"/>
          <w:sz w:val="19"/>
          <w:szCs w:val="19"/>
          <w:b w:val="1"/>
          <w:bCs w:val="1"/>
          <w:i w:val="1"/>
          <w:iCs w:val="1"/>
          <w:color w:val="auto"/>
        </w:rPr>
        <w:t xml:space="preserve">People. </w:t>
      </w:r>
      <w:r>
        <w:rPr>
          <w:rFonts w:ascii="Arial" w:cs="Arial" w:eastAsia="Arial" w:hAnsi="Arial"/>
          <w:sz w:val="19"/>
          <w:szCs w:val="19"/>
          <w:color w:val="auto"/>
        </w:rPr>
        <w:t>We believe that our people are a key differentiator for our business and are key to the continued transformation of our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company. Our buying team is trained to understand our customers, what motivates them to shop at CITITRENDS and what creates an emotional connection to the brand. Our buyers also cultivate strong relationships with the vendor community to gain access to the exciting, trend-right product that our customers rely on us to provide. We believe that our store associates, many of whom come from the communities we serve, are another key component of the in-store experience. They create an exciting and welcoming shopping experience for our customers and serve as a valuable source of insights on our core customers’ needs and preferences. Our leadership team is made up of functional experts who are adept at leading through change. Under the direction of Ken Seipel, our Chief Executive Officer, we believe that our people are key to the Company’s success.</w:t>
      </w:r>
    </w:p>
    <w:p>
      <w:pPr>
        <w:spacing w:after="0" w:line="116" w:lineRule="exact"/>
        <w:rPr>
          <w:sz w:val="20"/>
          <w:szCs w:val="20"/>
          <w:color w:val="auto"/>
        </w:rPr>
      </w:pPr>
    </w:p>
    <w:p>
      <w:pPr>
        <w:spacing w:after="0" w:line="281" w:lineRule="auto"/>
        <w:rPr>
          <w:sz w:val="20"/>
          <w:szCs w:val="20"/>
          <w:color w:val="auto"/>
        </w:rPr>
      </w:pPr>
      <w:r>
        <w:rPr>
          <w:rFonts w:ascii="Arial" w:cs="Arial" w:eastAsia="Arial" w:hAnsi="Arial"/>
          <w:sz w:val="19"/>
          <w:szCs w:val="19"/>
          <w:color w:val="auto"/>
        </w:rPr>
        <w:t>We strongly believe that our business strategy centered around these five areas will restore our financial performance and accelerate our long-term sales and earnings growth.</w:t>
      </w:r>
    </w:p>
    <w:p>
      <w:pPr>
        <w:spacing w:after="0" w:line="8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Product and Value</w:t>
      </w:r>
    </w:p>
    <w:p>
      <w:pPr>
        <w:spacing w:after="0" w:line="162" w:lineRule="exact"/>
        <w:rPr>
          <w:sz w:val="20"/>
          <w:szCs w:val="20"/>
          <w:color w:val="auto"/>
        </w:rPr>
      </w:pPr>
    </w:p>
    <w:p>
      <w:pPr>
        <w:ind w:right="100"/>
        <w:spacing w:after="0" w:line="253" w:lineRule="auto"/>
        <w:rPr>
          <w:sz w:val="20"/>
          <w:szCs w:val="20"/>
          <w:color w:val="auto"/>
        </w:rPr>
      </w:pPr>
      <w:r>
        <w:rPr>
          <w:rFonts w:ascii="Arial" w:cs="Arial" w:eastAsia="Arial" w:hAnsi="Arial"/>
          <w:sz w:val="19"/>
          <w:szCs w:val="19"/>
          <w:color w:val="auto"/>
        </w:rPr>
        <w:t>Our merchandising strategy focuses on delivering fresh, fashionable and trend-right apparel, accessories and home products at exceptional value for Black families. As the go-to family store in the community, we are committed to maintaining a diverse, seasonally relevant assortment that reflects the bold style and preferences of our customers. Our product offerings include a balanced mix of privately developed brands and nationally recognized labels, ensuring both quality and affordability.</w:t>
      </w:r>
    </w:p>
    <w:p>
      <w:pPr>
        <w:spacing w:after="0" w:line="114" w:lineRule="exact"/>
        <w:rPr>
          <w:sz w:val="20"/>
          <w:szCs w:val="20"/>
          <w:color w:val="auto"/>
        </w:rPr>
      </w:pPr>
    </w:p>
    <w:p>
      <w:pPr>
        <w:spacing w:after="0"/>
        <w:rPr>
          <w:sz w:val="20"/>
          <w:szCs w:val="20"/>
          <w:color w:val="auto"/>
        </w:rPr>
      </w:pPr>
      <w:r>
        <w:rPr>
          <w:rFonts w:ascii="Arial" w:cs="Arial" w:eastAsia="Arial" w:hAnsi="Arial"/>
          <w:sz w:val="19"/>
          <w:szCs w:val="19"/>
          <w:color w:val="auto"/>
        </w:rPr>
        <w:t>Our merchandise is represented by six distinct divisions within the store:</w:t>
      </w:r>
    </w:p>
    <w:p>
      <w:pPr>
        <w:spacing w:after="0" w:line="172" w:lineRule="exact"/>
        <w:rPr>
          <w:sz w:val="20"/>
          <w:szCs w:val="20"/>
          <w:color w:val="auto"/>
        </w:rPr>
      </w:pPr>
    </w:p>
    <w:p>
      <w:pPr>
        <w:ind w:left="720" w:right="440" w:hanging="360"/>
        <w:spacing w:after="0" w:line="266" w:lineRule="auto"/>
        <w:tabs>
          <w:tab w:leader="none" w:pos="720" w:val="left"/>
        </w:tabs>
        <w:numPr>
          <w:ilvl w:val="0"/>
          <w:numId w:val="4"/>
        </w:numPr>
        <w:rPr>
          <w:rFonts w:ascii="Symbol" w:cs="Symbol" w:eastAsia="Symbol" w:hAnsi="Symbol"/>
          <w:sz w:val="19"/>
          <w:szCs w:val="19"/>
          <w:color w:val="auto"/>
        </w:rPr>
      </w:pPr>
      <w:r>
        <w:rPr>
          <w:rFonts w:ascii="Arial" w:cs="Arial" w:eastAsia="Arial" w:hAnsi="Arial"/>
          <w:sz w:val="19"/>
          <w:szCs w:val="19"/>
          <w:b w:val="1"/>
          <w:bCs w:val="1"/>
          <w:i w:val="1"/>
          <w:iCs w:val="1"/>
          <w:color w:val="auto"/>
        </w:rPr>
        <w:t xml:space="preserve">Women’s: </w:t>
      </w:r>
      <w:r>
        <w:rPr>
          <w:rFonts w:ascii="Arial" w:cs="Arial" w:eastAsia="Arial" w:hAnsi="Arial"/>
          <w:sz w:val="19"/>
          <w:szCs w:val="19"/>
          <w:color w:val="auto"/>
        </w:rPr>
        <w:t>a wide selection of apparel for juniors, missy and plus size, including trend right sportswear, outerwear,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sleepwear, lingerie and scrubs.</w:t>
      </w:r>
    </w:p>
    <w:p>
      <w:pPr>
        <w:spacing w:after="0" w:line="109" w:lineRule="exact"/>
        <w:rPr>
          <w:rFonts w:ascii="Symbol" w:cs="Symbol" w:eastAsia="Symbol" w:hAnsi="Symbol"/>
          <w:sz w:val="19"/>
          <w:szCs w:val="19"/>
          <w:color w:val="auto"/>
        </w:rPr>
      </w:pPr>
    </w:p>
    <w:p>
      <w:pPr>
        <w:ind w:left="720" w:right="200" w:hanging="360"/>
        <w:spacing w:after="0" w:line="266" w:lineRule="auto"/>
        <w:tabs>
          <w:tab w:leader="none" w:pos="720" w:val="left"/>
        </w:tabs>
        <w:numPr>
          <w:ilvl w:val="0"/>
          <w:numId w:val="4"/>
        </w:numPr>
        <w:rPr>
          <w:rFonts w:ascii="Symbol" w:cs="Symbol" w:eastAsia="Symbol" w:hAnsi="Symbol"/>
          <w:sz w:val="19"/>
          <w:szCs w:val="19"/>
          <w:color w:val="auto"/>
        </w:rPr>
      </w:pPr>
      <w:r>
        <w:rPr>
          <w:rFonts w:ascii="Arial" w:cs="Arial" w:eastAsia="Arial" w:hAnsi="Arial"/>
          <w:sz w:val="19"/>
          <w:szCs w:val="19"/>
          <w:b w:val="1"/>
          <w:bCs w:val="1"/>
          <w:i w:val="1"/>
          <w:iCs w:val="1"/>
          <w:color w:val="auto"/>
        </w:rPr>
        <w:t xml:space="preserve">Children’s: </w:t>
      </w:r>
      <w:r>
        <w:rPr>
          <w:rFonts w:ascii="Arial" w:cs="Arial" w:eastAsia="Arial" w:hAnsi="Arial"/>
          <w:sz w:val="19"/>
          <w:szCs w:val="19"/>
          <w:color w:val="auto"/>
        </w:rPr>
        <w:t>a wide assortment of basics, fashion and trends for boys up to size 20 and girls up to size 16. Also, sizes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for newborns, infants and toddlers, as well as children’s uniforms, accessories and sleepwear.</w:t>
      </w:r>
    </w:p>
    <w:p>
      <w:pPr>
        <w:spacing w:after="0" w:line="109" w:lineRule="exact"/>
        <w:rPr>
          <w:rFonts w:ascii="Symbol" w:cs="Symbol" w:eastAsia="Symbol" w:hAnsi="Symbol"/>
          <w:sz w:val="19"/>
          <w:szCs w:val="19"/>
          <w:color w:val="auto"/>
        </w:rPr>
      </w:pPr>
    </w:p>
    <w:p>
      <w:pPr>
        <w:ind w:left="720" w:hanging="360"/>
        <w:spacing w:after="0"/>
        <w:tabs>
          <w:tab w:leader="none" w:pos="720" w:val="left"/>
        </w:tabs>
        <w:numPr>
          <w:ilvl w:val="0"/>
          <w:numId w:val="4"/>
        </w:numPr>
        <w:rPr>
          <w:rFonts w:ascii="Symbol" w:cs="Symbol" w:eastAsia="Symbol" w:hAnsi="Symbol"/>
          <w:sz w:val="19"/>
          <w:szCs w:val="19"/>
          <w:color w:val="auto"/>
        </w:rPr>
      </w:pPr>
      <w:r>
        <w:rPr>
          <w:rFonts w:ascii="Arial" w:cs="Arial" w:eastAsia="Arial" w:hAnsi="Arial"/>
          <w:sz w:val="19"/>
          <w:szCs w:val="19"/>
          <w:b w:val="1"/>
          <w:bCs w:val="1"/>
          <w:i w:val="1"/>
          <w:iCs w:val="1"/>
          <w:color w:val="auto"/>
        </w:rPr>
        <w:t xml:space="preserve">Men’s: </w:t>
      </w:r>
      <w:r>
        <w:rPr>
          <w:rFonts w:ascii="Arial" w:cs="Arial" w:eastAsia="Arial" w:hAnsi="Arial"/>
          <w:sz w:val="19"/>
          <w:szCs w:val="19"/>
          <w:color w:val="auto"/>
        </w:rPr>
        <w:t>a wide selection of apparel for men and big men, including trend right sportswear and outerwear.</w:t>
      </w:r>
    </w:p>
    <w:p>
      <w:pPr>
        <w:spacing w:after="0" w:line="158" w:lineRule="exact"/>
        <w:rPr>
          <w:rFonts w:ascii="Symbol" w:cs="Symbol" w:eastAsia="Symbol" w:hAnsi="Symbol"/>
          <w:sz w:val="19"/>
          <w:szCs w:val="19"/>
          <w:color w:val="auto"/>
        </w:rPr>
      </w:pPr>
    </w:p>
    <w:p>
      <w:pPr>
        <w:ind w:left="720" w:right="360" w:hanging="360"/>
        <w:spacing w:after="0" w:line="266" w:lineRule="auto"/>
        <w:tabs>
          <w:tab w:leader="none" w:pos="720" w:val="left"/>
        </w:tabs>
        <w:numPr>
          <w:ilvl w:val="0"/>
          <w:numId w:val="4"/>
        </w:numPr>
        <w:rPr>
          <w:rFonts w:ascii="Symbol" w:cs="Symbol" w:eastAsia="Symbol" w:hAnsi="Symbol"/>
          <w:sz w:val="19"/>
          <w:szCs w:val="19"/>
          <w:color w:val="auto"/>
        </w:rPr>
      </w:pPr>
      <w:r>
        <w:rPr>
          <w:rFonts w:ascii="Arial" w:cs="Arial" w:eastAsia="Arial" w:hAnsi="Arial"/>
          <w:sz w:val="19"/>
          <w:szCs w:val="19"/>
          <w:b w:val="1"/>
          <w:bCs w:val="1"/>
          <w:i w:val="1"/>
          <w:iCs w:val="1"/>
          <w:color w:val="auto"/>
        </w:rPr>
        <w:t xml:space="preserve">Accessories &amp; Beauty: </w:t>
      </w:r>
      <w:r>
        <w:rPr>
          <w:rFonts w:ascii="Arial" w:cs="Arial" w:eastAsia="Arial" w:hAnsi="Arial"/>
          <w:sz w:val="19"/>
          <w:szCs w:val="19"/>
          <w:color w:val="auto"/>
        </w:rPr>
        <w:t>fashionable handbags, luggage, hats, belts, sunglasses, jewelry and watches for men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women, underwear and socks for the entire family, as well as beauty and fragrance offerings for women and men.</w:t>
      </w:r>
    </w:p>
    <w:p>
      <w:pPr>
        <w:spacing w:after="0" w:line="109" w:lineRule="exact"/>
        <w:rPr>
          <w:rFonts w:ascii="Symbol" w:cs="Symbol" w:eastAsia="Symbol" w:hAnsi="Symbol"/>
          <w:sz w:val="19"/>
          <w:szCs w:val="19"/>
          <w:color w:val="auto"/>
        </w:rPr>
      </w:pPr>
    </w:p>
    <w:p>
      <w:pPr>
        <w:ind w:left="720" w:right="420" w:hanging="360"/>
        <w:spacing w:after="0" w:line="253" w:lineRule="auto"/>
        <w:tabs>
          <w:tab w:leader="none" w:pos="720" w:val="left"/>
        </w:tabs>
        <w:numPr>
          <w:ilvl w:val="0"/>
          <w:numId w:val="4"/>
        </w:numPr>
        <w:rPr>
          <w:rFonts w:ascii="Symbol" w:cs="Symbol" w:eastAsia="Symbol" w:hAnsi="Symbol"/>
          <w:sz w:val="19"/>
          <w:szCs w:val="19"/>
          <w:color w:val="auto"/>
        </w:rPr>
      </w:pPr>
      <w:r>
        <w:rPr>
          <w:rFonts w:ascii="Arial" w:cs="Arial" w:eastAsia="Arial" w:hAnsi="Arial"/>
          <w:sz w:val="19"/>
          <w:szCs w:val="19"/>
          <w:b w:val="1"/>
          <w:bCs w:val="1"/>
          <w:i w:val="1"/>
          <w:iCs w:val="1"/>
          <w:color w:val="auto"/>
        </w:rPr>
        <w:t xml:space="preserve">Home &amp; Lifestyle: </w:t>
      </w:r>
      <w:r>
        <w:rPr>
          <w:rFonts w:ascii="Arial" w:cs="Arial" w:eastAsia="Arial" w:hAnsi="Arial"/>
          <w:sz w:val="19"/>
          <w:szCs w:val="19"/>
          <w:color w:val="auto"/>
        </w:rPr>
        <w:t>home goods for the bedroom, bathroom, kitchen and decorative accessories, plus an eclectic</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composition of wants and needs such as books, food, tech products, team sports products, toys, health and beauty products and seasonal items.</w:t>
      </w:r>
    </w:p>
    <w:p>
      <w:pPr>
        <w:spacing w:after="0" w:line="123" w:lineRule="exact"/>
        <w:rPr>
          <w:rFonts w:ascii="Symbol" w:cs="Symbol" w:eastAsia="Symbol" w:hAnsi="Symbol"/>
          <w:sz w:val="19"/>
          <w:szCs w:val="19"/>
          <w:color w:val="auto"/>
        </w:rPr>
      </w:pPr>
    </w:p>
    <w:p>
      <w:pPr>
        <w:ind w:left="720" w:hanging="360"/>
        <w:spacing w:after="0"/>
        <w:tabs>
          <w:tab w:leader="none" w:pos="720" w:val="left"/>
        </w:tabs>
        <w:numPr>
          <w:ilvl w:val="0"/>
          <w:numId w:val="4"/>
        </w:numPr>
        <w:rPr>
          <w:rFonts w:ascii="Symbol" w:cs="Symbol" w:eastAsia="Symbol" w:hAnsi="Symbol"/>
          <w:sz w:val="19"/>
          <w:szCs w:val="19"/>
          <w:color w:val="auto"/>
        </w:rPr>
      </w:pPr>
      <w:r>
        <w:rPr>
          <w:rFonts w:ascii="Arial" w:cs="Arial" w:eastAsia="Arial" w:hAnsi="Arial"/>
          <w:sz w:val="19"/>
          <w:szCs w:val="19"/>
          <w:b w:val="1"/>
          <w:bCs w:val="1"/>
          <w:i w:val="1"/>
          <w:iCs w:val="1"/>
          <w:color w:val="auto"/>
        </w:rPr>
        <w:t xml:space="preserve">Footwear: </w:t>
      </w:r>
      <w:r>
        <w:rPr>
          <w:rFonts w:ascii="Arial" w:cs="Arial" w:eastAsia="Arial" w:hAnsi="Arial"/>
          <w:sz w:val="19"/>
          <w:szCs w:val="19"/>
          <w:color w:val="auto"/>
        </w:rPr>
        <w:t>casual and dress footwear in sizes for men, women and children.</w:t>
      </w:r>
    </w:p>
    <w:p>
      <w:pPr>
        <w:sectPr>
          <w:pgSz w:w="11880" w:h="15480" w:orient="portrait"/>
          <w:cols w:equalWidth="0" w:num="1">
            <w:col w:w="10800"/>
          </w:cols>
          <w:pgMar w:left="540" w:top="80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ectPr>
          <w:pgSz w:w="11880" w:h="15480" w:orient="portrait"/>
          <w:cols w:equalWidth="0" w:num="1">
            <w:col w:w="10800"/>
          </w:cols>
          <w:pgMar w:left="540" w:top="807" w:right="540" w:bottom="0" w:gutter="0" w:footer="0" w:header="0"/>
          <w:type w:val="continuous"/>
        </w:sectPr>
      </w:pPr>
    </w:p>
    <w:bookmarkStart w:id="6" w:name="page7"/>
    <w:bookmarkEnd w:id="6"/>
    <w:p>
      <w:pPr>
        <w:spacing w:after="0"/>
        <w:rPr>
          <w:sz w:val="20"/>
          <w:szCs w:val="20"/>
          <w:color w:val="auto"/>
        </w:rPr>
      </w:pPr>
      <w:r>
        <w:rPr>
          <w:rFonts w:ascii="Arial" w:cs="Arial" w:eastAsia="Arial" w:hAnsi="Arial"/>
          <w:sz w:val="19"/>
          <w:szCs w:val="19"/>
          <w:color w:val="auto"/>
        </w:rPr>
        <w:t>The following table provides the percentage of net sales for each Division within the store:</w:t>
      </w:r>
    </w:p>
    <w:p>
      <w:pPr>
        <w:spacing w:after="0" w:line="178" w:lineRule="exact"/>
        <w:rPr>
          <w:sz w:val="20"/>
          <w:szCs w:val="20"/>
          <w:color w:val="auto"/>
        </w:rPr>
      </w:pPr>
    </w:p>
    <w:tbl>
      <w:tblPr>
        <w:tblLayout w:type="fixed"/>
        <w:tblInd w:w="1360" w:type="dxa"/>
        <w:tblCellMar>
          <w:top w:w="0" w:type="dxa"/>
          <w:left w:w="0" w:type="dxa"/>
          <w:bottom w:w="0" w:type="dxa"/>
          <w:right w:w="0" w:type="dxa"/>
        </w:tblCellMar>
      </w:tblPr>
      <w:tr>
        <w:trPr>
          <w:trHeight w:val="203"/>
        </w:trPr>
        <w:tc>
          <w:tcPr>
            <w:tcW w:w="5960" w:type="dxa"/>
            <w:vAlign w:val="bottom"/>
            <w:vMerge w:val="restart"/>
          </w:tcPr>
          <w:p>
            <w:pPr>
              <w:spacing w:after="0"/>
              <w:rPr>
                <w:sz w:val="20"/>
                <w:szCs w:val="20"/>
                <w:color w:val="auto"/>
              </w:rPr>
            </w:pPr>
            <w:r>
              <w:rPr>
                <w:rFonts w:ascii="Arial" w:cs="Arial" w:eastAsia="Arial" w:hAnsi="Arial"/>
                <w:sz w:val="19"/>
                <w:szCs w:val="19"/>
                <w:b w:val="1"/>
                <w:bCs w:val="1"/>
                <w:color w:val="auto"/>
              </w:rPr>
              <w:t>Divisions</w:t>
            </w:r>
          </w:p>
        </w:tc>
        <w:tc>
          <w:tcPr>
            <w:tcW w:w="180" w:type="dxa"/>
            <w:vAlign w:val="bottom"/>
            <w:vMerge w:val="restart"/>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9"/>
              </w:rPr>
              <w:t>Fiscal Year</w:t>
            </w:r>
          </w:p>
        </w:tc>
        <w:tc>
          <w:tcPr>
            <w:tcW w:w="42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96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b w:val="1"/>
                <w:bCs w:val="1"/>
                <w:color w:val="auto"/>
                <w:w w:val="95"/>
              </w:rPr>
              <w:t>2025</w:t>
            </w:r>
          </w:p>
        </w:tc>
        <w:tc>
          <w:tcPr>
            <w:tcW w:w="2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b w:val="1"/>
                <w:bCs w:val="1"/>
                <w:color w:val="auto"/>
                <w:w w:val="89"/>
              </w:rPr>
              <w:t>2024</w:t>
            </w:r>
          </w:p>
        </w:tc>
        <w:tc>
          <w:tcPr>
            <w:tcW w:w="2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shd w:val="clear" w:color="auto" w:fill="000000"/>
          </w:tcPr>
          <w:p>
            <w:pPr>
              <w:spacing w:after="0" w:line="20" w:lineRule="exact"/>
              <w:rPr>
                <w:sz w:val="1"/>
                <w:szCs w:val="1"/>
                <w:color w:val="auto"/>
              </w:rPr>
            </w:pPr>
          </w:p>
        </w:tc>
        <w:tc>
          <w:tcPr>
            <w:tcW w:w="180" w:type="dxa"/>
            <w:vAlign w:val="bottom"/>
            <w:shd w:val="clear" w:color="auto" w:fill="D1EDF4"/>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Borders>
              <w:right w:val="single" w:sz="8" w:color="D1EDF4"/>
            </w:tcBorders>
            <w:shd w:val="clear" w:color="auto" w:fill="D1EDF4"/>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D1EDF4"/>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D1EDF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shd w:val="clear" w:color="auto" w:fill="D1EDF4"/>
          </w:tcPr>
          <w:p>
            <w:pPr>
              <w:spacing w:after="0" w:line="211" w:lineRule="exact"/>
              <w:rPr>
                <w:sz w:val="20"/>
                <w:szCs w:val="20"/>
                <w:color w:val="auto"/>
              </w:rPr>
            </w:pPr>
            <w:r>
              <w:rPr>
                <w:rFonts w:ascii="Arial" w:cs="Arial" w:eastAsia="Arial" w:hAnsi="Arial"/>
                <w:sz w:val="19"/>
                <w:szCs w:val="19"/>
                <w:color w:val="auto"/>
              </w:rPr>
              <w:t>Women's</w:t>
            </w:r>
          </w:p>
        </w:tc>
        <w:tc>
          <w:tcPr>
            <w:tcW w:w="180" w:type="dxa"/>
            <w:vAlign w:val="bottom"/>
            <w:shd w:val="clear" w:color="auto" w:fill="D1EDF4"/>
          </w:tcPr>
          <w:p>
            <w:pPr>
              <w:spacing w:after="0"/>
              <w:rPr>
                <w:sz w:val="18"/>
                <w:szCs w:val="18"/>
                <w:color w:val="auto"/>
              </w:rPr>
            </w:pPr>
          </w:p>
        </w:tc>
        <w:tc>
          <w:tcPr>
            <w:tcW w:w="1960" w:type="dxa"/>
            <w:vAlign w:val="bottom"/>
            <w:gridSpan w:val="6"/>
            <w:shd w:val="clear" w:color="auto" w:fill="D1EDF4"/>
          </w:tcPr>
          <w:p>
            <w:pPr>
              <w:jc w:val="right"/>
              <w:ind w:right="120"/>
              <w:spacing w:after="0" w:line="211" w:lineRule="exact"/>
              <w:rPr>
                <w:sz w:val="20"/>
                <w:szCs w:val="20"/>
                <w:color w:val="auto"/>
              </w:rPr>
            </w:pPr>
            <w:r>
              <w:rPr>
                <w:rFonts w:ascii="Arial" w:cs="Arial" w:eastAsia="Arial" w:hAnsi="Arial"/>
                <w:sz w:val="19"/>
                <w:szCs w:val="19"/>
                <w:color w:val="auto"/>
              </w:rPr>
              <w:t>27 %  27 %   27 %</w:t>
            </w:r>
          </w:p>
        </w:tc>
        <w:tc>
          <w:tcPr>
            <w:tcW w:w="0" w:type="dxa"/>
            <w:vAlign w:val="bottom"/>
          </w:tcPr>
          <w:p>
            <w:pPr>
              <w:spacing w:after="0"/>
              <w:rPr>
                <w:sz w:val="1"/>
                <w:szCs w:val="1"/>
                <w:color w:val="auto"/>
              </w:rPr>
            </w:pPr>
          </w:p>
        </w:tc>
      </w:tr>
      <w:tr>
        <w:trPr>
          <w:trHeight w:val="218"/>
        </w:trPr>
        <w:tc>
          <w:tcPr>
            <w:tcW w:w="6140" w:type="dxa"/>
            <w:vAlign w:val="bottom"/>
            <w:gridSpan w:val="2"/>
          </w:tcPr>
          <w:p>
            <w:pPr>
              <w:spacing w:after="0"/>
              <w:rPr>
                <w:sz w:val="20"/>
                <w:szCs w:val="20"/>
                <w:color w:val="auto"/>
              </w:rPr>
            </w:pPr>
            <w:r>
              <w:rPr>
                <w:rFonts w:ascii="Arial" w:cs="Arial" w:eastAsia="Arial" w:hAnsi="Arial"/>
                <w:sz w:val="19"/>
                <w:szCs w:val="19"/>
                <w:color w:val="auto"/>
              </w:rPr>
              <w:t>Children's</w:t>
            </w:r>
          </w:p>
        </w:tc>
        <w:tc>
          <w:tcPr>
            <w:tcW w:w="1960" w:type="dxa"/>
            <w:vAlign w:val="bottom"/>
            <w:gridSpan w:val="6"/>
          </w:tcPr>
          <w:p>
            <w:pPr>
              <w:jc w:val="right"/>
              <w:ind w:right="120"/>
              <w:spacing w:after="0"/>
              <w:rPr>
                <w:sz w:val="20"/>
                <w:szCs w:val="20"/>
                <w:color w:val="auto"/>
              </w:rPr>
            </w:pPr>
            <w:r>
              <w:rPr>
                <w:rFonts w:ascii="Arial" w:cs="Arial" w:eastAsia="Arial" w:hAnsi="Arial"/>
                <w:sz w:val="19"/>
                <w:szCs w:val="19"/>
                <w:color w:val="auto"/>
              </w:rPr>
              <w:t>23 %  23 %   23 %</w:t>
            </w:r>
          </w:p>
        </w:tc>
        <w:tc>
          <w:tcPr>
            <w:tcW w:w="0" w:type="dxa"/>
            <w:vAlign w:val="bottom"/>
          </w:tcPr>
          <w:p>
            <w:pPr>
              <w:spacing w:after="0"/>
              <w:rPr>
                <w:sz w:val="1"/>
                <w:szCs w:val="1"/>
                <w:color w:val="auto"/>
              </w:rPr>
            </w:pPr>
          </w:p>
        </w:tc>
      </w:tr>
      <w:tr>
        <w:trPr>
          <w:trHeight w:val="220"/>
        </w:trPr>
        <w:tc>
          <w:tcPr>
            <w:tcW w:w="6140" w:type="dxa"/>
            <w:vAlign w:val="bottom"/>
            <w:gridSpan w:val="2"/>
            <w:shd w:val="clear" w:color="auto" w:fill="D1EDF4"/>
          </w:tcPr>
          <w:p>
            <w:pPr>
              <w:spacing w:after="0"/>
              <w:rPr>
                <w:sz w:val="20"/>
                <w:szCs w:val="20"/>
                <w:color w:val="auto"/>
              </w:rPr>
            </w:pPr>
            <w:r>
              <w:rPr>
                <w:rFonts w:ascii="Arial" w:cs="Arial" w:eastAsia="Arial" w:hAnsi="Arial"/>
                <w:sz w:val="19"/>
                <w:szCs w:val="19"/>
                <w:color w:val="auto"/>
              </w:rPr>
              <w:t>Men's</w:t>
            </w:r>
          </w:p>
        </w:tc>
        <w:tc>
          <w:tcPr>
            <w:tcW w:w="1960" w:type="dxa"/>
            <w:vAlign w:val="bottom"/>
            <w:gridSpan w:val="6"/>
            <w:shd w:val="clear" w:color="auto" w:fill="D1EDF4"/>
          </w:tcPr>
          <w:p>
            <w:pPr>
              <w:jc w:val="right"/>
              <w:ind w:right="120"/>
              <w:spacing w:after="0"/>
              <w:rPr>
                <w:sz w:val="20"/>
                <w:szCs w:val="20"/>
                <w:color w:val="auto"/>
              </w:rPr>
            </w:pPr>
            <w:r>
              <w:rPr>
                <w:rFonts w:ascii="Arial" w:cs="Arial" w:eastAsia="Arial" w:hAnsi="Arial"/>
                <w:sz w:val="19"/>
                <w:szCs w:val="19"/>
                <w:color w:val="auto"/>
              </w:rPr>
              <w:t>17 %  17 %   17 %</w:t>
            </w:r>
          </w:p>
        </w:tc>
        <w:tc>
          <w:tcPr>
            <w:tcW w:w="0" w:type="dxa"/>
            <w:vAlign w:val="bottom"/>
          </w:tcPr>
          <w:p>
            <w:pPr>
              <w:spacing w:after="0"/>
              <w:rPr>
                <w:sz w:val="1"/>
                <w:szCs w:val="1"/>
                <w:color w:val="auto"/>
              </w:rPr>
            </w:pPr>
          </w:p>
        </w:tc>
      </w:tr>
      <w:tr>
        <w:trPr>
          <w:trHeight w:val="220"/>
        </w:trPr>
        <w:tc>
          <w:tcPr>
            <w:tcW w:w="6140" w:type="dxa"/>
            <w:vAlign w:val="bottom"/>
            <w:gridSpan w:val="2"/>
          </w:tcPr>
          <w:p>
            <w:pPr>
              <w:spacing w:after="0"/>
              <w:rPr>
                <w:sz w:val="20"/>
                <w:szCs w:val="20"/>
                <w:color w:val="auto"/>
              </w:rPr>
            </w:pPr>
            <w:r>
              <w:rPr>
                <w:rFonts w:ascii="Arial" w:cs="Arial" w:eastAsia="Arial" w:hAnsi="Arial"/>
                <w:sz w:val="19"/>
                <w:szCs w:val="19"/>
                <w:color w:val="auto"/>
              </w:rPr>
              <w:t>Accessories &amp; Beauty</w:t>
            </w:r>
          </w:p>
        </w:tc>
        <w:tc>
          <w:tcPr>
            <w:tcW w:w="1960" w:type="dxa"/>
            <w:vAlign w:val="bottom"/>
            <w:gridSpan w:val="6"/>
          </w:tcPr>
          <w:p>
            <w:pPr>
              <w:jc w:val="right"/>
              <w:ind w:right="120"/>
              <w:spacing w:after="0"/>
              <w:rPr>
                <w:sz w:val="20"/>
                <w:szCs w:val="20"/>
                <w:color w:val="auto"/>
              </w:rPr>
            </w:pPr>
            <w:r>
              <w:rPr>
                <w:rFonts w:ascii="Arial" w:cs="Arial" w:eastAsia="Arial" w:hAnsi="Arial"/>
                <w:sz w:val="19"/>
                <w:szCs w:val="19"/>
                <w:color w:val="auto"/>
              </w:rPr>
              <w:t>16 %  17 %   17 %</w:t>
            </w:r>
          </w:p>
        </w:tc>
        <w:tc>
          <w:tcPr>
            <w:tcW w:w="0" w:type="dxa"/>
            <w:vAlign w:val="bottom"/>
          </w:tcPr>
          <w:p>
            <w:pPr>
              <w:spacing w:after="0"/>
              <w:rPr>
                <w:sz w:val="1"/>
                <w:szCs w:val="1"/>
                <w:color w:val="auto"/>
              </w:rPr>
            </w:pPr>
          </w:p>
        </w:tc>
      </w:tr>
      <w:tr>
        <w:trPr>
          <w:trHeight w:val="220"/>
        </w:trPr>
        <w:tc>
          <w:tcPr>
            <w:tcW w:w="6140" w:type="dxa"/>
            <w:vAlign w:val="bottom"/>
            <w:gridSpan w:val="2"/>
            <w:shd w:val="clear" w:color="auto" w:fill="D1EDF4"/>
          </w:tcPr>
          <w:p>
            <w:pPr>
              <w:spacing w:after="0"/>
              <w:rPr>
                <w:sz w:val="20"/>
                <w:szCs w:val="20"/>
                <w:color w:val="auto"/>
              </w:rPr>
            </w:pPr>
            <w:r>
              <w:rPr>
                <w:rFonts w:ascii="Arial" w:cs="Arial" w:eastAsia="Arial" w:hAnsi="Arial"/>
                <w:sz w:val="19"/>
                <w:szCs w:val="19"/>
                <w:color w:val="auto"/>
              </w:rPr>
              <w:t>Home &amp; Lifestyle</w:t>
            </w:r>
          </w:p>
        </w:tc>
        <w:tc>
          <w:tcPr>
            <w:tcW w:w="640" w:type="dxa"/>
            <w:vAlign w:val="bottom"/>
            <w:tcBorders>
              <w:right w:val="single" w:sz="8" w:color="D1EDF4"/>
            </w:tcBorders>
            <w:gridSpan w:val="2"/>
            <w:shd w:val="clear" w:color="auto" w:fill="D1EDF4"/>
          </w:tcPr>
          <w:p>
            <w:pPr>
              <w:jc w:val="right"/>
              <w:ind w:right="40"/>
              <w:spacing w:after="0"/>
              <w:rPr>
                <w:sz w:val="20"/>
                <w:szCs w:val="20"/>
                <w:color w:val="auto"/>
              </w:rPr>
            </w:pPr>
            <w:r>
              <w:rPr>
                <w:rFonts w:ascii="Arial" w:cs="Arial" w:eastAsia="Arial" w:hAnsi="Arial"/>
                <w:sz w:val="19"/>
                <w:szCs w:val="19"/>
                <w:color w:val="auto"/>
              </w:rPr>
              <w:t>10 %</w:t>
            </w:r>
          </w:p>
        </w:tc>
        <w:tc>
          <w:tcPr>
            <w:tcW w:w="620" w:type="dxa"/>
            <w:vAlign w:val="bottom"/>
            <w:gridSpan w:val="2"/>
            <w:shd w:val="clear" w:color="auto" w:fill="D1EDF4"/>
          </w:tcPr>
          <w:p>
            <w:pPr>
              <w:jc w:val="right"/>
              <w:ind w:right="100"/>
              <w:spacing w:after="0"/>
              <w:rPr>
                <w:sz w:val="20"/>
                <w:szCs w:val="20"/>
                <w:color w:val="auto"/>
              </w:rPr>
            </w:pPr>
            <w:r>
              <w:rPr>
                <w:rFonts w:ascii="Arial" w:cs="Arial" w:eastAsia="Arial" w:hAnsi="Arial"/>
                <w:sz w:val="19"/>
                <w:szCs w:val="19"/>
                <w:color w:val="auto"/>
              </w:rPr>
              <w:t>10 %</w:t>
            </w:r>
          </w:p>
        </w:tc>
        <w:tc>
          <w:tcPr>
            <w:tcW w:w="700" w:type="dxa"/>
            <w:vAlign w:val="bottom"/>
            <w:gridSpan w:val="2"/>
            <w:shd w:val="clear" w:color="auto" w:fill="D1EDF4"/>
          </w:tcPr>
          <w:p>
            <w:pPr>
              <w:jc w:val="right"/>
              <w:ind w:right="120"/>
              <w:spacing w:after="0"/>
              <w:rPr>
                <w:sz w:val="20"/>
                <w:szCs w:val="20"/>
                <w:color w:val="auto"/>
              </w:rPr>
            </w:pPr>
            <w:r>
              <w:rPr>
                <w:rFonts w:ascii="Arial" w:cs="Arial" w:eastAsia="Arial" w:hAnsi="Arial"/>
                <w:sz w:val="19"/>
                <w:szCs w:val="19"/>
                <w:color w:val="auto"/>
              </w:rPr>
              <w:t>9 %</w:t>
            </w:r>
          </w:p>
        </w:tc>
        <w:tc>
          <w:tcPr>
            <w:tcW w:w="0" w:type="dxa"/>
            <w:vAlign w:val="bottom"/>
          </w:tcPr>
          <w:p>
            <w:pPr>
              <w:spacing w:after="0"/>
              <w:rPr>
                <w:sz w:val="1"/>
                <w:szCs w:val="1"/>
                <w:color w:val="auto"/>
              </w:rPr>
            </w:pPr>
          </w:p>
        </w:tc>
      </w:tr>
      <w:tr>
        <w:trPr>
          <w:trHeight w:val="256"/>
        </w:trPr>
        <w:tc>
          <w:tcPr>
            <w:tcW w:w="6140" w:type="dxa"/>
            <w:vAlign w:val="bottom"/>
            <w:gridSpan w:val="2"/>
          </w:tcPr>
          <w:p>
            <w:pPr>
              <w:spacing w:after="0"/>
              <w:rPr>
                <w:sz w:val="20"/>
                <w:szCs w:val="20"/>
                <w:color w:val="auto"/>
              </w:rPr>
            </w:pPr>
            <w:r>
              <w:rPr>
                <w:rFonts w:ascii="Arial" w:cs="Arial" w:eastAsia="Arial" w:hAnsi="Arial"/>
                <w:sz w:val="19"/>
                <w:szCs w:val="19"/>
                <w:color w:val="auto"/>
              </w:rPr>
              <w:t>Footwear</w:t>
            </w:r>
          </w:p>
        </w:tc>
        <w:tc>
          <w:tcPr>
            <w:tcW w:w="640" w:type="dxa"/>
            <w:vAlign w:val="bottom"/>
            <w:gridSpan w:val="2"/>
          </w:tcPr>
          <w:p>
            <w:pPr>
              <w:jc w:val="right"/>
              <w:ind w:right="40"/>
              <w:spacing w:after="0"/>
              <w:rPr>
                <w:sz w:val="20"/>
                <w:szCs w:val="20"/>
                <w:color w:val="auto"/>
              </w:rPr>
            </w:pPr>
            <w:r>
              <w:rPr>
                <w:rFonts w:ascii="Arial" w:cs="Arial" w:eastAsia="Arial" w:hAnsi="Arial"/>
                <w:sz w:val="19"/>
                <w:szCs w:val="19"/>
                <w:color w:val="auto"/>
              </w:rPr>
              <w:t>7 %</w:t>
            </w:r>
          </w:p>
        </w:tc>
        <w:tc>
          <w:tcPr>
            <w:tcW w:w="620" w:type="dxa"/>
            <w:vAlign w:val="bottom"/>
            <w:gridSpan w:val="2"/>
          </w:tcPr>
          <w:p>
            <w:pPr>
              <w:jc w:val="right"/>
              <w:ind w:right="100"/>
              <w:spacing w:after="0"/>
              <w:rPr>
                <w:sz w:val="20"/>
                <w:szCs w:val="20"/>
                <w:color w:val="auto"/>
              </w:rPr>
            </w:pPr>
            <w:r>
              <w:rPr>
                <w:rFonts w:ascii="Arial" w:cs="Arial" w:eastAsia="Arial" w:hAnsi="Arial"/>
                <w:sz w:val="19"/>
                <w:szCs w:val="19"/>
                <w:color w:val="auto"/>
              </w:rPr>
              <w:t>6 %</w:t>
            </w:r>
          </w:p>
        </w:tc>
        <w:tc>
          <w:tcPr>
            <w:tcW w:w="700" w:type="dxa"/>
            <w:vAlign w:val="bottom"/>
            <w:gridSpan w:val="2"/>
          </w:tcPr>
          <w:p>
            <w:pPr>
              <w:jc w:val="right"/>
              <w:ind w:right="120"/>
              <w:spacing w:after="0"/>
              <w:rPr>
                <w:sz w:val="20"/>
                <w:szCs w:val="20"/>
                <w:color w:val="auto"/>
              </w:rPr>
            </w:pPr>
            <w:r>
              <w:rPr>
                <w:rFonts w:ascii="Arial" w:cs="Arial" w:eastAsia="Arial" w:hAnsi="Arial"/>
                <w:sz w:val="19"/>
                <w:szCs w:val="19"/>
                <w:color w:val="auto"/>
              </w:rPr>
              <w:t>7 %</w:t>
            </w:r>
          </w:p>
        </w:tc>
        <w:tc>
          <w:tcPr>
            <w:tcW w:w="0" w:type="dxa"/>
            <w:vAlign w:val="bottom"/>
          </w:tcPr>
          <w:p>
            <w:pPr>
              <w:spacing w:after="0"/>
              <w:rPr>
                <w:sz w:val="1"/>
                <w:szCs w:val="1"/>
                <w:color w:val="auto"/>
              </w:rPr>
            </w:pPr>
          </w:p>
        </w:tc>
      </w:tr>
    </w:tbl>
    <w:p>
      <w:pPr>
        <w:spacing w:after="0" w:line="164" w:lineRule="exact"/>
        <w:rPr>
          <w:sz w:val="20"/>
          <w:szCs w:val="20"/>
          <w:color w:val="auto"/>
        </w:rPr>
      </w:pPr>
    </w:p>
    <w:p>
      <w:pPr>
        <w:spacing w:after="0" w:line="248" w:lineRule="auto"/>
        <w:rPr>
          <w:sz w:val="20"/>
          <w:szCs w:val="20"/>
          <w:color w:val="auto"/>
        </w:rPr>
      </w:pPr>
      <w:r>
        <w:rPr>
          <w:rFonts w:ascii="Arial" w:cs="Arial" w:eastAsia="Arial" w:hAnsi="Arial"/>
          <w:sz w:val="19"/>
          <w:szCs w:val="19"/>
          <w:color w:val="auto"/>
        </w:rPr>
        <w:t>Our goal is to deliver outstanding value every day. We do this by offering access to fashion and trends at affordable prices that are desirable for Black families. As a normal course, we do not engage in promotional activity such as high- low pricing, coupons or sales other than our regularly scheduled markdowns. Our assortment balances tiers of good, better, best products, ensuring a broad appeal across diverse income levels. The flexibility of our model allows our pricing structure to fluctuate in response to marketplace changes while maintaining our merchandise margins. Both branded and non-branded offerings validate our fashion and value to our customers.</w:t>
      </w:r>
    </w:p>
    <w:p>
      <w:pPr>
        <w:spacing w:after="0" w:line="1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Sourcing and Allocation</w:t>
      </w:r>
    </w:p>
    <w:p>
      <w:pPr>
        <w:spacing w:after="0" w:line="162" w:lineRule="exact"/>
        <w:rPr>
          <w:sz w:val="20"/>
          <w:szCs w:val="20"/>
          <w:color w:val="auto"/>
        </w:rPr>
      </w:pPr>
    </w:p>
    <w:p>
      <w:pPr>
        <w:ind w:right="80"/>
        <w:spacing w:after="0" w:line="260" w:lineRule="auto"/>
        <w:rPr>
          <w:sz w:val="20"/>
          <w:szCs w:val="20"/>
          <w:color w:val="auto"/>
        </w:rPr>
      </w:pPr>
      <w:r>
        <w:rPr>
          <w:rFonts w:ascii="Arial" w:cs="Arial" w:eastAsia="Arial" w:hAnsi="Arial"/>
          <w:sz w:val="19"/>
          <w:szCs w:val="19"/>
          <w:color w:val="auto"/>
        </w:rPr>
        <w:t>We believe that our flexible, value-conscious business model and ever-changing assortment that results from our fresh flow of inventory differentiates us from traditional retailers. We source our merchandise from thousands of domestic manufacturers and importers. Our merchandising division consists of a buying team, a planning team and an allocation team.</w:t>
      </w:r>
    </w:p>
    <w:p>
      <w:pPr>
        <w:spacing w:after="0" w:line="106" w:lineRule="exact"/>
        <w:rPr>
          <w:sz w:val="20"/>
          <w:szCs w:val="20"/>
          <w:color w:val="auto"/>
        </w:rPr>
      </w:pPr>
    </w:p>
    <w:p>
      <w:pPr>
        <w:ind w:right="100"/>
        <w:spacing w:after="0" w:line="253" w:lineRule="auto"/>
        <w:rPr>
          <w:sz w:val="20"/>
          <w:szCs w:val="20"/>
          <w:color w:val="auto"/>
        </w:rPr>
      </w:pPr>
      <w:r>
        <w:rPr>
          <w:rFonts w:ascii="Arial" w:cs="Arial" w:eastAsia="Arial" w:hAnsi="Arial"/>
          <w:sz w:val="19"/>
          <w:szCs w:val="19"/>
          <w:color w:val="auto"/>
        </w:rPr>
        <w:t>Our buyers have extensive experience and have developed long -standing relationships with many of our vendors. Our buying office is located in New York City, and the team travels regularly to the major United States markets, visiting manufacturers and attending national and regional trade shows. The buying team is supported by our Trend Director who identifies and translates relevant current and emerging trends into actionable merchandising strategies.</w:t>
      </w:r>
    </w:p>
    <w:p>
      <w:pPr>
        <w:spacing w:after="0" w:line="11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Our buying team sources merchandise through multiple channels to ensure a fresh and trendy assortment. First, we work with a continuously evolving network of vendors that manufacture products exclusively for CITITRENDS’ core customers. Our buyers collaborate with these vendors who specialize in trend identification and product development to design and manufacture exclusive products for CITITRENDS, providing our fashion-savvy customers with unique standout styles they won’t find anywhere else. Second, we maintain partnerships with nationally recognized brands and labels, collaborating to customize products in size, color and style to align with the specific needs and preferences of our customers. Third, we leverage our vendor relationships to opportunistically buy close- out product at incredible value. Fourth, we buy extreme value, off-price deals from a wide variety of sources, allowing us to offer our customers exciting national brands at significantly reduced prices.</w:t>
      </w:r>
    </w:p>
    <w:p>
      <w:pPr>
        <w:spacing w:after="0" w:line="107" w:lineRule="exact"/>
        <w:rPr>
          <w:sz w:val="20"/>
          <w:szCs w:val="20"/>
          <w:color w:val="auto"/>
        </w:rPr>
      </w:pPr>
    </w:p>
    <w:p>
      <w:pPr>
        <w:ind w:right="260"/>
        <w:spacing w:after="0" w:line="260" w:lineRule="auto"/>
        <w:rPr>
          <w:sz w:val="20"/>
          <w:szCs w:val="20"/>
          <w:color w:val="auto"/>
        </w:rPr>
      </w:pPr>
      <w:r>
        <w:rPr>
          <w:rFonts w:ascii="Arial" w:cs="Arial" w:eastAsia="Arial" w:hAnsi="Arial"/>
          <w:sz w:val="19"/>
          <w:szCs w:val="19"/>
          <w:color w:val="auto"/>
        </w:rPr>
        <w:t>While almost all of our merchandise is first-quality and delivered in-season, we also purchase high-quality excess inventory at advantageous pricing with the intent of selling later in the same season or the following season. This allows us to deliver extreme value on select highly desirable goods.</w:t>
      </w:r>
    </w:p>
    <w:p>
      <w:pPr>
        <w:spacing w:after="0" w:line="106" w:lineRule="exact"/>
        <w:rPr>
          <w:sz w:val="20"/>
          <w:szCs w:val="20"/>
          <w:color w:val="auto"/>
        </w:rPr>
      </w:pPr>
    </w:p>
    <w:p>
      <w:pPr>
        <w:ind w:right="140"/>
        <w:spacing w:after="0" w:line="248" w:lineRule="auto"/>
        <w:rPr>
          <w:sz w:val="20"/>
          <w:szCs w:val="20"/>
          <w:color w:val="auto"/>
        </w:rPr>
      </w:pPr>
      <w:r>
        <w:rPr>
          <w:rFonts w:ascii="Arial" w:cs="Arial" w:eastAsia="Arial" w:hAnsi="Arial"/>
          <w:sz w:val="19"/>
          <w:szCs w:val="19"/>
          <w:color w:val="auto"/>
        </w:rPr>
        <w:t>Our staff utilizes a centralized management system to monitor merchandise purchasing, planning and allocation to manage inventory turnover, identify and respond to changing customer demands and determine the timing of markdowns. Our buyers also regularly review the age and performance of merchandise and manage both the reordering and markdown processes. In fiscal 2025 we finalized the implementation of an AI-based allocation system across all merchandise categories. This system is designed to drive more accurate by-store product allocation, improve sales, reduce markdowns and reduce working capital through improved inventory efficiency.</w:t>
      </w:r>
    </w:p>
    <w:p>
      <w:pPr>
        <w:spacing w:after="0" w:line="1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Store Operations</w:t>
      </w:r>
    </w:p>
    <w:p>
      <w:pPr>
        <w:spacing w:after="0" w:line="162" w:lineRule="exact"/>
        <w:rPr>
          <w:sz w:val="20"/>
          <w:szCs w:val="20"/>
          <w:color w:val="auto"/>
        </w:rPr>
      </w:pPr>
    </w:p>
    <w:p>
      <w:pPr>
        <w:ind w:right="60"/>
        <w:spacing w:after="0" w:line="248" w:lineRule="auto"/>
        <w:rPr>
          <w:sz w:val="20"/>
          <w:szCs w:val="20"/>
          <w:color w:val="auto"/>
        </w:rPr>
      </w:pPr>
      <w:r>
        <w:rPr>
          <w:rFonts w:ascii="Arial" w:cs="Arial" w:eastAsia="Arial" w:hAnsi="Arial"/>
          <w:sz w:val="19"/>
          <w:szCs w:val="19"/>
          <w:color w:val="auto"/>
        </w:rPr>
        <w:t>Our stores are located in the heart of the communities we serve. We hire a diverse staff of women and men from the local area surrounding our stores. As of January 31, 2026, 74% of our store associates are Black, and 90% of our store management positions are filled by women. We cater to entire families and offer a compelling shopping experience in the communities in which we operate. We welcome everyone with “Hi, welcome to CITITRENDS,” and we develop a longstanding rapport with many of our customers, many of whom we know by name. Every CITITRENDS store presents an inviting shopping environment with a wide array of product offerings.</w:t>
      </w:r>
    </w:p>
    <w:p>
      <w:pPr>
        <w:sectPr>
          <w:pgSz w:w="11880" w:h="15480" w:orient="portrait"/>
          <w:cols w:equalWidth="0" w:num="1">
            <w:col w:w="10780"/>
          </w:cols>
          <w:pgMar w:left="540" w:top="808"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w:t>
      </w:r>
    </w:p>
    <w:p>
      <w:pPr>
        <w:sectPr>
          <w:pgSz w:w="11880" w:h="15480" w:orient="portrait"/>
          <w:cols w:equalWidth="0" w:num="1">
            <w:col w:w="10780"/>
          </w:cols>
          <w:pgMar w:left="540" w:top="808" w:right="560" w:bottom="0" w:gutter="0" w:footer="0" w:header="0"/>
          <w:type w:val="continuous"/>
        </w:sectPr>
      </w:pPr>
    </w:p>
    <w:bookmarkStart w:id="7" w:name="page8"/>
    <w:bookmarkEnd w:id="7"/>
    <w:p>
      <w:pPr>
        <w:spacing w:after="0" w:line="246" w:lineRule="auto"/>
        <w:rPr>
          <w:sz w:val="20"/>
          <w:szCs w:val="20"/>
          <w:color w:val="auto"/>
        </w:rPr>
      </w:pPr>
      <w:r>
        <w:rPr>
          <w:rFonts w:ascii="Arial" w:cs="Arial" w:eastAsia="Arial" w:hAnsi="Arial"/>
          <w:sz w:val="19"/>
          <w:szCs w:val="19"/>
          <w:color w:val="auto"/>
        </w:rPr>
        <w:t>The average selling space of our 590 stores is approximately 11,000 square feet, which allows us the space and flexibility to organize our six product divisions in exciting and appealing ways. The unobstructed floor plan allows the customer to see almost all of the different product areas from the store entrance and provides us the flexibility to easily expand and contract departments in response to customer demand, seasonality and merchandise availability. Nearly all of our inventory is displayed on the selling floor. Our mission is to curate culturally relevant fashion, great brands and compelling price points for our core customers in an exciting shopping environment. A critical component of our success is to maintain an environment that is neat, clean and organized, where everyone is welcome.</w:t>
      </w:r>
    </w:p>
    <w:p>
      <w:pPr>
        <w:spacing w:after="0" w:line="122" w:lineRule="exact"/>
        <w:rPr>
          <w:sz w:val="20"/>
          <w:szCs w:val="20"/>
          <w:color w:val="auto"/>
        </w:rPr>
      </w:pPr>
    </w:p>
    <w:p>
      <w:pPr>
        <w:ind w:right="60"/>
        <w:spacing w:after="0" w:line="248" w:lineRule="auto"/>
        <w:rPr>
          <w:sz w:val="20"/>
          <w:szCs w:val="20"/>
          <w:color w:val="auto"/>
        </w:rPr>
      </w:pPr>
      <w:r>
        <w:rPr>
          <w:rFonts w:ascii="Arial" w:cs="Arial" w:eastAsia="Arial" w:hAnsi="Arial"/>
          <w:sz w:val="19"/>
          <w:szCs w:val="19"/>
          <w:color w:val="auto"/>
        </w:rPr>
        <w:t>The typical store is staffed with a Store Manager and multiple Assistant Managers, along with five to eight part-time Sales associates, all of whom rotate work days on a shift basis. Our associates are critical to achieving our goals, and we strive to hire highly qualified, motivated associates from the local community. We have well-established store operating policies and procedures and an extensive in-store training program for new Store Managers and Assistant Managers. Sales associates also participate in a customer service and store procedures training program, which is designed to enable them to assist customers in a friendly and helpful manner and maintain neat, clean and organized stores.</w:t>
      </w:r>
    </w:p>
    <w:p>
      <w:pPr>
        <w:spacing w:after="0" w:line="115" w:lineRule="exact"/>
        <w:rPr>
          <w:sz w:val="20"/>
          <w:szCs w:val="20"/>
          <w:color w:val="auto"/>
        </w:rPr>
      </w:pPr>
    </w:p>
    <w:p>
      <w:pPr>
        <w:ind w:right="300"/>
        <w:spacing w:after="0" w:line="250" w:lineRule="auto"/>
        <w:rPr>
          <w:sz w:val="20"/>
          <w:szCs w:val="20"/>
          <w:color w:val="auto"/>
        </w:rPr>
      </w:pPr>
      <w:r>
        <w:rPr>
          <w:rFonts w:ascii="Arial" w:cs="Arial" w:eastAsia="Arial" w:hAnsi="Arial"/>
          <w:sz w:val="19"/>
          <w:szCs w:val="19"/>
          <w:color w:val="auto"/>
        </w:rPr>
        <w:t>We offer a layaway program, allowing customers to purchase merchandise by initially paying a 20% deposit and a $2 service charge. The customer then makes additional payments every two weeks and has 60 days to complete the purchase. If the purchase is not completed, the customer receives a CITITRENDS gift card for amounts paid less a re -stocking and layaway service fee. In addition, we offer a buy-now-pay- later program through an external vendor that allows customers to split purchases into four installments over six weeks.</w:t>
      </w:r>
    </w:p>
    <w:p>
      <w:pPr>
        <w:spacing w:after="0" w:line="115" w:lineRule="exact"/>
        <w:rPr>
          <w:sz w:val="20"/>
          <w:szCs w:val="20"/>
          <w:color w:val="auto"/>
        </w:rPr>
      </w:pPr>
    </w:p>
    <w:p>
      <w:pPr>
        <w:ind w:right="80"/>
        <w:spacing w:after="0" w:line="244" w:lineRule="auto"/>
        <w:rPr>
          <w:sz w:val="20"/>
          <w:szCs w:val="20"/>
          <w:color w:val="auto"/>
        </w:rPr>
      </w:pPr>
      <w:r>
        <w:rPr>
          <w:rFonts w:ascii="Arial" w:cs="Arial" w:eastAsia="Arial" w:hAnsi="Arial"/>
          <w:sz w:val="19"/>
          <w:szCs w:val="19"/>
          <w:color w:val="auto"/>
        </w:rPr>
        <w:t>Our unique focus on Black families offers us the opportunity to pinpoint highly targeted and highly visible store locations. Cost-effective store locations are an important part of our store profitability model. Accordingly, we look for locations in high-traffic outdoor community shopping centers that offer attractive rents and meet our demographic and economic criteria. Our new store expansion is guided by a disciplined approach leveraging AI tools and extensive data analysis designed to predict sales with approximately 90% accuracy. We have a dedicated real estate management team responsible for new store site selection, coupling the data analysis with in- depth market knowledge, and we employ rigorous financial analysis to approve final store selection decisions. In selecting a location, we target urban, suburban and rural markets, and our strategy includes both further densification of existing markets and entering new markets over time. In addition, we require convenient site accessibility, as well as strong co-tenants, such as grocery stores, dollar stores, beauty stores and other value stores. We aim to be an integral part of our customers’ community by providing a compelling shopping destination and career opportunities.</w:t>
      </w:r>
    </w:p>
    <w:p>
      <w:pPr>
        <w:spacing w:after="0" w:line="12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Marketing</w:t>
      </w:r>
    </w:p>
    <w:p>
      <w:pPr>
        <w:spacing w:after="0" w:line="164" w:lineRule="exact"/>
        <w:rPr>
          <w:sz w:val="20"/>
          <w:szCs w:val="20"/>
          <w:color w:val="auto"/>
        </w:rPr>
      </w:pPr>
    </w:p>
    <w:p>
      <w:pPr>
        <w:ind w:right="80"/>
        <w:spacing w:after="0" w:line="246" w:lineRule="auto"/>
        <w:rPr>
          <w:sz w:val="20"/>
          <w:szCs w:val="20"/>
          <w:color w:val="auto"/>
        </w:rPr>
      </w:pPr>
      <w:r>
        <w:rPr>
          <w:rFonts w:ascii="Arial" w:cs="Arial" w:eastAsia="Arial" w:hAnsi="Arial"/>
          <w:sz w:val="19"/>
          <w:szCs w:val="19"/>
          <w:color w:val="auto"/>
        </w:rPr>
        <w:t xml:space="preserve">Our marketing goals are to build awareness of the CITITRENDS brand, promote customers’ association of the CITITRENDS brand with our brand promise: Styles that see you, prices that amaze you, and trends that tell your story, engage our customers in meaningful ways, and drive traffic into our stores. In fiscal 2025 we launched our Joy Looks Good on You marketing campaign, highlighting and celebrating moments of joy in the Black community. We also refreshed our social media presence under @wearecititrends. Our website, </w:t>
      </w:r>
      <w:r>
        <w:rPr>
          <w:rFonts w:ascii="Arial" w:cs="Arial" w:eastAsia="Arial" w:hAnsi="Arial"/>
          <w:sz w:val="19"/>
          <w:szCs w:val="19"/>
          <w:i w:val="1"/>
          <w:iCs w:val="1"/>
          <w:color w:val="auto"/>
        </w:rPr>
        <w:t>cititrends.com</w:t>
      </w:r>
      <w:r>
        <w:rPr>
          <w:rFonts w:ascii="Arial" w:cs="Arial" w:eastAsia="Arial" w:hAnsi="Arial"/>
          <w:sz w:val="19"/>
          <w:szCs w:val="19"/>
          <w:color w:val="auto"/>
        </w:rPr>
        <w:t xml:space="preserve"> , showcases our marketing collateral and provides information about our business, our store locations, and more. Information on our website or social media pages is not part of this or any other report we file or furnish to the SEC.</w:t>
      </w:r>
    </w:p>
    <w:p>
      <w:pPr>
        <w:spacing w:after="0" w:line="11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Distribution</w:t>
      </w:r>
    </w:p>
    <w:p>
      <w:pPr>
        <w:spacing w:after="0" w:line="164" w:lineRule="exact"/>
        <w:rPr>
          <w:sz w:val="20"/>
          <w:szCs w:val="20"/>
          <w:color w:val="auto"/>
        </w:rPr>
      </w:pPr>
    </w:p>
    <w:p>
      <w:pPr>
        <w:ind w:right="100"/>
        <w:spacing w:after="0" w:line="253" w:lineRule="auto"/>
        <w:rPr>
          <w:sz w:val="20"/>
          <w:szCs w:val="20"/>
          <w:color w:val="auto"/>
        </w:rPr>
      </w:pPr>
      <w:r>
        <w:rPr>
          <w:rFonts w:ascii="Arial" w:cs="Arial" w:eastAsia="Arial" w:hAnsi="Arial"/>
          <w:sz w:val="19"/>
          <w:szCs w:val="19"/>
          <w:color w:val="auto"/>
        </w:rPr>
        <w:t>The majority of merchandise sold in our stores is shipped directly from our company-operated distribution centers in Darlington, South Carolina and Roland, Oklahoma, utilizing third-party delivery partners. Our stores receive multiple shipments of merchandise each week from our distribution centers. In addition, we utilize a vendor direct -to-store shipping program that enables us to expedite the delivery of select merchandise to our stores by shipping directly from our vendors.</w:t>
      </w:r>
    </w:p>
    <w:p>
      <w:pPr>
        <w:spacing w:after="0" w:line="112" w:lineRule="exact"/>
        <w:rPr>
          <w:sz w:val="20"/>
          <w:szCs w:val="20"/>
          <w:color w:val="auto"/>
        </w:rPr>
      </w:pPr>
    </w:p>
    <w:p>
      <w:pPr>
        <w:ind w:right="60"/>
        <w:spacing w:after="0" w:line="254" w:lineRule="auto"/>
        <w:rPr>
          <w:sz w:val="20"/>
          <w:szCs w:val="20"/>
          <w:color w:val="auto"/>
        </w:rPr>
      </w:pPr>
      <w:r>
        <w:rPr>
          <w:rFonts w:ascii="Arial" w:cs="Arial" w:eastAsia="Arial" w:hAnsi="Arial"/>
          <w:sz w:val="19"/>
          <w:szCs w:val="19"/>
          <w:color w:val="auto"/>
        </w:rPr>
        <w:t>The Darlington distribution center has 550,000 square feet of space, and the Roland distribution center has 565,000 square feet of space. The distribution centers’ value-added services include, but are not limited to, receiving, price ticketing, packing and shipping specific store-allocated quantities. We continue to evaluate distribution, transportation and supply chain alternatives to accelerate the movement of merchandise from our vendor origin points to our stores as optimally as possible.</w:t>
      </w:r>
    </w:p>
    <w:p>
      <w:pPr>
        <w:spacing w:after="0" w:line="10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Information Technology and Systems</w:t>
      </w:r>
    </w:p>
    <w:p>
      <w:pPr>
        <w:spacing w:after="0" w:line="162" w:lineRule="exact"/>
        <w:rPr>
          <w:sz w:val="20"/>
          <w:szCs w:val="20"/>
          <w:color w:val="auto"/>
        </w:rPr>
      </w:pPr>
    </w:p>
    <w:p>
      <w:pPr>
        <w:ind w:right="40"/>
        <w:spacing w:after="0" w:line="254" w:lineRule="auto"/>
        <w:rPr>
          <w:sz w:val="20"/>
          <w:szCs w:val="20"/>
          <w:color w:val="auto"/>
        </w:rPr>
      </w:pPr>
      <w:r>
        <w:rPr>
          <w:rFonts w:ascii="Arial" w:cs="Arial" w:eastAsia="Arial" w:hAnsi="Arial"/>
          <w:sz w:val="19"/>
          <w:szCs w:val="19"/>
          <w:color w:val="auto"/>
        </w:rPr>
        <w:t>We have information systems in place to support our core business functions, using a combination of industry-standard third-party products and internally developed applications. These systems support purchase order management, price and markdown management, merchandise planning and allocation, general ledger, accounts payable, sales audit, loss prevention, store operations and supply chain functions.</w:t>
      </w:r>
    </w:p>
    <w:p>
      <w:pPr>
        <w:sectPr>
          <w:pgSz w:w="11880" w:h="15480" w:orient="portrait"/>
          <w:cols w:equalWidth="0" w:num="1">
            <w:col w:w="10780"/>
          </w:cols>
          <w:pgMar w:left="540" w:top="807"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8</w:t>
      </w:r>
    </w:p>
    <w:p>
      <w:pPr>
        <w:sectPr>
          <w:pgSz w:w="11880" w:h="15480" w:orient="portrait"/>
          <w:cols w:equalWidth="0" w:num="1">
            <w:col w:w="10780"/>
          </w:cols>
          <w:pgMar w:left="540" w:top="807" w:right="560" w:bottom="0" w:gutter="0" w:footer="0" w:header="0"/>
          <w:type w:val="continuous"/>
        </w:sectPr>
      </w:pPr>
    </w:p>
    <w:bookmarkStart w:id="8" w:name="page9"/>
    <w:bookmarkEnd w:id="8"/>
    <w:p>
      <w:pPr>
        <w:ind w:right="620"/>
        <w:spacing w:after="0" w:line="250" w:lineRule="auto"/>
        <w:rPr>
          <w:sz w:val="20"/>
          <w:szCs w:val="20"/>
          <w:color w:val="auto"/>
        </w:rPr>
      </w:pPr>
      <w:r>
        <w:rPr>
          <w:rFonts w:ascii="Arial" w:cs="Arial" w:eastAsia="Arial" w:hAnsi="Arial"/>
          <w:sz w:val="19"/>
          <w:szCs w:val="19"/>
          <w:color w:val="auto"/>
        </w:rPr>
        <w:t>In fiscal 2025, we continued to advance our technology ecosystem by leveraging AI capabilities in key areas such as merchandise allocation, loss prevention, and store operations. In fiscal 2026, we expect to add an AI -based merchandise planning system and complete the implementation of upgraded camera systems, including AI-based facial recognition capabilities. Moving forward, we will continue to explore AI capabilities in our systems as we expect them to improve our operational and execution capabilities.</w:t>
      </w:r>
    </w:p>
    <w:p>
      <w:pPr>
        <w:spacing w:after="0" w:line="11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Competition</w:t>
      </w:r>
    </w:p>
    <w:p>
      <w:pPr>
        <w:spacing w:after="0" w:line="162" w:lineRule="exact"/>
        <w:rPr>
          <w:sz w:val="20"/>
          <w:szCs w:val="20"/>
          <w:color w:val="auto"/>
        </w:rPr>
      </w:pPr>
    </w:p>
    <w:p>
      <w:pPr>
        <w:ind w:right="20"/>
        <w:spacing w:after="0" w:line="245" w:lineRule="auto"/>
        <w:rPr>
          <w:sz w:val="20"/>
          <w:szCs w:val="20"/>
          <w:color w:val="auto"/>
        </w:rPr>
      </w:pPr>
      <w:r>
        <w:rPr>
          <w:rFonts w:ascii="Arial" w:cs="Arial" w:eastAsia="Arial" w:hAnsi="Arial"/>
          <w:sz w:val="19"/>
          <w:szCs w:val="19"/>
          <w:color w:val="auto"/>
        </w:rPr>
        <w:t>The markets we serve are highly competitive. We compete with a broad range of retailers, including national chains, mass merchants, discount stores and specialty stores with both physical locations and online stores. We believe we have a competitive advantage in our offering of culturally relevant fashion and trends at everyday low prices, and that our strategy of focusing on Black customers puts us in a unique competitive position. We also believe we offer a more inviting store format than the traditional retailers, including our assortment and layout of merchandise, navigational signage, and use of fixtures that are easy to shop. Our competitors generally focus less on trend -driven apparel and, within their apparel offering, lack the styles that appeal to our core customers. As a result, we believe there is significant demand for an off-price value retailer that addresses the market of Black customers who seek value and trend in fashion apparel, accessories and home goods. See Item 1A. Risk Factors in this Report for additional information regarding competition in our markets.</w:t>
      </w:r>
    </w:p>
    <w:p>
      <w:pPr>
        <w:spacing w:after="0" w:line="11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Intellectual Property</w:t>
      </w:r>
    </w:p>
    <w:p>
      <w:pPr>
        <w:spacing w:after="0" w:line="162" w:lineRule="exact"/>
        <w:rPr>
          <w:sz w:val="20"/>
          <w:szCs w:val="20"/>
          <w:color w:val="auto"/>
        </w:rPr>
      </w:pPr>
    </w:p>
    <w:p>
      <w:pPr>
        <w:ind w:right="60"/>
        <w:spacing w:after="0" w:line="254" w:lineRule="auto"/>
        <w:rPr>
          <w:sz w:val="20"/>
          <w:szCs w:val="20"/>
          <w:color w:val="auto"/>
        </w:rPr>
      </w:pPr>
      <w:r>
        <w:rPr>
          <w:rFonts w:ascii="Arial" w:cs="Arial" w:eastAsia="Arial" w:hAnsi="Arial"/>
          <w:sz w:val="19"/>
          <w:szCs w:val="19"/>
          <w:color w:val="auto"/>
        </w:rPr>
        <w:t>Our trademarks and service marks have significant value and are important to our marketing efforts. Our marks registered with the U.S. Patent and Trademark Office include “Citi Trends,” “Citi Steps,” “Citi Trends Fashion for Less,” “CitiHome,” “CITI</w:t>
      </w:r>
      <w:r>
        <w:rPr>
          <w:rFonts w:ascii="Arial" w:cs="Arial" w:eastAsia="Arial" w:hAnsi="Arial"/>
          <w:sz w:val="19"/>
          <w:szCs w:val="19"/>
          <w:i w:val="1"/>
          <w:iCs w:val="1"/>
          <w:color w:val="auto"/>
        </w:rPr>
        <w:t>cares</w:t>
      </w:r>
      <w:r>
        <w:rPr>
          <w:rFonts w:ascii="Arial" w:cs="Arial" w:eastAsia="Arial" w:hAnsi="Arial"/>
          <w:sz w:val="19"/>
          <w:szCs w:val="19"/>
          <w:color w:val="auto"/>
        </w:rPr>
        <w:t>,” “MCMXXXIII,” “Lil Ms Hollywood,” “Red Ape,” and “Vintage Harlem.” Our policy is to pursue registration of our marks and to vigorously protect them.</w:t>
      </w:r>
    </w:p>
    <w:p>
      <w:pPr>
        <w:spacing w:after="0" w:line="10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Seasonality</w:t>
      </w:r>
    </w:p>
    <w:p>
      <w:pPr>
        <w:spacing w:after="0" w:line="162" w:lineRule="exact"/>
        <w:rPr>
          <w:sz w:val="20"/>
          <w:szCs w:val="20"/>
          <w:color w:val="auto"/>
        </w:rPr>
      </w:pPr>
    </w:p>
    <w:p>
      <w:pPr>
        <w:ind w:right="20"/>
        <w:spacing w:after="0" w:line="254" w:lineRule="auto"/>
        <w:rPr>
          <w:sz w:val="20"/>
          <w:szCs w:val="20"/>
          <w:color w:val="auto"/>
        </w:rPr>
      </w:pPr>
      <w:r>
        <w:rPr>
          <w:rFonts w:ascii="Arial" w:cs="Arial" w:eastAsia="Arial" w:hAnsi="Arial"/>
          <w:sz w:val="19"/>
          <w:szCs w:val="19"/>
          <w:color w:val="auto"/>
        </w:rPr>
        <w:t>The nature of our business is seasonal. Historically, sales in the first and fourth quarters have been higher than sales achieved in the second and third quarters of the fiscal year. Expenses and, to a greater extent, operating income, vary by quarter. Results may fluctuate due to changes in our business, consumer spending patterns and the macroeconomic environment. Furthermore, the seasonal nature of our business may affect comparisons between periods.</w:t>
      </w:r>
    </w:p>
    <w:p>
      <w:pPr>
        <w:spacing w:after="0" w:line="10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Human Capital Management</w:t>
      </w:r>
    </w:p>
    <w:p>
      <w:pPr>
        <w:spacing w:after="0" w:line="162" w:lineRule="exact"/>
        <w:rPr>
          <w:sz w:val="20"/>
          <w:szCs w:val="20"/>
          <w:color w:val="auto"/>
        </w:rPr>
      </w:pPr>
    </w:p>
    <w:p>
      <w:pPr>
        <w:spacing w:after="0" w:line="250" w:lineRule="auto"/>
        <w:rPr>
          <w:sz w:val="20"/>
          <w:szCs w:val="20"/>
          <w:color w:val="auto"/>
        </w:rPr>
      </w:pPr>
      <w:r>
        <w:rPr>
          <w:rFonts w:ascii="Arial" w:cs="Arial" w:eastAsia="Arial" w:hAnsi="Arial"/>
          <w:sz w:val="19"/>
          <w:szCs w:val="19"/>
          <w:color w:val="auto"/>
        </w:rPr>
        <w:t>The success of CITITRENDS is directly attributable to our people and their passion to achieve our performance goals. We recognize the importance of attracting and retaining top talent in our workforce that reflects the communities we serve. We strive to make CITITRENDS a diverse, inclusive and safe workplace, with opportunities for our associates to grow and develop in their careers, supported by competitive compensation, benefits and health and wellness programs, and by programs that build connections between our associates and their communities.</w:t>
      </w:r>
    </w:p>
    <w:p>
      <w:pPr>
        <w:spacing w:after="0" w:line="115" w:lineRule="exact"/>
        <w:rPr>
          <w:sz w:val="20"/>
          <w:szCs w:val="20"/>
          <w:color w:val="auto"/>
        </w:rPr>
      </w:pPr>
    </w:p>
    <w:p>
      <w:pPr>
        <w:ind w:right="80"/>
        <w:spacing w:after="0" w:line="253" w:lineRule="auto"/>
        <w:rPr>
          <w:sz w:val="20"/>
          <w:szCs w:val="20"/>
          <w:color w:val="auto"/>
        </w:rPr>
      </w:pPr>
      <w:r>
        <w:rPr>
          <w:rFonts w:ascii="Arial" w:cs="Arial" w:eastAsia="Arial" w:hAnsi="Arial"/>
          <w:sz w:val="19"/>
          <w:szCs w:val="19"/>
          <w:b w:val="1"/>
          <w:bCs w:val="1"/>
          <w:i w:val="1"/>
          <w:iCs w:val="1"/>
          <w:color w:val="auto"/>
        </w:rPr>
        <w:t xml:space="preserve">Associates. </w:t>
      </w:r>
      <w:r>
        <w:rPr>
          <w:rFonts w:ascii="Arial" w:cs="Arial" w:eastAsia="Arial" w:hAnsi="Arial"/>
          <w:sz w:val="19"/>
          <w:szCs w:val="19"/>
          <w:color w:val="auto"/>
        </w:rPr>
        <w:t>As of January 31, 2026, we had approximately 2,500 full- time and approximately 2,200 part-time associates.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these associates, approximately 3,900 are employed in our stores and the remainder are employed in our distribution centers, buying offices and corporate office. We are not a party to any collective bargaining agreements, and none of our associates are represented by a labor union.</w:t>
      </w:r>
    </w:p>
    <w:p>
      <w:pPr>
        <w:spacing w:after="0" w:line="113" w:lineRule="exact"/>
        <w:rPr>
          <w:sz w:val="20"/>
          <w:szCs w:val="20"/>
          <w:color w:val="auto"/>
        </w:rPr>
      </w:pPr>
    </w:p>
    <w:p>
      <w:pPr>
        <w:ind w:right="60"/>
        <w:spacing w:after="0" w:line="248" w:lineRule="auto"/>
        <w:rPr>
          <w:sz w:val="20"/>
          <w:szCs w:val="20"/>
          <w:color w:val="auto"/>
        </w:rPr>
      </w:pPr>
      <w:r>
        <w:rPr>
          <w:rFonts w:ascii="Arial" w:cs="Arial" w:eastAsia="Arial" w:hAnsi="Arial"/>
          <w:sz w:val="19"/>
          <w:szCs w:val="19"/>
          <w:b w:val="1"/>
          <w:bCs w:val="1"/>
          <w:i w:val="1"/>
          <w:iCs w:val="1"/>
          <w:color w:val="auto"/>
        </w:rPr>
        <w:t>Diversity and Inclusion</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Our objective is to ensure that our workforce reflects the ethnicity and cultural sensibilities of our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customer base, with a particular focus on the Black community. We believe that a diverse and inclusive team is critical to our success. We strive to foster an inclusive, diverse and productive working environment where our associates are valued and respected. We continue to focus on attracting, developing and retaining team members that reflect the diverse communities we serve. Company-wide, as of January 31, 2026, 69% of our team members are Black and 80% are female. In addition, our eight-member board includes three Black women and one Asian man.</w:t>
      </w:r>
    </w:p>
    <w:p>
      <w:pPr>
        <w:spacing w:after="0" w:line="115" w:lineRule="exact"/>
        <w:rPr>
          <w:sz w:val="20"/>
          <w:szCs w:val="20"/>
          <w:color w:val="auto"/>
        </w:rPr>
      </w:pPr>
    </w:p>
    <w:p>
      <w:pPr>
        <w:ind w:right="200"/>
        <w:spacing w:after="0" w:line="260" w:lineRule="auto"/>
        <w:rPr>
          <w:sz w:val="20"/>
          <w:szCs w:val="20"/>
          <w:color w:val="auto"/>
        </w:rPr>
      </w:pPr>
      <w:r>
        <w:rPr>
          <w:rFonts w:ascii="Arial" w:cs="Arial" w:eastAsia="Arial" w:hAnsi="Arial"/>
          <w:sz w:val="19"/>
          <w:szCs w:val="19"/>
          <w:b w:val="1"/>
          <w:bCs w:val="1"/>
          <w:i w:val="1"/>
          <w:iCs w:val="1"/>
          <w:color w:val="auto"/>
        </w:rPr>
        <w:t>Health, Safety and Wellness</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success of our business is fundamentally connected to the well-being of our people.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Accordingly, we are committed to the health, safety and wellness of our associates. We follow guidance released by state and federal health officials to create a safe environment for our associates to work and our customers to shop.</w:t>
      </w:r>
    </w:p>
    <w:p>
      <w:pPr>
        <w:spacing w:after="0" w:line="106" w:lineRule="exact"/>
        <w:rPr>
          <w:sz w:val="20"/>
          <w:szCs w:val="20"/>
          <w:color w:val="auto"/>
        </w:rPr>
      </w:pPr>
    </w:p>
    <w:p>
      <w:pPr>
        <w:ind w:right="80"/>
        <w:spacing w:after="0" w:line="260" w:lineRule="auto"/>
        <w:rPr>
          <w:sz w:val="20"/>
          <w:szCs w:val="20"/>
          <w:color w:val="auto"/>
        </w:rPr>
      </w:pPr>
      <w:r>
        <w:rPr>
          <w:rFonts w:ascii="Arial" w:cs="Arial" w:eastAsia="Arial" w:hAnsi="Arial"/>
          <w:sz w:val="19"/>
          <w:szCs w:val="19"/>
          <w:b w:val="1"/>
          <w:bCs w:val="1"/>
          <w:i w:val="1"/>
          <w:iCs w:val="1"/>
          <w:color w:val="auto"/>
        </w:rPr>
        <w:t>Compensation and Benefits</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We provide competitive compensation and comprehensive benefits programs to help meet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needs of our associates. In addition to salaries, these programs (which vary by position) include annual bonuses, stock awards, a 401(k) match, healthcare and insurance benefits, paid time off and personal/family leave.</w:t>
      </w:r>
    </w:p>
    <w:p>
      <w:pPr>
        <w:sectPr>
          <w:pgSz w:w="11880" w:h="15480" w:orient="portrait"/>
          <w:cols w:equalWidth="0" w:num="1">
            <w:col w:w="10760"/>
          </w:cols>
          <w:pgMar w:left="540" w:top="807"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9</w:t>
      </w:r>
    </w:p>
    <w:p>
      <w:pPr>
        <w:sectPr>
          <w:pgSz w:w="11880" w:h="15480" w:orient="portrait"/>
          <w:cols w:equalWidth="0" w:num="1">
            <w:col w:w="10760"/>
          </w:cols>
          <w:pgMar w:left="540" w:top="807" w:right="580" w:bottom="0" w:gutter="0" w:footer="0" w:header="0"/>
          <w:type w:val="continuous"/>
        </w:sectPr>
      </w:pPr>
    </w:p>
    <w:bookmarkStart w:id="9" w:name="page10"/>
    <w:bookmarkEnd w:id="9"/>
    <w:p>
      <w:pPr>
        <w:ind w:right="80"/>
        <w:spacing w:after="0" w:line="245" w:lineRule="auto"/>
        <w:rPr>
          <w:sz w:val="20"/>
          <w:szCs w:val="20"/>
          <w:color w:val="auto"/>
        </w:rPr>
      </w:pPr>
      <w:r>
        <w:rPr>
          <w:rFonts w:ascii="Arial" w:cs="Arial" w:eastAsia="Arial" w:hAnsi="Arial"/>
          <w:sz w:val="19"/>
          <w:szCs w:val="19"/>
          <w:b w:val="1"/>
          <w:bCs w:val="1"/>
          <w:i w:val="1"/>
          <w:iCs w:val="1"/>
          <w:color w:val="auto"/>
        </w:rPr>
        <w:t>Training and Development</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Our associates are critical to achieving our goals, and we strive to hire high-energy and motivated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associates. We have well-established store operating policies and procedures and an extensive in-store training program for new store management members. Sales associates also participate in a customer service and store procedures training program, which is designed to enable them to assist customers in a friendly and helpful manner. Our Citi CRED program is designed to help associates build successful career paths by providing mentorship, exposure to diverse areas of the business, opportunities to cultivate cross -functional relationships, and access to educational and professional development resources. In addition, we continue to invest in leadership development, training initiatives, succession planning, and career growth opportunities across the organization.</w:t>
      </w:r>
    </w:p>
    <w:p>
      <w:pPr>
        <w:spacing w:after="0" w:line="124" w:lineRule="exact"/>
        <w:rPr>
          <w:sz w:val="20"/>
          <w:szCs w:val="20"/>
          <w:color w:val="auto"/>
        </w:rPr>
      </w:pPr>
    </w:p>
    <w:p>
      <w:pPr>
        <w:ind w:right="320"/>
        <w:spacing w:after="0" w:line="272" w:lineRule="auto"/>
        <w:rPr>
          <w:sz w:val="20"/>
          <w:szCs w:val="20"/>
          <w:color w:val="auto"/>
        </w:rPr>
      </w:pPr>
      <w:r>
        <w:rPr>
          <w:rFonts w:ascii="Arial" w:cs="Arial" w:eastAsia="Arial" w:hAnsi="Arial"/>
          <w:sz w:val="18"/>
          <w:szCs w:val="18"/>
          <w:b w:val="1"/>
          <w:bCs w:val="1"/>
          <w:i w:val="1"/>
          <w:iCs w:val="1"/>
          <w:color w:val="auto"/>
        </w:rPr>
        <w:t xml:space="preserve">Community Involvement. </w:t>
      </w:r>
      <w:r>
        <w:rPr>
          <w:rFonts w:ascii="Arial" w:cs="Arial" w:eastAsia="Arial" w:hAnsi="Arial"/>
          <w:sz w:val="18"/>
          <w:szCs w:val="18"/>
          <w:color w:val="auto"/>
        </w:rPr>
        <w:t>We are committed to giving back to the local communities we serve. In 2026, we are launching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refined focus on “youth empowerment”, a strategic, multi-phase community impact plan designed to invest in children, teens, and young adults across the communities CITITRENDS serves. The initiative integrates education, sports, mentorship, and career readiness, reinforcing our commitment to youth development and sustainable community reinvestment.</w:t>
      </w:r>
    </w:p>
    <w:p>
      <w:pPr>
        <w:spacing w:after="0" w:line="9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Available Information</w:t>
      </w:r>
    </w:p>
    <w:p>
      <w:pPr>
        <w:spacing w:after="0" w:line="164" w:lineRule="exact"/>
        <w:rPr>
          <w:sz w:val="20"/>
          <w:szCs w:val="20"/>
          <w:color w:val="auto"/>
        </w:rPr>
      </w:pPr>
    </w:p>
    <w:p>
      <w:pPr>
        <w:ind w:right="20"/>
        <w:spacing w:after="0" w:line="246" w:lineRule="auto"/>
        <w:rPr>
          <w:sz w:val="20"/>
          <w:szCs w:val="20"/>
          <w:color w:val="auto"/>
        </w:rPr>
      </w:pPr>
      <w:r>
        <w:rPr>
          <w:rFonts w:ascii="Arial" w:cs="Arial" w:eastAsia="Arial" w:hAnsi="Arial"/>
          <w:sz w:val="19"/>
          <w:szCs w:val="19"/>
          <w:color w:val="auto"/>
        </w:rPr>
        <w:t>Our Annual Report on Form 10-K, quarterly reports on Form 10-Q, current reports on Form 8-K, proxy statements, and amendments to those reports, as well as other information that we file or furnish with the Securities and Exchange Commission (“SEC”) are available free of charge at https://ir.cititrends.com as soon as reasonably practicable after we file or furnish such material to the SEC. In addition, the SEC maintains a website at http://www.sec.gov that contains information we electronically file or furnish to the SEC. Our Corporate Governance Guidelines, Code of Ethics and the charters for the committees of our board of directors are also available free of charge at https://ir.cititrends.com or in print upon request. Information on our website is not part of this or any other report we file with or furnish to the SEC</w:t>
      </w:r>
      <w:r>
        <w:rPr>
          <w:rFonts w:ascii="Arial" w:cs="Arial" w:eastAsia="Arial" w:hAnsi="Arial"/>
          <w:sz w:val="18"/>
          <w:szCs w:val="18"/>
          <w:color w:val="auto"/>
        </w:rPr>
        <w:t>.</w:t>
      </w:r>
    </w:p>
    <w:p>
      <w:pPr>
        <w:spacing w:after="0" w:line="119" w:lineRule="exact"/>
        <w:rPr>
          <w:sz w:val="20"/>
          <w:szCs w:val="20"/>
          <w:color w:val="auto"/>
        </w:rPr>
      </w:pPr>
    </w:p>
    <w:p>
      <w:pPr>
        <w:spacing w:after="0"/>
        <w:tabs>
          <w:tab w:leader="none" w:pos="1060" w:val="left"/>
        </w:tabs>
        <w:rPr>
          <w:sz w:val="20"/>
          <w:szCs w:val="20"/>
          <w:color w:val="auto"/>
        </w:rPr>
      </w:pPr>
      <w:r>
        <w:rPr>
          <w:rFonts w:ascii="Arial" w:cs="Arial" w:eastAsia="Arial" w:hAnsi="Arial"/>
          <w:sz w:val="19"/>
          <w:szCs w:val="19"/>
          <w:b w:val="1"/>
          <w:bCs w:val="1"/>
          <w:color w:val="auto"/>
        </w:rPr>
        <w:t>ITEM 1A.</w:t>
      </w:r>
      <w:r>
        <w:rPr>
          <w:sz w:val="20"/>
          <w:szCs w:val="20"/>
          <w:color w:val="auto"/>
        </w:rPr>
        <w:tab/>
      </w:r>
      <w:r>
        <w:rPr>
          <w:rFonts w:ascii="Arial" w:cs="Arial" w:eastAsia="Arial" w:hAnsi="Arial"/>
          <w:sz w:val="18"/>
          <w:szCs w:val="18"/>
          <w:b w:val="1"/>
          <w:bCs w:val="1"/>
          <w:u w:val="single" w:color="auto"/>
          <w:color w:val="auto"/>
        </w:rPr>
        <w:t>RISK FACTORS</w:t>
      </w:r>
    </w:p>
    <w:p>
      <w:pPr>
        <w:spacing w:after="0" w:line="170" w:lineRule="exact"/>
        <w:rPr>
          <w:sz w:val="20"/>
          <w:szCs w:val="20"/>
          <w:color w:val="auto"/>
        </w:rPr>
      </w:pPr>
    </w:p>
    <w:p>
      <w:pPr>
        <w:ind w:right="40"/>
        <w:spacing w:after="0" w:line="248" w:lineRule="auto"/>
        <w:rPr>
          <w:sz w:val="20"/>
          <w:szCs w:val="20"/>
          <w:color w:val="auto"/>
        </w:rPr>
      </w:pPr>
      <w:r>
        <w:rPr>
          <w:rFonts w:ascii="Arial" w:cs="Arial" w:eastAsia="Arial" w:hAnsi="Arial"/>
          <w:sz w:val="19"/>
          <w:szCs w:val="19"/>
          <w:i w:val="1"/>
          <w:iCs w:val="1"/>
          <w:color w:val="auto"/>
        </w:rPr>
        <w:t>You should carefully consider the following risk factors, together with the other information contained or incorporated by reference into this Report and our other filings with the SEC. The risks and uncertainties described below are not the only ones we face. Additional risks and uncertainties not presently known to us or that we deem to be currently immaterial also may impair our business operations. The occurrence of any of the following risks could have a material adverse effect on our business, financial condition and 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Risks Related to our Business and Operations</w:t>
      </w:r>
    </w:p>
    <w:p>
      <w:pPr>
        <w:spacing w:after="0" w:line="158" w:lineRule="exact"/>
        <w:rPr>
          <w:sz w:val="20"/>
          <w:szCs w:val="20"/>
          <w:color w:val="auto"/>
        </w:rPr>
      </w:pPr>
    </w:p>
    <w:p>
      <w:pPr>
        <w:ind w:right="320"/>
        <w:spacing w:after="0" w:line="268" w:lineRule="auto"/>
        <w:rPr>
          <w:sz w:val="20"/>
          <w:szCs w:val="20"/>
          <w:color w:val="auto"/>
        </w:rPr>
      </w:pPr>
      <w:r>
        <w:rPr>
          <w:rFonts w:ascii="Arial" w:cs="Arial" w:eastAsia="Arial" w:hAnsi="Arial"/>
          <w:sz w:val="19"/>
          <w:szCs w:val="19"/>
          <w:b w:val="1"/>
          <w:bCs w:val="1"/>
          <w:color w:val="auto"/>
        </w:rPr>
        <w:t>Our success depends on our ability to anticipate, identify and respond rapidly to changes in consumers’ fashion tastes, and our failure to adequately evaluate fashion trends could have an adverse effect on our business strategy, financial condition and results of operations.</w:t>
      </w:r>
    </w:p>
    <w:p>
      <w:pPr>
        <w:spacing w:after="0" w:line="88" w:lineRule="exact"/>
        <w:rPr>
          <w:sz w:val="20"/>
          <w:szCs w:val="20"/>
          <w:color w:val="auto"/>
        </w:rPr>
      </w:pPr>
    </w:p>
    <w:p>
      <w:pPr>
        <w:ind w:right="80"/>
        <w:spacing w:after="0" w:line="245" w:lineRule="auto"/>
        <w:rPr>
          <w:sz w:val="20"/>
          <w:szCs w:val="20"/>
          <w:color w:val="auto"/>
        </w:rPr>
      </w:pPr>
      <w:r>
        <w:rPr>
          <w:rFonts w:ascii="Arial" w:cs="Arial" w:eastAsia="Arial" w:hAnsi="Arial"/>
          <w:sz w:val="19"/>
          <w:szCs w:val="19"/>
          <w:color w:val="auto"/>
        </w:rPr>
        <w:t>The apparel industry and our core customer in particular are subject to rapidly evolving fashion trends and shifting consumer demands. Accordingly, our success is heavily dependent on our ability to anticipate, identify and capitalize on emerging fashion and home trends, including products, styles and materials that will appeal to our target consumers. A failure on our part to anticipate, identify or react appropriately and timely to changes in styles, trends, brand preferences and images is likely to lead to lower demand for our merchandise. Further, there can be no assurance that our new product offerings will have the same level of acceptance as past product offerings or that we will be able to adequately and timely respond to the preferences of our customers. These could cause, among other things, sales declines, excess inventories and higher markdowns, which could materially adversely affect our business and our brand image.</w:t>
      </w:r>
    </w:p>
    <w:p>
      <w:pPr>
        <w:spacing w:after="0" w:line="118" w:lineRule="exact"/>
        <w:rPr>
          <w:sz w:val="20"/>
          <w:szCs w:val="20"/>
          <w:color w:val="auto"/>
        </w:rPr>
      </w:pPr>
    </w:p>
    <w:p>
      <w:pPr>
        <w:ind w:right="120"/>
        <w:spacing w:after="0" w:line="269" w:lineRule="auto"/>
        <w:rPr>
          <w:sz w:val="20"/>
          <w:szCs w:val="20"/>
          <w:color w:val="auto"/>
        </w:rPr>
      </w:pPr>
      <w:r>
        <w:rPr>
          <w:rFonts w:ascii="Arial" w:cs="Arial" w:eastAsia="Arial" w:hAnsi="Arial"/>
          <w:sz w:val="19"/>
          <w:szCs w:val="19"/>
          <w:b w:val="1"/>
          <w:bCs w:val="1"/>
          <w:color w:val="auto"/>
        </w:rPr>
        <w:t>If we are unsuccessful in competing with our retail apparel competitors, our market share could decline or our growth could be impaired and, as a result, our business strategy, financial condition and results of operations could be negatively impacted.</w:t>
      </w:r>
    </w:p>
    <w:p>
      <w:pPr>
        <w:spacing w:after="0" w:line="85" w:lineRule="exact"/>
        <w:rPr>
          <w:sz w:val="20"/>
          <w:szCs w:val="20"/>
          <w:color w:val="auto"/>
        </w:rPr>
      </w:pPr>
    </w:p>
    <w:p>
      <w:pPr>
        <w:spacing w:after="0" w:line="250" w:lineRule="auto"/>
        <w:rPr>
          <w:sz w:val="20"/>
          <w:szCs w:val="20"/>
          <w:color w:val="auto"/>
        </w:rPr>
      </w:pPr>
      <w:r>
        <w:rPr>
          <w:rFonts w:ascii="Arial" w:cs="Arial" w:eastAsia="Arial" w:hAnsi="Arial"/>
          <w:sz w:val="19"/>
          <w:szCs w:val="19"/>
          <w:color w:val="auto"/>
        </w:rPr>
        <w:t>The retail apparel and home fashion businesses are highly competitive, and we compete against a diverse group of retailers, including national chains, mass merchants, smaller discount retail chains, some of which sell only women’s products, and general merchandise discount stores that offer a variety of products, including apparel, home fashions and other merchandise we sell for the value-conscious consumer. We also compete against local specialty retail stores, regional retail chains, traditional department stores, web-based retail stores and other direct retailers.</w:t>
      </w:r>
    </w:p>
    <w:p>
      <w:pPr>
        <w:sectPr>
          <w:pgSz w:w="11880" w:h="15480" w:orient="portrait"/>
          <w:cols w:equalWidth="0" w:num="1">
            <w:col w:w="10760"/>
          </w:cols>
          <w:pgMar w:left="540" w:top="807" w:right="580" w:bottom="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w:t>
      </w:r>
    </w:p>
    <w:p>
      <w:pPr>
        <w:sectPr>
          <w:pgSz w:w="11880" w:h="15480" w:orient="portrait"/>
          <w:cols w:equalWidth="0" w:num="1">
            <w:col w:w="10760"/>
          </w:cols>
          <w:pgMar w:left="540" w:top="807" w:right="580" w:bottom="16" w:gutter="0" w:footer="0" w:header="0"/>
          <w:type w:val="continuous"/>
        </w:sectPr>
      </w:pPr>
    </w:p>
    <w:bookmarkStart w:id="10" w:name="page11"/>
    <w:bookmarkEnd w:id="10"/>
    <w:p>
      <w:pPr>
        <w:ind w:right="20"/>
        <w:spacing w:after="0" w:line="244" w:lineRule="auto"/>
        <w:rPr>
          <w:sz w:val="20"/>
          <w:szCs w:val="20"/>
          <w:color w:val="auto"/>
        </w:rPr>
      </w:pPr>
      <w:r>
        <w:rPr>
          <w:rFonts w:ascii="Arial" w:cs="Arial" w:eastAsia="Arial" w:hAnsi="Arial"/>
          <w:sz w:val="19"/>
          <w:szCs w:val="19"/>
          <w:color w:val="auto"/>
        </w:rPr>
        <w:t>The level of competition we face from these retailers varies depending on the product segment, as many of our competitors do not offer apparel for the entire family. Our greatest competition is generally in women’s apparel. We compete with many retailers that are larger than we are with substantially greater resources that can, as a result, adapt better to changing market conditions, better exploit new opportunities and exert greater pricing pressures on suppliers than we can. Many of these retailers also have better name recognition among consumers than we do. Our local and regional competitors may have more extensive knowledge of the consumer base and may be able to garner more loyalty from customers than we can. If the consumer base we serve is satisfied with the selection, quality and price of our competitors’ products, consumers may decide not to shop in our stores. Additionally, if our existing competitors or other retailers decide to focus more on our core customers, we may have greater difficulty in competing effectively. As a result of this competition, we may experience pricing pressures, increased marketing expenditures, as well as loss of market share, which could materially and adversely affect our business strategy, financial condition and results of operations.</w:t>
      </w:r>
    </w:p>
    <w:p>
      <w:pPr>
        <w:spacing w:after="0" w:line="116" w:lineRule="exact"/>
        <w:rPr>
          <w:sz w:val="20"/>
          <w:szCs w:val="20"/>
          <w:color w:val="auto"/>
        </w:rPr>
      </w:pPr>
    </w:p>
    <w:p>
      <w:pPr>
        <w:ind w:right="780"/>
        <w:spacing w:after="0" w:line="297" w:lineRule="auto"/>
        <w:rPr>
          <w:sz w:val="20"/>
          <w:szCs w:val="20"/>
          <w:color w:val="auto"/>
        </w:rPr>
      </w:pPr>
      <w:r>
        <w:rPr>
          <w:rFonts w:ascii="Arial" w:cs="Arial" w:eastAsia="Arial" w:hAnsi="Arial"/>
          <w:sz w:val="19"/>
          <w:szCs w:val="19"/>
          <w:b w:val="1"/>
          <w:bCs w:val="1"/>
          <w:color w:val="auto"/>
        </w:rPr>
        <w:t>Our ability to attract consumers to our stores depends on several factors, including the success of the outdoor community shopping centers where our stores are primarily located.</w:t>
      </w:r>
    </w:p>
    <w:p>
      <w:pPr>
        <w:spacing w:after="0" w:line="60" w:lineRule="exact"/>
        <w:rPr>
          <w:sz w:val="20"/>
          <w:szCs w:val="20"/>
          <w:color w:val="auto"/>
        </w:rPr>
      </w:pPr>
    </w:p>
    <w:p>
      <w:pPr>
        <w:ind w:right="80"/>
        <w:spacing w:after="0" w:line="244" w:lineRule="auto"/>
        <w:rPr>
          <w:sz w:val="20"/>
          <w:szCs w:val="20"/>
          <w:color w:val="auto"/>
        </w:rPr>
      </w:pPr>
      <w:r>
        <w:rPr>
          <w:rFonts w:ascii="Arial" w:cs="Arial" w:eastAsia="Arial" w:hAnsi="Arial"/>
          <w:sz w:val="19"/>
          <w:szCs w:val="19"/>
          <w:color w:val="auto"/>
        </w:rPr>
        <w:t>The success of an individual store can depend on favorable placement within a given shopping center as well as the volume of traffic generated by the other destination retailers and the anchor stores in the shopping centers where our stores are located. We cannot control the development of alternative shopping destinations near our existing stores or the availability or cost of real estate within existing or new shopping destinations. Any decline in the volume of consumer traffic at shopping centers, whether because of consumer preferences to shop on the internet or at large warehouse stores, recession risks and potential effects, an economic slowdown, a decline in the popularity of shopping centers, the closing or leaving of a destination retailer or anchor store, or significant deterioration of the surrounding areas in which our stores are located, it could result in reduced sales at our stores and leave us with excess inventory, which could have a material adverse effect on our financial results or business. Additionally, we are in the process of renovating a number of our stores. If these remodels do not attract new or existing customers to our stores or otherwise drive an increase in sales, then this may have an adverse impact on our business and results of operations.</w:t>
      </w:r>
    </w:p>
    <w:p>
      <w:pPr>
        <w:spacing w:after="0" w:line="117" w:lineRule="exact"/>
        <w:rPr>
          <w:sz w:val="20"/>
          <w:szCs w:val="20"/>
          <w:color w:val="auto"/>
        </w:rPr>
      </w:pPr>
    </w:p>
    <w:p>
      <w:pPr>
        <w:ind w:right="800"/>
        <w:spacing w:after="0" w:line="297" w:lineRule="auto"/>
        <w:rPr>
          <w:sz w:val="20"/>
          <w:szCs w:val="20"/>
          <w:color w:val="auto"/>
        </w:rPr>
      </w:pPr>
      <w:r>
        <w:rPr>
          <w:rFonts w:ascii="Arial" w:cs="Arial" w:eastAsia="Arial" w:hAnsi="Arial"/>
          <w:sz w:val="19"/>
          <w:szCs w:val="19"/>
          <w:b w:val="1"/>
          <w:bCs w:val="1"/>
          <w:color w:val="auto"/>
        </w:rPr>
        <w:t>We do not offer the option to purchase our products through the internet. As the retail industry experiences an increase in online sales, our sales could be adversely affected.</w:t>
      </w:r>
    </w:p>
    <w:p>
      <w:pPr>
        <w:spacing w:after="0" w:line="60"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The retail landscape has changed with some consumers shifting spend from traditional brick- and-mortar stores to online retailers. The continued growth of online sales could have a negative impact on our sales, as our customers may decide to make purchases through online retailers.</w:t>
      </w:r>
    </w:p>
    <w:p>
      <w:pPr>
        <w:spacing w:after="0" w:line="102" w:lineRule="exact"/>
        <w:rPr>
          <w:sz w:val="20"/>
          <w:szCs w:val="20"/>
          <w:color w:val="auto"/>
        </w:rPr>
      </w:pPr>
    </w:p>
    <w:p>
      <w:pPr>
        <w:ind w:right="100"/>
        <w:spacing w:after="0" w:line="297" w:lineRule="auto"/>
        <w:rPr>
          <w:sz w:val="20"/>
          <w:szCs w:val="20"/>
          <w:color w:val="auto"/>
        </w:rPr>
      </w:pPr>
      <w:r>
        <w:rPr>
          <w:rFonts w:ascii="Arial" w:cs="Arial" w:eastAsia="Arial" w:hAnsi="Arial"/>
          <w:sz w:val="19"/>
          <w:szCs w:val="19"/>
          <w:b w:val="1"/>
          <w:bCs w:val="1"/>
          <w:color w:val="auto"/>
        </w:rPr>
        <w:t>Our sales, inventory levels and earnings fluctuate on a seasonal basis, which makes our business more susceptible to adverse events that occur during the first and fourth quarters.</w:t>
      </w:r>
    </w:p>
    <w:p>
      <w:pPr>
        <w:spacing w:after="0" w:line="60" w:lineRule="exact"/>
        <w:rPr>
          <w:sz w:val="20"/>
          <w:szCs w:val="20"/>
          <w:color w:val="auto"/>
        </w:rPr>
      </w:pPr>
    </w:p>
    <w:p>
      <w:pPr>
        <w:spacing w:after="0" w:line="248" w:lineRule="auto"/>
        <w:rPr>
          <w:sz w:val="20"/>
          <w:szCs w:val="20"/>
          <w:color w:val="auto"/>
        </w:rPr>
      </w:pPr>
      <w:r>
        <w:rPr>
          <w:rFonts w:ascii="Arial" w:cs="Arial" w:eastAsia="Arial" w:hAnsi="Arial"/>
          <w:sz w:val="19"/>
          <w:szCs w:val="19"/>
          <w:color w:val="auto"/>
        </w:rPr>
        <w:t>Historically, our sales and earnings are significantly higher during the first and fourth quarters each year due to the importance of the spring selling season, which includes the tax refund season and Easter, and the fall selling season, which includes Christmas. Factors that negatively affect us during the first and fourth quarters, including adverse weather, pandemics or other seasonal public health emergencies, cybersecurity events, unfavorable economic conditions, reduced governmental assistance, and tax refund patterns for our customers, will have a greater adverse effect on our financial condition than if our business was less seasonal.</w:t>
      </w:r>
    </w:p>
    <w:p>
      <w:pPr>
        <w:spacing w:after="0" w:line="117" w:lineRule="exact"/>
        <w:rPr>
          <w:sz w:val="20"/>
          <w:szCs w:val="20"/>
          <w:color w:val="auto"/>
        </w:rPr>
      </w:pPr>
    </w:p>
    <w:p>
      <w:pPr>
        <w:spacing w:after="0" w:line="245" w:lineRule="auto"/>
        <w:rPr>
          <w:sz w:val="20"/>
          <w:szCs w:val="20"/>
          <w:color w:val="auto"/>
        </w:rPr>
      </w:pPr>
      <w:r>
        <w:rPr>
          <w:rFonts w:ascii="Arial" w:cs="Arial" w:eastAsia="Arial" w:hAnsi="Arial"/>
          <w:sz w:val="19"/>
          <w:szCs w:val="19"/>
          <w:color w:val="auto"/>
        </w:rPr>
        <w:t>Seasonal fluctuations also affect our inventory levels. While we believe we have a flexible supply chain, we often enter into agreements to purchase merchandise well in advance of the applicable selling season and before trends are confirmed by sales. Therefore, we are vulnerable to changes in consumer preference and demand between the time we design and order our merchandise and the season in which this merchandise will be sold. If we are not able to accurately predict customers’ preferences for our fashion items, we may have either too much inventory which may result in increased markdowns and lower margins or inventory shortages, which may result in lost sales. In either event, our sales may be lower and our cost of sales may be higher than historical levels, which could have a material adverse effect on our business strategy, financial condition and results of operations.</w:t>
      </w:r>
    </w:p>
    <w:p>
      <w:pPr>
        <w:sectPr>
          <w:pgSz w:w="11880" w:h="15480" w:orient="portrait"/>
          <w:cols w:equalWidth="0" w:num="1">
            <w:col w:w="10800"/>
          </w:cols>
          <w:pgMar w:left="540" w:top="807" w:right="540" w:bottom="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880" w:h="15480" w:orient="portrait"/>
          <w:cols w:equalWidth="0" w:num="1">
            <w:col w:w="10800"/>
          </w:cols>
          <w:pgMar w:left="540" w:top="807" w:right="540" w:bottom="16" w:gutter="0" w:footer="0" w:header="0"/>
          <w:type w:val="continuous"/>
        </w:sectPr>
      </w:pPr>
    </w:p>
    <w:bookmarkStart w:id="11" w:name="page12"/>
    <w:bookmarkEnd w:id="11"/>
    <w:p>
      <w:pPr>
        <w:spacing w:after="0"/>
        <w:rPr>
          <w:sz w:val="20"/>
          <w:szCs w:val="20"/>
          <w:color w:val="auto"/>
        </w:rPr>
      </w:pPr>
      <w:r>
        <w:rPr>
          <w:rFonts w:ascii="Arial" w:cs="Arial" w:eastAsia="Arial" w:hAnsi="Arial"/>
          <w:sz w:val="19"/>
          <w:szCs w:val="19"/>
          <w:b w:val="1"/>
          <w:bCs w:val="1"/>
          <w:color w:val="auto"/>
        </w:rPr>
        <w:t>We could experience a reduction in sales if we are unable to fulfill our current and future merchandising needs.</w:t>
      </w:r>
    </w:p>
    <w:p>
      <w:pPr>
        <w:spacing w:after="0" w:line="162" w:lineRule="exact"/>
        <w:rPr>
          <w:sz w:val="20"/>
          <w:szCs w:val="20"/>
          <w:color w:val="auto"/>
        </w:rPr>
      </w:pPr>
    </w:p>
    <w:p>
      <w:pPr>
        <w:spacing w:after="0" w:line="245" w:lineRule="auto"/>
        <w:rPr>
          <w:sz w:val="20"/>
          <w:szCs w:val="20"/>
          <w:color w:val="auto"/>
        </w:rPr>
      </w:pPr>
      <w:r>
        <w:rPr>
          <w:rFonts w:ascii="Arial" w:cs="Arial" w:eastAsia="Arial" w:hAnsi="Arial"/>
          <w:sz w:val="19"/>
          <w:szCs w:val="19"/>
          <w:color w:val="auto"/>
        </w:rPr>
        <w:t>We depend on our suppliers for the continued availability and satisfactory quality of our merchandise. Our suppliers could discontinue selling to us at any time. Additionally, if the manufacturers or other owners of brands or trademarks terminate the license agreements under which some of our suppliers sell our products, we may be unable to obtain replacement merchandise of comparable fashion appeal or quality, in the same quantities or at the same prices. In addition, a number of our suppliers are smaller, less capitalized companies and are more likely to be impacted by unfavorable general economic and market conditions than larger and better capitalized companies, negatively impacting their ability to supply their products to us. If we lose the services of one or more of our significant suppliers or one or more of them fail to meet our merchandising needs, we may be unable to timely or adequately replace the merchandise we currently source with merchandise provided elsewhere, which could negatively impact our sales and results of operations.</w:t>
      </w:r>
    </w:p>
    <w:p>
      <w:pPr>
        <w:spacing w:after="0" w:line="115" w:lineRule="exact"/>
        <w:rPr>
          <w:sz w:val="20"/>
          <w:szCs w:val="20"/>
          <w:color w:val="auto"/>
        </w:rPr>
      </w:pPr>
    </w:p>
    <w:p>
      <w:pPr>
        <w:ind w:right="240"/>
        <w:spacing w:after="0" w:line="297" w:lineRule="auto"/>
        <w:rPr>
          <w:sz w:val="20"/>
          <w:szCs w:val="20"/>
          <w:color w:val="auto"/>
        </w:rPr>
      </w:pPr>
      <w:r>
        <w:rPr>
          <w:rFonts w:ascii="Arial" w:cs="Arial" w:eastAsia="Arial" w:hAnsi="Arial"/>
          <w:sz w:val="19"/>
          <w:szCs w:val="19"/>
          <w:b w:val="1"/>
          <w:bCs w:val="1"/>
          <w:color w:val="auto"/>
        </w:rPr>
        <w:t>Failure to properly manage and allocate our inventory could have an adverse effect on our business strategy, sales, margins, financial condition, and results of operations.</w:t>
      </w:r>
    </w:p>
    <w:p>
      <w:pPr>
        <w:spacing w:after="0" w:line="61" w:lineRule="exact"/>
        <w:rPr>
          <w:sz w:val="20"/>
          <w:szCs w:val="20"/>
          <w:color w:val="auto"/>
        </w:rPr>
      </w:pPr>
    </w:p>
    <w:p>
      <w:pPr>
        <w:ind w:right="80"/>
        <w:spacing w:after="0" w:line="245" w:lineRule="auto"/>
        <w:rPr>
          <w:sz w:val="20"/>
          <w:szCs w:val="20"/>
          <w:color w:val="auto"/>
        </w:rPr>
      </w:pPr>
      <w:r>
        <w:rPr>
          <w:rFonts w:ascii="Arial" w:cs="Arial" w:eastAsia="Arial" w:hAnsi="Arial"/>
          <w:sz w:val="19"/>
          <w:szCs w:val="19"/>
          <w:color w:val="auto"/>
        </w:rPr>
        <w:t>In order to better serve our customers and maximize sales, it is important that we properly execute our inventory management strategies by appropriately allocating merchandise among our stores, timely and efficiently distributing inventory to such locations, maintaining an appropriate mix and level of inventory in such locations, responding to customer demand, and effectively managing pricing and markdowns, and there is no assurance we will be able to do so. In addition, as we continue to implement new inventory allocation initiatives, there could be disruptions in inventory flow and placement. We also face certain risks from our use of third-party order fulfillment and direct shipping including freight cost increases, timely delivery and delays due to work stoppages. Our financial performance could also be impacted by increases in shrink in stores and throughout the supply chain.</w:t>
      </w:r>
    </w:p>
    <w:p>
      <w:pPr>
        <w:spacing w:after="0" w:line="124" w:lineRule="exact"/>
        <w:rPr>
          <w:sz w:val="20"/>
          <w:szCs w:val="20"/>
          <w:color w:val="auto"/>
        </w:rPr>
      </w:pPr>
    </w:p>
    <w:p>
      <w:pPr>
        <w:ind w:right="60"/>
        <w:spacing w:after="0" w:line="253" w:lineRule="auto"/>
        <w:rPr>
          <w:sz w:val="20"/>
          <w:szCs w:val="20"/>
          <w:color w:val="auto"/>
        </w:rPr>
      </w:pPr>
      <w:r>
        <w:rPr>
          <w:rFonts w:ascii="Arial" w:cs="Arial" w:eastAsia="Arial" w:hAnsi="Arial"/>
          <w:sz w:val="19"/>
          <w:szCs w:val="19"/>
          <w:color w:val="auto"/>
        </w:rPr>
        <w:t>We base our purchases of inventory, in part, on our sales forecasts. If our sales forecasts do not match customer demand, we may experience higher inventory levels and need to markdown excess or slow-moving inventory, leading to decreased profit margins, or we may have insufficient inventory to meet customer demand, leading to lost sales, either of which could adversely affect our financial performance.</w:t>
      </w:r>
    </w:p>
    <w:p>
      <w:pPr>
        <w:spacing w:after="0" w:line="108" w:lineRule="exact"/>
        <w:rPr>
          <w:sz w:val="20"/>
          <w:szCs w:val="20"/>
          <w:color w:val="auto"/>
        </w:rPr>
      </w:pPr>
    </w:p>
    <w:p>
      <w:pPr>
        <w:ind w:right="660"/>
        <w:spacing w:after="0" w:line="297" w:lineRule="auto"/>
        <w:rPr>
          <w:sz w:val="20"/>
          <w:szCs w:val="20"/>
          <w:color w:val="auto"/>
        </w:rPr>
      </w:pPr>
      <w:r>
        <w:rPr>
          <w:rFonts w:ascii="Arial" w:cs="Arial" w:eastAsia="Arial" w:hAnsi="Arial"/>
          <w:sz w:val="19"/>
          <w:szCs w:val="19"/>
          <w:b w:val="1"/>
          <w:bCs w:val="1"/>
          <w:color w:val="auto"/>
        </w:rPr>
        <w:t>We rely on numerous third parties in the supply chain to produce and deliver the products that we sell, and our business may be negatively impacted by their failure to comply with applicable law.</w:t>
      </w:r>
    </w:p>
    <w:p>
      <w:pPr>
        <w:spacing w:after="0" w:line="61" w:lineRule="exact"/>
        <w:rPr>
          <w:sz w:val="20"/>
          <w:szCs w:val="20"/>
          <w:color w:val="auto"/>
        </w:rPr>
      </w:pPr>
    </w:p>
    <w:p>
      <w:pPr>
        <w:ind w:right="80"/>
        <w:spacing w:after="0" w:line="243" w:lineRule="auto"/>
        <w:rPr>
          <w:sz w:val="20"/>
          <w:szCs w:val="20"/>
          <w:color w:val="auto"/>
        </w:rPr>
      </w:pPr>
      <w:r>
        <w:rPr>
          <w:rFonts w:ascii="Arial" w:cs="Arial" w:eastAsia="Arial" w:hAnsi="Arial"/>
          <w:sz w:val="19"/>
          <w:szCs w:val="19"/>
          <w:color w:val="auto"/>
        </w:rPr>
        <w:t>Merchandise we sell in our stores is subject to quality and safety regulatory standards set by various governmental authorities. Regulations in this area may change from time to time. We rely on numerous third parties to supply quality merchandise that complies with product safety laws and other applicable laws, but these third parties may not comply with all such applicable laws. Violations of law by our importers, suppliers, manufacturers or distributors could result in delays in shipments and receipt of goods or damage our reputation, thus causing our sales to decline. Although our arrangements with our vendors frequently provide for indemnification for product liabilities, the vendors may fail to honor those obligations to an extent we consider sufficient or at all. Issues with the quality and safety of merchandise we sell in our stores, regardless of our fault, or customer concerns about such issues, could result in damage to our reputation, lost sales, uninsured product liability claims or losses, merchandise recalls, increased costs, and regulatory, civil or criminal fines or penalties, any of which could have a material adverse effect on our financial results. Further, we could incur liability with manufacturers or other owners of brands or trademarked products if we inadvertently receive and sell counterfeit brands, infringing products or unlicensed goods, which could adversely impact our results of operations. Although we endeavor to establish relationships with reputable vendors to reduce this risk, there is no guarantee that we will be successful in doing so.</w:t>
      </w:r>
    </w:p>
    <w:p>
      <w:pPr>
        <w:spacing w:after="0" w:line="120" w:lineRule="exact"/>
        <w:rPr>
          <w:sz w:val="20"/>
          <w:szCs w:val="20"/>
          <w:color w:val="auto"/>
        </w:rPr>
      </w:pPr>
    </w:p>
    <w:p>
      <w:pPr>
        <w:ind w:right="560"/>
        <w:spacing w:after="0" w:line="297" w:lineRule="auto"/>
        <w:rPr>
          <w:sz w:val="20"/>
          <w:szCs w:val="20"/>
          <w:color w:val="auto"/>
        </w:rPr>
      </w:pPr>
      <w:r>
        <w:rPr>
          <w:rFonts w:ascii="Arial" w:cs="Arial" w:eastAsia="Arial" w:hAnsi="Arial"/>
          <w:sz w:val="19"/>
          <w:szCs w:val="19"/>
          <w:b w:val="1"/>
          <w:bCs w:val="1"/>
          <w:color w:val="auto"/>
        </w:rPr>
        <w:t>If we fail to protect our name and brand in the marketplace, there could be a negative effect on our business and limitations on our ability to penetrate new markets.</w:t>
      </w:r>
    </w:p>
    <w:p>
      <w:pPr>
        <w:spacing w:after="0" w:line="60" w:lineRule="exact"/>
        <w:rPr>
          <w:sz w:val="20"/>
          <w:szCs w:val="20"/>
          <w:color w:val="auto"/>
        </w:rPr>
      </w:pPr>
    </w:p>
    <w:p>
      <w:pPr>
        <w:ind w:right="120"/>
        <w:spacing w:after="0" w:line="250" w:lineRule="auto"/>
        <w:rPr>
          <w:sz w:val="20"/>
          <w:szCs w:val="20"/>
          <w:color w:val="auto"/>
        </w:rPr>
      </w:pPr>
      <w:r>
        <w:rPr>
          <w:rFonts w:ascii="Arial" w:cs="Arial" w:eastAsia="Arial" w:hAnsi="Arial"/>
          <w:sz w:val="19"/>
          <w:szCs w:val="19"/>
          <w:color w:val="auto"/>
        </w:rPr>
        <w:t>We believe that our “Citi Trends” trademark is integral to our store design and our success in building consumer loyalty to our brand. We have registered this trademark with the U.S. Patent and Trademark Office. We have also registered, or applied for registration of, additional trademarks with the U.S. Patent and Trademark Office that we believe are important to our business. We cannot assure that these registrations will prevent imitation of our name, merchandising concept, store design or private label merchandise or the infringement of our other intellectual property rights by others.</w:t>
      </w:r>
    </w:p>
    <w:p>
      <w:pPr>
        <w:spacing w:after="0" w:line="115" w:lineRule="exact"/>
        <w:rPr>
          <w:sz w:val="20"/>
          <w:szCs w:val="20"/>
          <w:color w:val="auto"/>
        </w:rPr>
      </w:pPr>
    </w:p>
    <w:p>
      <w:pPr>
        <w:ind w:right="340"/>
        <w:spacing w:after="0" w:line="272" w:lineRule="auto"/>
        <w:rPr>
          <w:sz w:val="20"/>
          <w:szCs w:val="20"/>
          <w:color w:val="auto"/>
        </w:rPr>
      </w:pPr>
      <w:r>
        <w:rPr>
          <w:rFonts w:ascii="Arial" w:cs="Arial" w:eastAsia="Arial" w:hAnsi="Arial"/>
          <w:sz w:val="18"/>
          <w:szCs w:val="18"/>
          <w:color w:val="auto"/>
        </w:rPr>
        <w:t>Further, the use of social media by us and consumers has also increased the risk that our image and reputation could be negatively impacted. Imitation of our name, concept, store design or merchandise in a manner that projects lesser quality or carries a negative connotation of our brand image or other damage to our brand image and reputation in any aspect of its operations could have an adverse effect on our reputation, business strategy, financial condition and results of operations.</w:t>
      </w:r>
    </w:p>
    <w:p>
      <w:pPr>
        <w:sectPr>
          <w:pgSz w:w="11880" w:h="15480" w:orient="portrait"/>
          <w:cols w:equalWidth="0" w:num="1">
            <w:col w:w="10700"/>
          </w:cols>
          <w:pgMar w:left="540" w:top="804" w:right="640" w:bottom="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12</w:t>
      </w:r>
    </w:p>
    <w:p>
      <w:pPr>
        <w:sectPr>
          <w:pgSz w:w="11880" w:h="15480" w:orient="portrait"/>
          <w:cols w:equalWidth="0" w:num="1">
            <w:col w:w="10700"/>
          </w:cols>
          <w:pgMar w:left="540" w:top="804" w:right="640" w:bottom="16" w:gutter="0" w:footer="0" w:header="0"/>
          <w:type w:val="continuous"/>
        </w:sectPr>
      </w:pPr>
    </w:p>
    <w:bookmarkStart w:id="12" w:name="page13"/>
    <w:bookmarkEnd w:id="12"/>
    <w:p>
      <w:pPr>
        <w:ind w:right="680"/>
        <w:spacing w:after="0" w:line="297" w:lineRule="auto"/>
        <w:rPr>
          <w:sz w:val="20"/>
          <w:szCs w:val="20"/>
          <w:color w:val="auto"/>
        </w:rPr>
      </w:pPr>
      <w:r>
        <w:rPr>
          <w:rFonts w:ascii="Arial" w:cs="Arial" w:eastAsia="Arial" w:hAnsi="Arial"/>
          <w:sz w:val="19"/>
          <w:szCs w:val="19"/>
          <w:b w:val="1"/>
          <w:bCs w:val="1"/>
          <w:color w:val="auto"/>
        </w:rPr>
        <w:t>Failure to attract, motivate and retain personnel and control our labor costs could have an adverse effect on our financial condition.</w:t>
      </w:r>
    </w:p>
    <w:p>
      <w:pPr>
        <w:spacing w:after="0" w:line="60" w:lineRule="exact"/>
        <w:rPr>
          <w:sz w:val="20"/>
          <w:szCs w:val="20"/>
          <w:color w:val="auto"/>
        </w:rPr>
      </w:pPr>
    </w:p>
    <w:p>
      <w:pPr>
        <w:ind w:right="60"/>
        <w:spacing w:after="0" w:line="248" w:lineRule="auto"/>
        <w:rPr>
          <w:sz w:val="20"/>
          <w:szCs w:val="20"/>
          <w:color w:val="auto"/>
        </w:rPr>
      </w:pPr>
      <w:r>
        <w:rPr>
          <w:rFonts w:ascii="Arial" w:cs="Arial" w:eastAsia="Arial" w:hAnsi="Arial"/>
          <w:sz w:val="19"/>
          <w:szCs w:val="19"/>
          <w:color w:val="auto"/>
        </w:rPr>
        <w:t>Our success depends in part upon our ability to attract, motivate and retain a sufficient number of store sales associates, including store managers, who understand and appreciate our corporate culture and customers, and are able to adequately and effectively represent this culture with our customers. Like most retailers, we experience significant employee turnover rates, particularly among store sales associates and managers and distribution center associates. We therefore must continually attract, hire and train new personnel to meet our staffing needs. A significant increase in the turnover rate would increase our recruiting and training costs and could cause us to be unable to service our customers effectively.</w:t>
      </w:r>
    </w:p>
    <w:p>
      <w:pPr>
        <w:spacing w:after="0" w:line="117" w:lineRule="exact"/>
        <w:rPr>
          <w:sz w:val="20"/>
          <w:szCs w:val="20"/>
          <w:color w:val="auto"/>
        </w:rPr>
      </w:pPr>
    </w:p>
    <w:p>
      <w:pPr>
        <w:ind w:right="20"/>
        <w:spacing w:after="0" w:line="248" w:lineRule="auto"/>
        <w:rPr>
          <w:sz w:val="20"/>
          <w:szCs w:val="20"/>
          <w:color w:val="auto"/>
        </w:rPr>
      </w:pPr>
      <w:r>
        <w:rPr>
          <w:rFonts w:ascii="Arial" w:cs="Arial" w:eastAsia="Arial" w:hAnsi="Arial"/>
          <w:sz w:val="19"/>
          <w:szCs w:val="19"/>
          <w:color w:val="auto"/>
        </w:rPr>
        <w:t>Our ability to meet our labor needs and to control labor costs is subject to various external factors, including increased market pressures with respect to prevailing wage rates, unemployment levels and health and other insurance costs; inflation; the impact of legislation or regulations governing labor relations, minimum wage, and healthcare benefits; changing demographics; and our reputation within the labor market. These factors, together with growing competition among potential employers, may result in increased salaries, benefits, or other employee -related costs, or may impair our ability to recruit and retain employees, which could have an adverse impact on our business strategy, financial condition and results of operations.</w:t>
      </w:r>
    </w:p>
    <w:p>
      <w:pPr>
        <w:spacing w:after="0" w:line="117" w:lineRule="exact"/>
        <w:rPr>
          <w:sz w:val="20"/>
          <w:szCs w:val="20"/>
          <w:color w:val="auto"/>
        </w:rPr>
      </w:pPr>
    </w:p>
    <w:p>
      <w:pPr>
        <w:ind w:right="100"/>
        <w:spacing w:after="0" w:line="260" w:lineRule="auto"/>
        <w:rPr>
          <w:sz w:val="20"/>
          <w:szCs w:val="20"/>
          <w:color w:val="auto"/>
        </w:rPr>
      </w:pPr>
      <w:r>
        <w:rPr>
          <w:rFonts w:ascii="Arial" w:cs="Arial" w:eastAsia="Arial" w:hAnsi="Arial"/>
          <w:sz w:val="19"/>
          <w:szCs w:val="19"/>
          <w:color w:val="auto"/>
        </w:rPr>
        <w:t>In addition, we rely heavily on the experience and expertise of our senior management team and other key management associates, and accordingly, the loss of their services could have a material adverse effect on our business strategy and results of operations.</w:t>
      </w:r>
    </w:p>
    <w:p>
      <w:pPr>
        <w:spacing w:after="0" w:line="102"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Risks Related to General Economic and Market Conditions</w:t>
      </w:r>
    </w:p>
    <w:p>
      <w:pPr>
        <w:spacing w:after="0" w:line="160" w:lineRule="exact"/>
        <w:rPr>
          <w:sz w:val="20"/>
          <w:szCs w:val="20"/>
          <w:color w:val="auto"/>
        </w:rPr>
      </w:pPr>
    </w:p>
    <w:p>
      <w:pPr>
        <w:ind w:right="100"/>
        <w:spacing w:after="0" w:line="297" w:lineRule="auto"/>
        <w:rPr>
          <w:sz w:val="20"/>
          <w:szCs w:val="20"/>
          <w:color w:val="auto"/>
        </w:rPr>
      </w:pPr>
      <w:r>
        <w:rPr>
          <w:rFonts w:ascii="Arial" w:cs="Arial" w:eastAsia="Arial" w:hAnsi="Arial"/>
          <w:sz w:val="19"/>
          <w:szCs w:val="19"/>
          <w:b w:val="1"/>
          <w:bCs w:val="1"/>
          <w:color w:val="auto"/>
        </w:rPr>
        <w:t>Our sales could decline and our store operations could be disrupted as a result of general economic and other factors outside of our control, such as inflation, changes in consumer spending patterns and declines in employment levels.</w:t>
      </w:r>
    </w:p>
    <w:p>
      <w:pPr>
        <w:spacing w:after="0" w:line="60" w:lineRule="exact"/>
        <w:rPr>
          <w:sz w:val="20"/>
          <w:szCs w:val="20"/>
          <w:color w:val="auto"/>
        </w:rPr>
      </w:pPr>
    </w:p>
    <w:p>
      <w:pPr>
        <w:ind w:right="140"/>
        <w:spacing w:after="0" w:line="248" w:lineRule="auto"/>
        <w:rPr>
          <w:sz w:val="20"/>
          <w:szCs w:val="20"/>
          <w:color w:val="auto"/>
        </w:rPr>
      </w:pPr>
      <w:r>
        <w:rPr>
          <w:rFonts w:ascii="Arial" w:cs="Arial" w:eastAsia="Arial" w:hAnsi="Arial"/>
          <w:sz w:val="19"/>
          <w:szCs w:val="19"/>
          <w:color w:val="auto"/>
        </w:rPr>
        <w:t>Downturns, or the expectation of a downturn, in general economic conditions, including the effects of unemployment levels, salaries and wage rates, inflation in rent, energy, food and other consumer good prices, interest rates, higher insurance costs, levels of consumer debt, changes in tax rates and policies (including delays in the distribution of tax refunds), government stimulus, geopolitical conflicts, consumer confidence, consumer perception of economic conditions, increased fuel costs or fuel shortages, increased shipping, transportation and distribution costs and other macroeconomic factors, could adversely affect consumer spending patterns, our sales and our results of operations.</w:t>
      </w:r>
    </w:p>
    <w:p>
      <w:pPr>
        <w:spacing w:after="0" w:line="117" w:lineRule="exact"/>
        <w:rPr>
          <w:sz w:val="20"/>
          <w:szCs w:val="20"/>
          <w:color w:val="auto"/>
        </w:rPr>
      </w:pPr>
    </w:p>
    <w:p>
      <w:pPr>
        <w:ind w:right="60"/>
        <w:spacing w:after="0" w:line="248" w:lineRule="auto"/>
        <w:rPr>
          <w:sz w:val="20"/>
          <w:szCs w:val="20"/>
          <w:color w:val="auto"/>
        </w:rPr>
      </w:pPr>
      <w:r>
        <w:rPr>
          <w:rFonts w:ascii="Arial" w:cs="Arial" w:eastAsia="Arial" w:hAnsi="Arial"/>
          <w:sz w:val="19"/>
          <w:szCs w:val="19"/>
          <w:color w:val="auto"/>
        </w:rPr>
        <w:t>Consumer confidence may also be affected by domestic and international political or social unrest (including related protests or disturbances), acts of war or terrorism, natural disasters, pandemics or other public health emergencies, or other significant events outside of our control. In addition, since many of our stores are located in the southeastern United States, our operations are more susceptible to regional factors than the operations of our more geographically diversified competitors. Therefore, any adverse economic conditions that have a disproportionate effect on the southeastern United States could have a greater negative effect on our sales and results of operations than on retailers with a more geographically diversified store base.</w:t>
      </w:r>
    </w:p>
    <w:p>
      <w:pPr>
        <w:spacing w:after="0" w:line="1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Inflation and rising commodity prices could adversely affect our business.</w:t>
      </w:r>
    </w:p>
    <w:p>
      <w:pPr>
        <w:spacing w:after="0" w:line="162" w:lineRule="exact"/>
        <w:rPr>
          <w:sz w:val="20"/>
          <w:szCs w:val="20"/>
          <w:color w:val="auto"/>
        </w:rPr>
      </w:pPr>
    </w:p>
    <w:p>
      <w:pPr>
        <w:jc w:val="both"/>
        <w:ind w:right="360"/>
        <w:spacing w:after="0" w:line="282" w:lineRule="auto"/>
        <w:rPr>
          <w:sz w:val="20"/>
          <w:szCs w:val="20"/>
          <w:color w:val="auto"/>
        </w:rPr>
      </w:pPr>
      <w:r>
        <w:rPr>
          <w:rFonts w:ascii="Arial" w:cs="Arial" w:eastAsia="Arial" w:hAnsi="Arial"/>
          <w:sz w:val="18"/>
          <w:szCs w:val="18"/>
          <w:color w:val="auto"/>
        </w:rPr>
        <w:t>In addition to the impact on our customers, inflation may adversely impact our financial performance placing pressure on the prices of our products. If the cost of our products changes as a result of inflation, we may be forced to adjust our retail prices accordingly. This in turn may cause our core customer base to not purchase our products or otherwise visit our stores.</w:t>
      </w:r>
    </w:p>
    <w:p>
      <w:pPr>
        <w:spacing w:after="0" w:line="82" w:lineRule="exact"/>
        <w:rPr>
          <w:sz w:val="20"/>
          <w:szCs w:val="20"/>
          <w:color w:val="auto"/>
        </w:rPr>
      </w:pPr>
    </w:p>
    <w:p>
      <w:pPr>
        <w:ind w:right="440"/>
        <w:spacing w:after="0" w:line="297" w:lineRule="auto"/>
        <w:rPr>
          <w:sz w:val="20"/>
          <w:szCs w:val="20"/>
          <w:color w:val="auto"/>
        </w:rPr>
      </w:pPr>
      <w:r>
        <w:rPr>
          <w:rFonts w:ascii="Arial" w:cs="Arial" w:eastAsia="Arial" w:hAnsi="Arial"/>
          <w:sz w:val="19"/>
          <w:szCs w:val="19"/>
          <w:b w:val="1"/>
          <w:bCs w:val="1"/>
          <w:color w:val="auto"/>
        </w:rPr>
        <w:t>A significant disruption to our distribution centers or retail locations could have an adverse effect on our business strategy, financial condition and results of operations.</w:t>
      </w:r>
    </w:p>
    <w:p>
      <w:pPr>
        <w:spacing w:after="0" w:line="60" w:lineRule="exact"/>
        <w:rPr>
          <w:sz w:val="20"/>
          <w:szCs w:val="20"/>
          <w:color w:val="auto"/>
        </w:rPr>
      </w:pPr>
    </w:p>
    <w:p>
      <w:pPr>
        <w:spacing w:after="0" w:line="246" w:lineRule="auto"/>
        <w:rPr>
          <w:sz w:val="20"/>
          <w:szCs w:val="20"/>
          <w:color w:val="auto"/>
        </w:rPr>
      </w:pPr>
      <w:r>
        <w:rPr>
          <w:rFonts w:ascii="Arial" w:cs="Arial" w:eastAsia="Arial" w:hAnsi="Arial"/>
          <w:sz w:val="19"/>
          <w:szCs w:val="19"/>
          <w:color w:val="auto"/>
        </w:rPr>
        <w:t>Our ability to distribute our merchandise to our store locations in a timely manner is essential to the efficient and profitable operation of our business. We have distribution centers located in Darlington, South Carolina and Roland, Oklahoma. The efficient flow of our merchandise requires that our distribution facilities be operated effectively and have adequate capacity to support our current level of operations and any anticipated increased levels that may follow from the growth of our business. Any natural disaster or other disruption to the operation of either of these facilities or our direct shipping capabilities due to fire, accidents, public health emergencies, weather conditions, including natural disasters, cybersecurity incidents or any other cause could damage a significant portion of our inventory, impair our ability to stock our stores adequately and may result in increased supply chain costs or lost sales.</w:t>
      </w:r>
    </w:p>
    <w:p>
      <w:pPr>
        <w:sectPr>
          <w:pgSz w:w="11880" w:h="15480" w:orient="portrait"/>
          <w:cols w:equalWidth="0" w:num="1">
            <w:col w:w="10780"/>
          </w:cols>
          <w:pgMar w:left="540" w:top="803" w:right="560" w:bottom="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ectPr>
          <w:pgSz w:w="11880" w:h="15480" w:orient="portrait"/>
          <w:cols w:equalWidth="0" w:num="1">
            <w:col w:w="10780"/>
          </w:cols>
          <w:pgMar w:left="540" w:top="803" w:right="560" w:bottom="16" w:gutter="0" w:footer="0" w:header="0"/>
          <w:type w:val="continuous"/>
        </w:sectPr>
      </w:pPr>
    </w:p>
    <w:bookmarkStart w:id="13" w:name="page14"/>
    <w:bookmarkEnd w:id="13"/>
    <w:p>
      <w:pPr>
        <w:spacing w:after="0" w:line="248" w:lineRule="auto"/>
        <w:rPr>
          <w:sz w:val="20"/>
          <w:szCs w:val="20"/>
          <w:color w:val="auto"/>
        </w:rPr>
      </w:pPr>
      <w:r>
        <w:rPr>
          <w:rFonts w:ascii="Arial" w:cs="Arial" w:eastAsia="Arial" w:hAnsi="Arial"/>
          <w:sz w:val="19"/>
          <w:szCs w:val="19"/>
          <w:color w:val="auto"/>
        </w:rPr>
        <w:t>In addition, the southeastern United States, where our Darlington distribution center and many of our stores are located, is vulnerable to significant damage or destruction from hurricanes and hailstorms. The midwestern United States, where our Roland distribution center and many stores are located, is vulnerable to significant damage or destruction from tornados and hailstorms. Although we maintain insurance on our stores, distribution centers and other facilities, the economic effects of a natural disaster that affects our distribution centers and/or a significant number of our stores could have an adverse effect on our business strategy, financial condition and results of operations.</w:t>
      </w:r>
    </w:p>
    <w:p>
      <w:pPr>
        <w:spacing w:after="0" w:line="117" w:lineRule="exact"/>
        <w:rPr>
          <w:sz w:val="20"/>
          <w:szCs w:val="20"/>
          <w:color w:val="auto"/>
        </w:rPr>
      </w:pPr>
    </w:p>
    <w:p>
      <w:pPr>
        <w:ind w:right="240"/>
        <w:spacing w:after="0" w:line="248" w:lineRule="auto"/>
        <w:rPr>
          <w:sz w:val="20"/>
          <w:szCs w:val="20"/>
          <w:color w:val="auto"/>
        </w:rPr>
      </w:pPr>
      <w:r>
        <w:rPr>
          <w:rFonts w:ascii="Arial" w:cs="Arial" w:eastAsia="Arial" w:hAnsi="Arial"/>
          <w:sz w:val="19"/>
          <w:szCs w:val="19"/>
          <w:color w:val="auto"/>
        </w:rPr>
        <w:t>We rely upon third-party transportation providers for all of our merchandise shipments to our distribution centers and our retail stores. Accordingly, we are subject to risks, including insolvency, labor disputes or strikes, union organizing activity, inclement weather, public health emergencies, supply chain interruptions, port delays, increased freight, distribution and transportation costs including the cost of fuel associated with such providers’ ability to provide delivery services to meet our shipping needs. Failure to deliver merchandise to our distribution centers and our retail stores in a timely, effective and economically viable manner could adversely affect our business strategy, financial condition and results of operations.</w:t>
      </w:r>
    </w:p>
    <w:p>
      <w:pPr>
        <w:spacing w:after="0" w:line="111" w:lineRule="exact"/>
        <w:rPr>
          <w:sz w:val="20"/>
          <w:szCs w:val="20"/>
          <w:color w:val="auto"/>
        </w:rPr>
      </w:pPr>
    </w:p>
    <w:p>
      <w:pPr>
        <w:ind w:right="80"/>
        <w:spacing w:after="0" w:line="259" w:lineRule="auto"/>
        <w:rPr>
          <w:sz w:val="20"/>
          <w:szCs w:val="20"/>
          <w:color w:val="auto"/>
        </w:rPr>
      </w:pPr>
      <w:r>
        <w:rPr>
          <w:rFonts w:ascii="Arial" w:cs="Arial" w:eastAsia="Arial" w:hAnsi="Arial"/>
          <w:sz w:val="19"/>
          <w:szCs w:val="19"/>
          <w:b w:val="1"/>
          <w:bCs w:val="1"/>
          <w:color w:val="auto"/>
        </w:rPr>
        <w:t>We do not own or operate any manufacturing or production facilities and therefore depend upon third parties for the manufacture of all of our merchandise. The inability of a manufacturer to ship goods on time and to our specifications, or to operate in compliance with our guidelines or any other applicable laws, could negatively impact our business strategy, financial condition and results of operations.</w:t>
      </w:r>
    </w:p>
    <w:p>
      <w:pPr>
        <w:spacing w:after="0" w:line="95" w:lineRule="exact"/>
        <w:rPr>
          <w:sz w:val="20"/>
          <w:szCs w:val="20"/>
          <w:color w:val="auto"/>
        </w:rPr>
      </w:pPr>
    </w:p>
    <w:p>
      <w:pPr>
        <w:ind w:right="140"/>
        <w:spacing w:after="0" w:line="246" w:lineRule="auto"/>
        <w:rPr>
          <w:sz w:val="20"/>
          <w:szCs w:val="20"/>
          <w:color w:val="auto"/>
        </w:rPr>
      </w:pPr>
      <w:r>
        <w:rPr>
          <w:rFonts w:ascii="Arial" w:cs="Arial" w:eastAsia="Arial" w:hAnsi="Arial"/>
          <w:sz w:val="19"/>
          <w:szCs w:val="19"/>
          <w:color w:val="auto"/>
        </w:rPr>
        <w:t>We do not own or operate any manufacturing or production facilities. As a result, we are dependent upon our timely receipt of quality merchandise from third-party manufacturers. If these manufacturers do not ship orders to us in a timely manner or meet our quality standards, it could cause delays in responding to consumer demands or inventory shortages and negatively affect consumer confidence in the quality and value of our brand or negatively impact our competitive position. Any of these factors could have a material adverse effect on our business strategy, financial condition or results of operations. Furthermore, we are susceptible to increases in sourcing costs, which we may not be able to pass on to customers, and changes in payment terms from manufacturers, which could adversely affect our business strategy, financial condition and results of operations.</w:t>
      </w:r>
    </w:p>
    <w:p>
      <w:pPr>
        <w:spacing w:after="0" w:line="122" w:lineRule="exact"/>
        <w:rPr>
          <w:sz w:val="20"/>
          <w:szCs w:val="20"/>
          <w:color w:val="auto"/>
        </w:rPr>
      </w:pPr>
    </w:p>
    <w:p>
      <w:pPr>
        <w:ind w:right="60"/>
        <w:spacing w:after="0" w:line="250" w:lineRule="auto"/>
        <w:rPr>
          <w:sz w:val="20"/>
          <w:szCs w:val="20"/>
          <w:color w:val="auto"/>
        </w:rPr>
      </w:pPr>
      <w:r>
        <w:rPr>
          <w:rFonts w:ascii="Arial" w:cs="Arial" w:eastAsia="Arial" w:hAnsi="Arial"/>
          <w:sz w:val="19"/>
          <w:szCs w:val="19"/>
          <w:color w:val="auto"/>
        </w:rPr>
        <w:t>We maintain compliance guidelines for our vendors that dictate various standards, including product quality, manufacturing practices, labor compliance and legal compliance. If any of our manufacturers fail to comply with applicable laws or these guidelines, or engage in any socially unacceptable business practices, such as poor working conditions, child labor, disregard for environmental standards or otherwise, our brand reputation could be negatively impacted and our results of operations could in turn be materially adversely affected.</w:t>
      </w:r>
    </w:p>
    <w:p>
      <w:pPr>
        <w:spacing w:after="0" w:line="11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Adverse trade restrictions may disrupt our supply of merchandise.</w:t>
      </w:r>
    </w:p>
    <w:p>
      <w:pPr>
        <w:spacing w:after="0" w:line="164" w:lineRule="exact"/>
        <w:rPr>
          <w:sz w:val="20"/>
          <w:szCs w:val="20"/>
          <w:color w:val="auto"/>
        </w:rPr>
      </w:pPr>
    </w:p>
    <w:p>
      <w:pPr>
        <w:ind w:right="220"/>
        <w:spacing w:after="0" w:line="253" w:lineRule="auto"/>
        <w:rPr>
          <w:sz w:val="20"/>
          <w:szCs w:val="20"/>
          <w:color w:val="auto"/>
        </w:rPr>
      </w:pPr>
      <w:r>
        <w:rPr>
          <w:rFonts w:ascii="Arial" w:cs="Arial" w:eastAsia="Arial" w:hAnsi="Arial"/>
          <w:sz w:val="19"/>
          <w:szCs w:val="19"/>
          <w:color w:val="auto"/>
        </w:rPr>
        <w:t>We purchase our merchandise from a large assortment of vendors, and a substantial portion of this merchandise is manufactured outside of the United States and imported by our vendors from countries such as China and other areas of the Asia-Pacific region. The product we source could become subject to new or changing trade restrictions imposed by the United States or other foreign governments.</w:t>
      </w:r>
    </w:p>
    <w:p>
      <w:pPr>
        <w:spacing w:after="0" w:line="112" w:lineRule="exact"/>
        <w:rPr>
          <w:sz w:val="20"/>
          <w:szCs w:val="20"/>
          <w:color w:val="auto"/>
        </w:rPr>
      </w:pPr>
    </w:p>
    <w:p>
      <w:pPr>
        <w:ind w:right="40"/>
        <w:spacing w:after="0" w:line="283" w:lineRule="auto"/>
        <w:rPr>
          <w:sz w:val="20"/>
          <w:szCs w:val="20"/>
          <w:color w:val="auto"/>
        </w:rPr>
      </w:pPr>
      <w:r>
        <w:rPr>
          <w:rFonts w:ascii="Arial" w:cs="Arial" w:eastAsia="Arial" w:hAnsi="Arial"/>
          <w:sz w:val="19"/>
          <w:szCs w:val="19"/>
          <w:color w:val="auto"/>
        </w:rPr>
        <w:t>We also face a variety of other risks generally associated with relying on vendors that do business in foreign markets and import merchandise from abroad, such as:</w:t>
      </w:r>
    </w:p>
    <w:p>
      <w:pPr>
        <w:spacing w:after="0" w:line="96" w:lineRule="exact"/>
        <w:rPr>
          <w:sz w:val="20"/>
          <w:szCs w:val="20"/>
          <w:color w:val="auto"/>
        </w:rPr>
      </w:pPr>
    </w:p>
    <w:p>
      <w:pPr>
        <w:ind w:left="720" w:right="260" w:hanging="360"/>
        <w:spacing w:after="0" w:line="266" w:lineRule="auto"/>
        <w:tabs>
          <w:tab w:leader="none" w:pos="720" w:val="left"/>
        </w:tabs>
        <w:numPr>
          <w:ilvl w:val="0"/>
          <w:numId w:val="5"/>
        </w:numPr>
        <w:rPr>
          <w:rFonts w:ascii="Symbol" w:cs="Symbol" w:eastAsia="Symbol" w:hAnsi="Symbol"/>
          <w:sz w:val="19"/>
          <w:szCs w:val="19"/>
          <w:color w:val="auto"/>
        </w:rPr>
      </w:pPr>
      <w:r>
        <w:rPr>
          <w:rFonts w:ascii="Arial" w:cs="Arial" w:eastAsia="Arial" w:hAnsi="Arial"/>
          <w:sz w:val="19"/>
          <w:szCs w:val="19"/>
          <w:color w:val="auto"/>
        </w:rPr>
        <w:t>geopolitical unrest, supply disruptions or increased shipping costs in China or the Asia-Pacific region where our third-party vendors are located;</w:t>
      </w:r>
    </w:p>
    <w:p>
      <w:pPr>
        <w:spacing w:after="0" w:line="109" w:lineRule="exact"/>
        <w:rPr>
          <w:rFonts w:ascii="Symbol" w:cs="Symbol" w:eastAsia="Symbol" w:hAnsi="Symbol"/>
          <w:sz w:val="19"/>
          <w:szCs w:val="19"/>
          <w:color w:val="auto"/>
        </w:rPr>
      </w:pPr>
    </w:p>
    <w:p>
      <w:pPr>
        <w:ind w:left="720" w:right="520" w:hanging="360"/>
        <w:spacing w:after="0" w:line="266" w:lineRule="auto"/>
        <w:tabs>
          <w:tab w:leader="none" w:pos="720" w:val="left"/>
        </w:tabs>
        <w:numPr>
          <w:ilvl w:val="0"/>
          <w:numId w:val="5"/>
        </w:numPr>
        <w:rPr>
          <w:rFonts w:ascii="Symbol" w:cs="Symbol" w:eastAsia="Symbol" w:hAnsi="Symbol"/>
          <w:sz w:val="19"/>
          <w:szCs w:val="19"/>
          <w:color w:val="auto"/>
        </w:rPr>
      </w:pPr>
      <w:r>
        <w:rPr>
          <w:rFonts w:ascii="Arial" w:cs="Arial" w:eastAsia="Arial" w:hAnsi="Arial"/>
          <w:sz w:val="19"/>
          <w:szCs w:val="19"/>
          <w:color w:val="auto"/>
        </w:rPr>
        <w:t>natural disasters, public health emergencies or the threat of terrorism, in particular in countries where our vendors source merchandise;</w:t>
      </w:r>
    </w:p>
    <w:p>
      <w:pPr>
        <w:spacing w:after="0" w:line="109" w:lineRule="exact"/>
        <w:rPr>
          <w:rFonts w:ascii="Symbol" w:cs="Symbol" w:eastAsia="Symbol" w:hAnsi="Symbol"/>
          <w:sz w:val="19"/>
          <w:szCs w:val="19"/>
          <w:color w:val="auto"/>
        </w:rPr>
      </w:pPr>
    </w:p>
    <w:p>
      <w:pPr>
        <w:ind w:left="720" w:right="900" w:hanging="360"/>
        <w:spacing w:after="0" w:line="266" w:lineRule="auto"/>
        <w:tabs>
          <w:tab w:leader="none" w:pos="720" w:val="left"/>
        </w:tabs>
        <w:numPr>
          <w:ilvl w:val="0"/>
          <w:numId w:val="5"/>
        </w:numPr>
        <w:rPr>
          <w:rFonts w:ascii="Symbol" w:cs="Symbol" w:eastAsia="Symbol" w:hAnsi="Symbol"/>
          <w:sz w:val="19"/>
          <w:szCs w:val="19"/>
          <w:color w:val="auto"/>
        </w:rPr>
      </w:pPr>
      <w:r>
        <w:rPr>
          <w:rFonts w:ascii="Arial" w:cs="Arial" w:eastAsia="Arial" w:hAnsi="Arial"/>
          <w:sz w:val="19"/>
          <w:szCs w:val="19"/>
          <w:color w:val="auto"/>
        </w:rPr>
        <w:t>increases in merchandise costs due to raw material price inflation or changes in purchasing power caused by fluctuations in currency exchange rates;</w:t>
      </w:r>
    </w:p>
    <w:p>
      <w:pPr>
        <w:spacing w:after="0" w:line="109" w:lineRule="exact"/>
        <w:rPr>
          <w:rFonts w:ascii="Symbol" w:cs="Symbol" w:eastAsia="Symbol" w:hAnsi="Symbol"/>
          <w:sz w:val="19"/>
          <w:szCs w:val="19"/>
          <w:color w:val="auto"/>
        </w:rPr>
      </w:pPr>
    </w:p>
    <w:p>
      <w:pPr>
        <w:ind w:left="720" w:hanging="360"/>
        <w:spacing w:after="0"/>
        <w:tabs>
          <w:tab w:leader="none" w:pos="720" w:val="left"/>
        </w:tabs>
        <w:numPr>
          <w:ilvl w:val="0"/>
          <w:numId w:val="5"/>
        </w:numPr>
        <w:rPr>
          <w:rFonts w:ascii="Symbol" w:cs="Symbol" w:eastAsia="Symbol" w:hAnsi="Symbol"/>
          <w:sz w:val="19"/>
          <w:szCs w:val="19"/>
          <w:color w:val="auto"/>
        </w:rPr>
      </w:pPr>
      <w:r>
        <w:rPr>
          <w:rFonts w:ascii="Arial" w:cs="Arial" w:eastAsia="Arial" w:hAnsi="Arial"/>
          <w:sz w:val="19"/>
          <w:szCs w:val="19"/>
          <w:color w:val="auto"/>
        </w:rPr>
        <w:t>enhanced security measures at United States and foreign ports, which could delay delivery of imports;</w:t>
      </w:r>
    </w:p>
    <w:p>
      <w:pPr>
        <w:spacing w:after="0" w:line="158" w:lineRule="exact"/>
        <w:rPr>
          <w:rFonts w:ascii="Symbol" w:cs="Symbol" w:eastAsia="Symbol" w:hAnsi="Symbol"/>
          <w:sz w:val="19"/>
          <w:szCs w:val="19"/>
          <w:color w:val="auto"/>
        </w:rPr>
      </w:pPr>
    </w:p>
    <w:p>
      <w:pPr>
        <w:ind w:left="720" w:right="80" w:hanging="360"/>
        <w:spacing w:after="0" w:line="266" w:lineRule="auto"/>
        <w:tabs>
          <w:tab w:leader="none" w:pos="720" w:val="left"/>
        </w:tabs>
        <w:numPr>
          <w:ilvl w:val="0"/>
          <w:numId w:val="5"/>
        </w:numPr>
        <w:rPr>
          <w:rFonts w:ascii="Symbol" w:cs="Symbol" w:eastAsia="Symbol" w:hAnsi="Symbol"/>
          <w:sz w:val="19"/>
          <w:szCs w:val="19"/>
          <w:color w:val="auto"/>
        </w:rPr>
      </w:pPr>
      <w:r>
        <w:rPr>
          <w:rFonts w:ascii="Arial" w:cs="Arial" w:eastAsia="Arial" w:hAnsi="Arial"/>
          <w:sz w:val="19"/>
          <w:szCs w:val="19"/>
          <w:color w:val="auto"/>
        </w:rPr>
        <w:t>imposition of new or supplemental duties, trade restrictions, sanctions, tariffs, quotas, taxes, environmental regulations, emissions standards and other charges on imports;</w:t>
      </w:r>
    </w:p>
    <w:p>
      <w:pPr>
        <w:spacing w:after="0" w:line="110" w:lineRule="exact"/>
        <w:rPr>
          <w:rFonts w:ascii="Symbol" w:cs="Symbol" w:eastAsia="Symbol" w:hAnsi="Symbol"/>
          <w:sz w:val="19"/>
          <w:szCs w:val="19"/>
          <w:color w:val="auto"/>
        </w:rPr>
      </w:pPr>
    </w:p>
    <w:p>
      <w:pPr>
        <w:ind w:left="720" w:hanging="360"/>
        <w:spacing w:after="0"/>
        <w:tabs>
          <w:tab w:leader="none" w:pos="720" w:val="left"/>
        </w:tabs>
        <w:numPr>
          <w:ilvl w:val="0"/>
          <w:numId w:val="5"/>
        </w:numPr>
        <w:rPr>
          <w:rFonts w:ascii="Symbol" w:cs="Symbol" w:eastAsia="Symbol" w:hAnsi="Symbol"/>
          <w:sz w:val="19"/>
          <w:szCs w:val="19"/>
          <w:color w:val="auto"/>
        </w:rPr>
      </w:pPr>
      <w:r>
        <w:rPr>
          <w:rFonts w:ascii="Arial" w:cs="Arial" w:eastAsia="Arial" w:hAnsi="Arial"/>
          <w:sz w:val="19"/>
          <w:szCs w:val="19"/>
          <w:color w:val="auto"/>
        </w:rPr>
        <w:t>compliance with new or changing import/export controls;</w:t>
      </w:r>
    </w:p>
    <w:p>
      <w:pPr>
        <w:spacing w:after="0" w:line="157" w:lineRule="exact"/>
        <w:rPr>
          <w:rFonts w:ascii="Symbol" w:cs="Symbol" w:eastAsia="Symbol" w:hAnsi="Symbol"/>
          <w:sz w:val="19"/>
          <w:szCs w:val="19"/>
          <w:color w:val="auto"/>
        </w:rPr>
      </w:pPr>
    </w:p>
    <w:p>
      <w:pPr>
        <w:ind w:left="720" w:right="60" w:hanging="360"/>
        <w:spacing w:after="0" w:line="266" w:lineRule="auto"/>
        <w:tabs>
          <w:tab w:leader="none" w:pos="720" w:val="left"/>
        </w:tabs>
        <w:numPr>
          <w:ilvl w:val="0"/>
          <w:numId w:val="5"/>
        </w:numPr>
        <w:rPr>
          <w:rFonts w:ascii="Symbol" w:cs="Symbol" w:eastAsia="Symbol" w:hAnsi="Symbol"/>
          <w:sz w:val="19"/>
          <w:szCs w:val="19"/>
          <w:color w:val="auto"/>
        </w:rPr>
      </w:pPr>
      <w:r>
        <w:rPr>
          <w:rFonts w:ascii="Arial" w:cs="Arial" w:eastAsia="Arial" w:hAnsi="Arial"/>
          <w:sz w:val="19"/>
          <w:szCs w:val="19"/>
          <w:color w:val="auto"/>
        </w:rPr>
        <w:t>delayed receipt or non-delivery of goods due to the failure of foreign-source suppliers to comply with import regulations, organized labor strikes or congestion at United States ports;</w:t>
      </w:r>
    </w:p>
    <w:p>
      <w:pPr>
        <w:sectPr>
          <w:pgSz w:w="11880" w:h="15480" w:orient="portrait"/>
          <w:cols w:equalWidth="0" w:num="1">
            <w:col w:w="10780"/>
          </w:cols>
          <w:pgMar w:left="540" w:top="807" w:right="560" w:bottom="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ectPr>
          <w:pgSz w:w="11880" w:h="15480" w:orient="portrait"/>
          <w:cols w:equalWidth="0" w:num="1">
            <w:col w:w="10780"/>
          </w:cols>
          <w:pgMar w:left="540" w:top="807" w:right="560" w:bottom="16" w:gutter="0" w:footer="0" w:header="0"/>
          <w:type w:val="continuous"/>
        </w:sectPr>
      </w:pPr>
    </w:p>
    <w:bookmarkStart w:id="14" w:name="page15"/>
    <w:bookmarkEnd w:id="14"/>
    <w:p>
      <w:pPr>
        <w:ind w:left="720" w:right="800" w:hanging="360"/>
        <w:spacing w:after="0" w:line="266" w:lineRule="auto"/>
        <w:tabs>
          <w:tab w:leader="none" w:pos="720" w:val="left"/>
        </w:tabs>
        <w:numPr>
          <w:ilvl w:val="0"/>
          <w:numId w:val="6"/>
        </w:numPr>
        <w:rPr>
          <w:rFonts w:ascii="Symbol" w:cs="Symbol" w:eastAsia="Symbol" w:hAnsi="Symbol"/>
          <w:sz w:val="19"/>
          <w:szCs w:val="19"/>
          <w:color w:val="auto"/>
        </w:rPr>
      </w:pPr>
      <w:r>
        <w:rPr>
          <w:rFonts w:ascii="Arial" w:cs="Arial" w:eastAsia="Arial" w:hAnsi="Arial"/>
          <w:sz w:val="19"/>
          <w:szCs w:val="19"/>
          <w:color w:val="auto"/>
        </w:rPr>
        <w:t>concerns about human rights and working conditions in countries where our merchandise is manufactured and produced; and</w:t>
      </w:r>
    </w:p>
    <w:p>
      <w:pPr>
        <w:spacing w:after="0" w:line="109" w:lineRule="exact"/>
        <w:rPr>
          <w:rFonts w:ascii="Symbol" w:cs="Symbol" w:eastAsia="Symbol" w:hAnsi="Symbol"/>
          <w:sz w:val="19"/>
          <w:szCs w:val="19"/>
          <w:color w:val="auto"/>
        </w:rPr>
      </w:pPr>
    </w:p>
    <w:p>
      <w:pPr>
        <w:ind w:left="720" w:right="180" w:hanging="360"/>
        <w:spacing w:after="0" w:line="266" w:lineRule="auto"/>
        <w:tabs>
          <w:tab w:leader="none" w:pos="720" w:val="left"/>
        </w:tabs>
        <w:numPr>
          <w:ilvl w:val="0"/>
          <w:numId w:val="6"/>
        </w:numPr>
        <w:rPr>
          <w:rFonts w:ascii="Symbol" w:cs="Symbol" w:eastAsia="Symbol" w:hAnsi="Symbol"/>
          <w:sz w:val="19"/>
          <w:szCs w:val="19"/>
          <w:color w:val="auto"/>
        </w:rPr>
      </w:pPr>
      <w:r>
        <w:rPr>
          <w:rFonts w:ascii="Arial" w:cs="Arial" w:eastAsia="Arial" w:hAnsi="Arial"/>
          <w:sz w:val="19"/>
          <w:szCs w:val="19"/>
          <w:color w:val="auto"/>
        </w:rPr>
        <w:t>local business practice and political issues, including issues relating to compliance with domestic or international labor and environmental standards.</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Risks Related to our Strategy</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We may not be able to sustain our growth plans or successfully implement our long-term strategic goals.</w:t>
      </w:r>
    </w:p>
    <w:p>
      <w:pPr>
        <w:spacing w:after="0" w:line="164" w:lineRule="exact"/>
        <w:rPr>
          <w:sz w:val="20"/>
          <w:szCs w:val="20"/>
          <w:color w:val="auto"/>
        </w:rPr>
      </w:pPr>
    </w:p>
    <w:p>
      <w:pPr>
        <w:jc w:val="both"/>
        <w:ind w:right="160"/>
        <w:spacing w:after="0" w:line="260" w:lineRule="auto"/>
        <w:rPr>
          <w:sz w:val="20"/>
          <w:szCs w:val="20"/>
          <w:color w:val="auto"/>
        </w:rPr>
      </w:pPr>
      <w:r>
        <w:rPr>
          <w:rFonts w:ascii="Arial" w:cs="Arial" w:eastAsia="Arial" w:hAnsi="Arial"/>
          <w:sz w:val="18"/>
          <w:szCs w:val="18"/>
          <w:color w:val="auto"/>
        </w:rPr>
        <w:t>Our growth strategy includes successfully opening and operating new stores (which may include leases assumed or subleased from third parties), optimizing product assortment and investing in infrastructure to expand our off-price value model within our current markets and into new geographic regions. In addition, we may assume leases or subleases from other retailers, which may subject us to risks relating to their creditworthiness or liabilities arising out of their prior operations of the relevant stores.</w:t>
      </w:r>
    </w:p>
    <w:p>
      <w:pPr>
        <w:spacing w:after="0" w:line="1" w:lineRule="exact"/>
        <w:rPr>
          <w:sz w:val="20"/>
          <w:szCs w:val="20"/>
          <w:color w:val="auto"/>
        </w:rPr>
      </w:pPr>
    </w:p>
    <w:p>
      <w:pPr>
        <w:ind w:right="20"/>
        <w:spacing w:after="0" w:line="241" w:lineRule="auto"/>
        <w:rPr>
          <w:sz w:val="20"/>
          <w:szCs w:val="20"/>
          <w:color w:val="auto"/>
        </w:rPr>
      </w:pPr>
      <w:r>
        <w:rPr>
          <w:rFonts w:ascii="Arial" w:cs="Arial" w:eastAsia="Arial" w:hAnsi="Arial"/>
          <w:sz w:val="19"/>
          <w:szCs w:val="19"/>
          <w:color w:val="auto"/>
        </w:rPr>
        <w:t>The success of opening new stores is dependent upon, among other things, the current retail environment, the identification of suitable markets and the availability of real estate that meets our criteria for traffic, square footage, co-tenancies, lease economics, demographics, and other factors, the negotiation of acceptable lease terms, the terms of any leases assumed or subleased, construction costs, the hiring, training and retention of competent sales personnel, and the effective management of inventory to meet the needs of new and existing stores on a timely basis. Our ability to expand successfully into other geographic markets will also depend on acceptance of our retail store experience by customers in those markets. There can be no assurance that any newly opened stores will be received as well as, or achieve net sales or profitability levels consistent with, our projected targets or be comparable to those of our existing stores in the time periods estimated by us, or at all. These risks may increase with further growth, and we may not be able to execute our growth strategies successfully, on a timely basis, or at all, which may adversely affect our business plans, sales and results.</w:t>
      </w:r>
    </w:p>
    <w:p>
      <w:pPr>
        <w:spacing w:after="0" w:line="123" w:lineRule="exact"/>
        <w:rPr>
          <w:sz w:val="20"/>
          <w:szCs w:val="20"/>
          <w:color w:val="auto"/>
        </w:rPr>
      </w:pPr>
    </w:p>
    <w:p>
      <w:pPr>
        <w:ind w:right="80"/>
        <w:spacing w:after="0" w:line="297" w:lineRule="auto"/>
        <w:rPr>
          <w:sz w:val="20"/>
          <w:szCs w:val="20"/>
          <w:color w:val="auto"/>
        </w:rPr>
      </w:pPr>
      <w:r>
        <w:rPr>
          <w:rFonts w:ascii="Arial" w:cs="Arial" w:eastAsia="Arial" w:hAnsi="Arial"/>
          <w:sz w:val="19"/>
          <w:szCs w:val="19"/>
          <w:b w:val="1"/>
          <w:bCs w:val="1"/>
          <w:color w:val="auto"/>
        </w:rPr>
        <w:t>We may engage in strategic transactions that could negatively impact our liquidity, increase our expenses and present significant distractions to management.</w:t>
      </w:r>
    </w:p>
    <w:p>
      <w:pPr>
        <w:spacing w:after="0" w:line="60" w:lineRule="exact"/>
        <w:rPr>
          <w:sz w:val="20"/>
          <w:szCs w:val="20"/>
          <w:color w:val="auto"/>
        </w:rPr>
      </w:pPr>
    </w:p>
    <w:p>
      <w:pPr>
        <w:ind w:right="100"/>
        <w:spacing w:after="0" w:line="250" w:lineRule="auto"/>
        <w:rPr>
          <w:sz w:val="20"/>
          <w:szCs w:val="20"/>
          <w:color w:val="auto"/>
        </w:rPr>
      </w:pPr>
      <w:r>
        <w:rPr>
          <w:rFonts w:ascii="Arial" w:cs="Arial" w:eastAsia="Arial" w:hAnsi="Arial"/>
          <w:sz w:val="19"/>
          <w:szCs w:val="19"/>
          <w:color w:val="auto"/>
        </w:rPr>
        <w:t>We may consider strategic transactions and business arrangements, including, but not limited to, acquisitions, asset purchases, lease assumptions or subleases, partnerships, joint ventures, restructurings and investments. Any such transaction may require us to incur non-recurring or other charges, may increase our near and long- term expenditures and may pose significant integration challenges or disrupt our management or business, which could harm our business strategy, financial condition and results of operations.</w:t>
      </w:r>
    </w:p>
    <w:p>
      <w:pPr>
        <w:spacing w:after="0" w:line="115"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auto"/>
        </w:rPr>
        <w:t>We may also use our cash and cash equivalents, borrowings under our revolving credit facility, or other financing sources to fund strategic growth initiatives, including potential acquisitions, investments in new or complementary businesses, technologies, or assets, expansion into new markets, or other opportunities that we believe are consistent with our long-term growth strategy. The amount and timing of any such deployment of capital will depend on market conditions, the availability of suitable opportunities, and our assessment of strategic fit and expected return on investment.</w:t>
      </w:r>
    </w:p>
    <w:p>
      <w:pPr>
        <w:spacing w:after="0" w:line="115"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There can be no assurance that we will identify suitable strategic opportunities or that any such opportunities, if pursued, will be consummated on terms favorable to us or at all. To the extent we pursue significant strategic transactions, we may require additional capital beyond our existing cash resources and available borrowings, which may not be available on acceptable terms, or at all, depending on market conditions and other factors at the time. Any such additional financing, if obtained through the issuance of equity or equity-linked securities, could result in dilution to our existing stockholders. If obtained through additional debt financing, it could increase our leverage and debt service obligations, which may restrict our operational flexibility and limit our ability to pursue other opportunities.</w:t>
      </w:r>
    </w:p>
    <w:p>
      <w:pPr>
        <w:spacing w:after="0" w:line="122" w:lineRule="exact"/>
        <w:rPr>
          <w:sz w:val="20"/>
          <w:szCs w:val="20"/>
          <w:color w:val="auto"/>
        </w:rPr>
      </w:pPr>
    </w:p>
    <w:p>
      <w:pPr>
        <w:jc w:val="both"/>
        <w:spacing w:after="0" w:line="253" w:lineRule="auto"/>
        <w:rPr>
          <w:sz w:val="20"/>
          <w:szCs w:val="20"/>
          <w:color w:val="auto"/>
        </w:rPr>
      </w:pPr>
      <w:r>
        <w:rPr>
          <w:rFonts w:ascii="Arial" w:cs="Arial" w:eastAsia="Arial" w:hAnsi="Arial"/>
          <w:sz w:val="19"/>
          <w:szCs w:val="19"/>
          <w:color w:val="auto"/>
        </w:rPr>
        <w:t>We believe our existing cash and cash equivalents, together with cash generated from operations and available borrowings under our credit facility, are sufficient to meet our anticipated operating and capital expenditure requirements for at least the next twelve months. However, our future capital requirements will depend on many factors, including our rate of revenue growth, the timing and extent of strategic investments, and general economic and market conditions.</w:t>
      </w:r>
    </w:p>
    <w:p>
      <w:pPr>
        <w:sectPr>
          <w:pgSz w:w="11880" w:h="15480" w:orient="portrait"/>
          <w:cols w:equalWidth="0" w:num="1">
            <w:col w:w="10800"/>
          </w:cols>
          <w:pgMar w:left="540" w:top="820" w:right="540" w:bottom="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880" w:h="15480" w:orient="portrait"/>
          <w:cols w:equalWidth="0" w:num="1">
            <w:col w:w="10800"/>
          </w:cols>
          <w:pgMar w:left="540" w:top="820" w:right="540" w:bottom="16" w:gutter="0" w:footer="0" w:header="0"/>
          <w:type w:val="continuous"/>
        </w:sectPr>
      </w:pPr>
    </w:p>
    <w:bookmarkStart w:id="15" w:name="page16"/>
    <w:bookmarkEnd w:id="15"/>
    <w:p>
      <w:pPr>
        <w:ind w:right="20"/>
        <w:spacing w:after="0" w:line="297" w:lineRule="auto"/>
        <w:rPr>
          <w:sz w:val="20"/>
          <w:szCs w:val="20"/>
          <w:color w:val="auto"/>
        </w:rPr>
      </w:pPr>
      <w:r>
        <w:rPr>
          <w:rFonts w:ascii="Arial" w:cs="Arial" w:eastAsia="Arial" w:hAnsi="Arial"/>
          <w:sz w:val="19"/>
          <w:szCs w:val="19"/>
          <w:b w:val="1"/>
          <w:bCs w:val="1"/>
          <w:color w:val="auto"/>
        </w:rPr>
        <w:t>We depend upon strong cash flows from our operations, as well as cash on our balance sheet, to supply capital to fund our operations, growth, stock repurchases and any potential future interest obligations.</w:t>
      </w:r>
    </w:p>
    <w:p>
      <w:pPr>
        <w:spacing w:after="0" w:line="60" w:lineRule="exact"/>
        <w:rPr>
          <w:sz w:val="20"/>
          <w:szCs w:val="20"/>
          <w:color w:val="auto"/>
        </w:rPr>
      </w:pPr>
    </w:p>
    <w:p>
      <w:pPr>
        <w:spacing w:after="0" w:line="243" w:lineRule="auto"/>
        <w:rPr>
          <w:sz w:val="20"/>
          <w:szCs w:val="20"/>
          <w:color w:val="auto"/>
        </w:rPr>
      </w:pPr>
      <w:r>
        <w:rPr>
          <w:rFonts w:ascii="Arial" w:cs="Arial" w:eastAsia="Arial" w:hAnsi="Arial"/>
          <w:sz w:val="19"/>
          <w:szCs w:val="19"/>
          <w:color w:val="auto"/>
        </w:rPr>
        <w:t>Our business depends upon the cash on our balance sheet as well as our operations to continue to generate strong cash flow to supply capital to support our general operating activities, to fund our growth and our return of cash to stockholders through our stock repurchase programs, if any, and to pay any interest obligations. Our inability to continue to generate sufficient cash flows to support these activities could adversely affect our growth plans, capital expenditures, operating expenses and financial performance, including our earnings per share. Changes in the capital and credit markets, including market disruptions, limited liquidity, inflation and interest rate fluctuations may increase the cost of financing or restrict our access to these potential sources of liquidity. Our continued access to these liquidity sources on favorable terms depends on multiple factors, including our operating performance and, if applicable, credit rating. We maintain a revolving credit facility with Bank of America through April 10, 2030 which provides for a $75 million credit commitment and a $25 million uncommitted “accordion” feature that under certain circumstances could allow us to increase the size of the facility to $100 million. As of January 31, 2026, we had no borrowings outstanding under this facility. Although we currently have available a credit facility to fund our current operating needs, if necessary, we cannot be certain that we will be able to replace our existing credit facility or refinance any future debt at a reasonable cost when necessary. We maintain deposit balances with certain financial institutions that are above the federal insurance limit. A failure of these institutions could result in loss of these deposits.</w:t>
      </w:r>
    </w:p>
    <w:p>
      <w:pPr>
        <w:spacing w:after="0" w:line="119" w:lineRule="exact"/>
        <w:rPr>
          <w:sz w:val="20"/>
          <w:szCs w:val="20"/>
          <w:color w:val="auto"/>
        </w:rPr>
      </w:pPr>
    </w:p>
    <w:p>
      <w:pPr>
        <w:ind w:right="320"/>
        <w:spacing w:after="0" w:line="297" w:lineRule="auto"/>
        <w:rPr>
          <w:sz w:val="20"/>
          <w:szCs w:val="20"/>
          <w:color w:val="auto"/>
        </w:rPr>
      </w:pPr>
      <w:r>
        <w:rPr>
          <w:rFonts w:ascii="Arial" w:cs="Arial" w:eastAsia="Arial" w:hAnsi="Arial"/>
          <w:sz w:val="19"/>
          <w:szCs w:val="19"/>
          <w:b w:val="1"/>
          <w:bCs w:val="1"/>
          <w:color w:val="auto"/>
        </w:rPr>
        <w:t>We may be unable to negotiate future leases or renegotiate current leases on the same favorable terms as we had in the past.</w:t>
      </w:r>
    </w:p>
    <w:p>
      <w:pPr>
        <w:spacing w:after="0" w:line="60" w:lineRule="exact"/>
        <w:rPr>
          <w:sz w:val="20"/>
          <w:szCs w:val="20"/>
          <w:color w:val="auto"/>
        </w:rPr>
      </w:pPr>
    </w:p>
    <w:p>
      <w:pPr>
        <w:spacing w:after="0" w:line="247" w:lineRule="auto"/>
        <w:rPr>
          <w:sz w:val="20"/>
          <w:szCs w:val="20"/>
          <w:color w:val="auto"/>
        </w:rPr>
      </w:pPr>
      <w:r>
        <w:rPr>
          <w:rFonts w:ascii="Arial" w:cs="Arial" w:eastAsia="Arial" w:hAnsi="Arial"/>
          <w:sz w:val="19"/>
          <w:szCs w:val="19"/>
          <w:color w:val="auto"/>
        </w:rPr>
        <w:t>Our strategic growth plan depends in part on our ability to renew current leases and enter into new leases for future stores. We currently lease all of our store locations and distribution centers and are subject to the risks associated with leasing real estate. If we decide to close stores or distribution centers, we may be required to continue to perform obligations under the applicable leases, including, among other things, paying rent and operating expenses for the balance of the lease term, or paying to exercise rights to terminate, and the performance of any of these obligations may be expensive. When the current lease terms for our stores or distribution centers expire, we may be unable to negotiate renewals which could lead to the closing or relocating stores or distribution centers on less favorable terms or in a less favorable location.</w:t>
      </w:r>
    </w:p>
    <w:p>
      <w:pPr>
        <w:spacing w:after="0" w:line="112" w:lineRule="exact"/>
        <w:rPr>
          <w:sz w:val="20"/>
          <w:szCs w:val="20"/>
          <w:color w:val="auto"/>
        </w:rPr>
      </w:pPr>
    </w:p>
    <w:p>
      <w:pPr>
        <w:ind w:right="440"/>
        <w:spacing w:after="0" w:line="297" w:lineRule="auto"/>
        <w:rPr>
          <w:sz w:val="20"/>
          <w:szCs w:val="20"/>
          <w:color w:val="auto"/>
        </w:rPr>
      </w:pPr>
      <w:r>
        <w:rPr>
          <w:rFonts w:ascii="Arial" w:cs="Arial" w:eastAsia="Arial" w:hAnsi="Arial"/>
          <w:sz w:val="19"/>
          <w:szCs w:val="19"/>
          <w:b w:val="1"/>
          <w:bCs w:val="1"/>
          <w:color w:val="auto"/>
        </w:rPr>
        <w:t>If we fail to successfully implement our various marketing efforts or if our competitors are more effective with their programs than we are, our revenue or results of operations may be adversely affected.</w:t>
      </w:r>
    </w:p>
    <w:p>
      <w:pPr>
        <w:spacing w:after="0" w:line="60" w:lineRule="exact"/>
        <w:rPr>
          <w:sz w:val="20"/>
          <w:szCs w:val="20"/>
          <w:color w:val="auto"/>
        </w:rPr>
      </w:pPr>
    </w:p>
    <w:p>
      <w:pPr>
        <w:ind w:right="100"/>
        <w:spacing w:after="0" w:line="247" w:lineRule="auto"/>
        <w:rPr>
          <w:sz w:val="20"/>
          <w:szCs w:val="20"/>
          <w:color w:val="auto"/>
        </w:rPr>
      </w:pPr>
      <w:r>
        <w:rPr>
          <w:rFonts w:ascii="Arial" w:cs="Arial" w:eastAsia="Arial" w:hAnsi="Arial"/>
          <w:sz w:val="19"/>
          <w:szCs w:val="19"/>
          <w:color w:val="auto"/>
        </w:rPr>
        <w:t>Customer traffic and demand for our merchandise may be influenced by our marketing efforts. Although we use marketing to drive customer traffic through various media including digital/social media and e-mail, some of our competitors expend more for their marketing programs than we do, or use different approaches than we do, which may provide them with a competitive advantage. Further, we may not effectively implement strategies with respect to rapidly evolving Internet-based and other digital or mobile communication channels, including social media. Partnerships with social media content creators may expose us to reputational or other risks. Our programs may not be or remain effective or could require increased expenditures, which could have a significant adverse effect on our revenue and 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Risks Related to Regulatory, Legal and Cybersecurity</w:t>
      </w:r>
    </w:p>
    <w:p>
      <w:pPr>
        <w:spacing w:after="0" w:line="160" w:lineRule="exact"/>
        <w:rPr>
          <w:sz w:val="20"/>
          <w:szCs w:val="20"/>
          <w:color w:val="auto"/>
        </w:rPr>
      </w:pPr>
    </w:p>
    <w:p>
      <w:pPr>
        <w:ind w:right="420"/>
        <w:spacing w:after="0" w:line="297" w:lineRule="auto"/>
        <w:rPr>
          <w:sz w:val="20"/>
          <w:szCs w:val="20"/>
          <w:color w:val="auto"/>
        </w:rPr>
      </w:pPr>
      <w:r>
        <w:rPr>
          <w:rFonts w:ascii="Arial" w:cs="Arial" w:eastAsia="Arial" w:hAnsi="Arial"/>
          <w:sz w:val="19"/>
          <w:szCs w:val="19"/>
          <w:b w:val="1"/>
          <w:bCs w:val="1"/>
          <w:color w:val="auto"/>
        </w:rPr>
        <w:t>Changes in government regulations could have an adverse effect on our business strategy, financial condition and results of operations.</w:t>
      </w:r>
    </w:p>
    <w:p>
      <w:pPr>
        <w:spacing w:after="0" w:line="60" w:lineRule="exact"/>
        <w:rPr>
          <w:sz w:val="20"/>
          <w:szCs w:val="20"/>
          <w:color w:val="auto"/>
        </w:rPr>
      </w:pPr>
    </w:p>
    <w:p>
      <w:pPr>
        <w:ind w:right="60"/>
        <w:spacing w:after="0" w:line="246" w:lineRule="auto"/>
        <w:rPr>
          <w:sz w:val="20"/>
          <w:szCs w:val="20"/>
          <w:color w:val="auto"/>
        </w:rPr>
      </w:pPr>
      <w:r>
        <w:rPr>
          <w:rFonts w:ascii="Arial" w:cs="Arial" w:eastAsia="Arial" w:hAnsi="Arial"/>
          <w:sz w:val="19"/>
          <w:szCs w:val="19"/>
          <w:color w:val="auto"/>
        </w:rPr>
        <w:t>We are subject to numerous federal, state and local laws and regulations that govern numerous aspects of our business. These laws and regulations, and related interpretations and enforcement activity, may change as a result of a variety of factors, including political, economic or social events. Changes in, expanded enforcement of, or adoption of new federal, state or local laws and regulations governing areas such as minimum wage or living wage requirements, workplace-regulation and other labor or employment benefits laws, supply chain, taxes, including changes to corporate tax rates, privacy and information security, artificial intelligence, or environmental regulation such as carbon emission standards and sustainability programs, transparency and reporting, could increase our costs of doing business or impact our sales, operations or profitability.</w:t>
      </w:r>
    </w:p>
    <w:p>
      <w:pPr>
        <w:spacing w:after="0" w:line="122" w:lineRule="exact"/>
        <w:rPr>
          <w:sz w:val="20"/>
          <w:szCs w:val="20"/>
          <w:color w:val="auto"/>
        </w:rPr>
      </w:pPr>
    </w:p>
    <w:p>
      <w:pPr>
        <w:ind w:right="80"/>
        <w:spacing w:after="0" w:line="260" w:lineRule="auto"/>
        <w:rPr>
          <w:sz w:val="20"/>
          <w:szCs w:val="20"/>
          <w:color w:val="auto"/>
        </w:rPr>
      </w:pPr>
      <w:r>
        <w:rPr>
          <w:rFonts w:ascii="Arial" w:cs="Arial" w:eastAsia="Arial" w:hAnsi="Arial"/>
          <w:sz w:val="19"/>
          <w:szCs w:val="19"/>
          <w:color w:val="auto"/>
        </w:rPr>
        <w:t>Other laws related to employee benefits and treatment of employees, including laws related to limitations on employee hours, work scheduling, supervisory status, leaves of absence, mandated health benefits or overtime pay, could also negatively impact us, such as by increasing compensation and benefits costs for overtime and medical expenses.</w:t>
      </w:r>
    </w:p>
    <w:p>
      <w:pPr>
        <w:sectPr>
          <w:pgSz w:w="11880" w:h="15480" w:orient="portrait"/>
          <w:cols w:equalWidth="0" w:num="1">
            <w:col w:w="10800"/>
          </w:cols>
          <w:pgMar w:left="540" w:top="803" w:right="540" w:bottom="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880" w:h="15480" w:orient="portrait"/>
          <w:cols w:equalWidth="0" w:num="1">
            <w:col w:w="10800"/>
          </w:cols>
          <w:pgMar w:left="540" w:top="803" w:right="540" w:bottom="16" w:gutter="0" w:footer="0" w:header="0"/>
          <w:type w:val="continuous"/>
        </w:sectPr>
      </w:pPr>
    </w:p>
    <w:bookmarkStart w:id="16" w:name="page17"/>
    <w:bookmarkEnd w:id="16"/>
    <w:p>
      <w:pPr>
        <w:ind w:right="580"/>
        <w:spacing w:after="0" w:line="268" w:lineRule="auto"/>
        <w:rPr>
          <w:sz w:val="20"/>
          <w:szCs w:val="20"/>
          <w:color w:val="auto"/>
        </w:rPr>
      </w:pPr>
      <w:r>
        <w:rPr>
          <w:rFonts w:ascii="Arial" w:cs="Arial" w:eastAsia="Arial" w:hAnsi="Arial"/>
          <w:sz w:val="19"/>
          <w:szCs w:val="19"/>
          <w:b w:val="1"/>
          <w:bCs w:val="1"/>
          <w:color w:val="auto"/>
        </w:rPr>
        <w:t>Regulators’ and stakeholders’ requirements and expectations on environmental, social and sustainability-related topics continue to evolve and diverge, and our ability to meet these requirements and expectations may have a material adverse impact on our results of operations.</w:t>
      </w:r>
    </w:p>
    <w:p>
      <w:pPr>
        <w:spacing w:after="0" w:line="87" w:lineRule="exact"/>
        <w:rPr>
          <w:sz w:val="20"/>
          <w:szCs w:val="20"/>
          <w:color w:val="auto"/>
        </w:rPr>
      </w:pPr>
    </w:p>
    <w:p>
      <w:pPr>
        <w:ind w:right="20"/>
        <w:spacing w:after="0" w:line="242" w:lineRule="auto"/>
        <w:rPr>
          <w:sz w:val="20"/>
          <w:szCs w:val="20"/>
          <w:color w:val="auto"/>
        </w:rPr>
      </w:pPr>
      <w:r>
        <w:rPr>
          <w:rFonts w:ascii="Arial" w:cs="Arial" w:eastAsia="Arial" w:hAnsi="Arial"/>
          <w:sz w:val="19"/>
          <w:szCs w:val="19"/>
          <w:color w:val="auto"/>
        </w:rPr>
        <w:t>Environmental and social topics, such as climate change and diversity, as well as companies’ actions and initiatives on such issues, have received significant attention from a wide range of stakeholders. The U.S. federal government, U.S. states and certain other countries and regions have adopted or are considering legislation, regulation or policies on these topics, including the imposition of caps or taxes on greenhouse gas emissions from certain sectors or facility categories, disclosure of corporate greenhouse gas emissions, and limitations on diversity, equity and inclusion programs. Compliance with such laws, regulations or policies, including any that may be adopted in the future, could, among other things, increase the costs of operating our businesses, reduce the demand for our products and impact the prices we charge our customers, any or all of which could adversely affect our results of operations. In addition, policymakers in some jurisdictions have adopted or proposed laws, regulations and policies that diverge from, or potentially conflict with, those in other jurisdictions. Failure to comply with any legislation, regulation or policy, including as a result of making good faith interpretations that may differ from those taken by enforcement authorities in relevant jurisdictions, could potentially result in substantial fines, criminal sanctions, reputational harm or operational changes. Moreover, our customers, stockholders, employees and other stakeholders have diverse expectations, demands and perspectives on these topics, which are continuing to evolve. We may not be able to meet the diverse expectations and demands of all of our stakeholders, which could result in adverse publicity, harm our reputation, lead to claims against us and affect our relationships with our customers and employees, and subject us to legal and operational risks, any of which could have a material adverse effect on our business.</w:t>
      </w:r>
    </w:p>
    <w:p>
      <w:pPr>
        <w:spacing w:after="0" w:line="127" w:lineRule="exact"/>
        <w:rPr>
          <w:sz w:val="20"/>
          <w:szCs w:val="20"/>
          <w:color w:val="auto"/>
        </w:rPr>
      </w:pPr>
    </w:p>
    <w:p>
      <w:pPr>
        <w:spacing w:after="0" w:line="297" w:lineRule="auto"/>
        <w:rPr>
          <w:sz w:val="20"/>
          <w:szCs w:val="20"/>
          <w:color w:val="auto"/>
        </w:rPr>
      </w:pPr>
      <w:r>
        <w:rPr>
          <w:rFonts w:ascii="Arial" w:cs="Arial" w:eastAsia="Arial" w:hAnsi="Arial"/>
          <w:sz w:val="19"/>
          <w:szCs w:val="19"/>
          <w:b w:val="1"/>
          <w:bCs w:val="1"/>
          <w:color w:val="auto"/>
        </w:rPr>
        <w:t>Any failure of our management information systems or the inability of third parties to continue to upgrade and maintain our systems could have an adverse effect on our business strategy, financial condition and results of operations.</w:t>
      </w:r>
    </w:p>
    <w:p>
      <w:pPr>
        <w:spacing w:after="0" w:line="60" w:lineRule="exact"/>
        <w:rPr>
          <w:sz w:val="20"/>
          <w:szCs w:val="20"/>
          <w:color w:val="auto"/>
        </w:rPr>
      </w:pPr>
    </w:p>
    <w:p>
      <w:pPr>
        <w:ind w:right="40"/>
        <w:spacing w:after="0" w:line="248" w:lineRule="auto"/>
        <w:rPr>
          <w:sz w:val="20"/>
          <w:szCs w:val="20"/>
          <w:color w:val="auto"/>
        </w:rPr>
      </w:pPr>
      <w:r>
        <w:rPr>
          <w:rFonts w:ascii="Arial" w:cs="Arial" w:eastAsia="Arial" w:hAnsi="Arial"/>
          <w:sz w:val="19"/>
          <w:szCs w:val="19"/>
          <w:color w:val="auto"/>
        </w:rPr>
        <w:t>We depend on the accuracy, reliability and proper functioning of our management information systems, including the systems used to track our sales and facilitate inventory management. We also rely on our management information systems for point-of - sale, merchandise planning and allocation, replenishment and markdowns, as well as other key business functions. We do not currently have redundant systems for all functions performed by our management information systems. Any interruption in these systems could impair our ability to manage our inventory effectively, which could have an adverse effect on our business strategy, financial condition or results of operations.</w:t>
      </w:r>
    </w:p>
    <w:p>
      <w:pPr>
        <w:spacing w:after="0" w:line="117" w:lineRule="exact"/>
        <w:rPr>
          <w:sz w:val="20"/>
          <w:szCs w:val="20"/>
          <w:color w:val="auto"/>
        </w:rPr>
      </w:pPr>
    </w:p>
    <w:p>
      <w:pPr>
        <w:ind w:right="20"/>
        <w:spacing w:after="0" w:line="248" w:lineRule="auto"/>
        <w:rPr>
          <w:sz w:val="20"/>
          <w:szCs w:val="20"/>
          <w:color w:val="auto"/>
        </w:rPr>
      </w:pPr>
      <w:r>
        <w:rPr>
          <w:rFonts w:ascii="Arial" w:cs="Arial" w:eastAsia="Arial" w:hAnsi="Arial"/>
          <w:sz w:val="19"/>
          <w:szCs w:val="19"/>
          <w:color w:val="auto"/>
        </w:rPr>
        <w:t>Our computer systems and the third-party systems we rely on are also subject to damage or interruption from a number of causes, including power outages; computer and telecommunications failures; computer viruses, malware, ransomware, phishing or distributed denial- of-service attacks; brute force attacks; exploiting software vulnerabilities (including “zero-day attacks”), supply chain attacks and other security incidents and cyber-attacks. Compromises, interruptions or shutdowns of our systems, including those managed by third parties, whether intentional or inadvertent, could lead to delays in our business operations and, if significant or extreme, affect our financial condition or results of operations.</w:t>
      </w:r>
    </w:p>
    <w:p>
      <w:pPr>
        <w:spacing w:after="0" w:line="117" w:lineRule="exact"/>
        <w:rPr>
          <w:sz w:val="20"/>
          <w:szCs w:val="20"/>
          <w:color w:val="auto"/>
        </w:rPr>
      </w:pPr>
    </w:p>
    <w:p>
      <w:pPr>
        <w:ind w:right="180"/>
        <w:spacing w:after="0" w:line="253" w:lineRule="auto"/>
        <w:rPr>
          <w:sz w:val="20"/>
          <w:szCs w:val="20"/>
          <w:color w:val="auto"/>
        </w:rPr>
      </w:pPr>
      <w:r>
        <w:rPr>
          <w:rFonts w:ascii="Arial" w:cs="Arial" w:eastAsia="Arial" w:hAnsi="Arial"/>
          <w:sz w:val="19"/>
          <w:szCs w:val="19"/>
          <w:color w:val="auto"/>
        </w:rPr>
        <w:t>In addition, the technologies and artificial intelligence tools that we incorporate into certain aspects of our operations may not generate the intended efficiencies and may impact our business results. Specifically artificial intelligence tools could have the potential to be deficient, inaccurate, or biased and if we fail to adopt and oversee the use of artificial intelligence in a thoughtful and strategic manner, it could harm our financial performance and/or our business reputation.</w:t>
      </w:r>
    </w:p>
    <w:p>
      <w:pPr>
        <w:spacing w:after="0" w:line="108" w:lineRule="exact"/>
        <w:rPr>
          <w:sz w:val="20"/>
          <w:szCs w:val="20"/>
          <w:color w:val="auto"/>
        </w:rPr>
      </w:pPr>
    </w:p>
    <w:p>
      <w:pPr>
        <w:ind w:right="340"/>
        <w:spacing w:after="0" w:line="327" w:lineRule="auto"/>
        <w:rPr>
          <w:sz w:val="20"/>
          <w:szCs w:val="20"/>
          <w:color w:val="auto"/>
        </w:rPr>
      </w:pPr>
      <w:r>
        <w:rPr>
          <w:rFonts w:ascii="Arial" w:cs="Arial" w:eastAsia="Arial" w:hAnsi="Arial"/>
          <w:sz w:val="18"/>
          <w:szCs w:val="18"/>
          <w:b w:val="1"/>
          <w:bCs w:val="1"/>
          <w:color w:val="auto"/>
        </w:rPr>
        <w:t>We use AI in our business, and challenges with effectively managing its use could result in reputation harm, competitive harm, and legal liability, and adversely affect our business, financial condition, or results of operations.</w:t>
      </w:r>
    </w:p>
    <w:p>
      <w:pPr>
        <w:spacing w:after="0" w:line="38" w:lineRule="exact"/>
        <w:rPr>
          <w:sz w:val="20"/>
          <w:szCs w:val="20"/>
          <w:color w:val="auto"/>
        </w:rPr>
      </w:pPr>
    </w:p>
    <w:p>
      <w:pPr>
        <w:jc w:val="both"/>
        <w:ind w:right="40"/>
        <w:spacing w:after="0" w:line="260" w:lineRule="auto"/>
        <w:rPr>
          <w:sz w:val="20"/>
          <w:szCs w:val="20"/>
          <w:color w:val="auto"/>
        </w:rPr>
      </w:pPr>
      <w:r>
        <w:rPr>
          <w:rFonts w:ascii="Arial" w:cs="Arial" w:eastAsia="Arial" w:hAnsi="Arial"/>
          <w:sz w:val="19"/>
          <w:szCs w:val="19"/>
          <w:color w:val="auto"/>
        </w:rPr>
        <w:t>We are increasingly leveraging AI, machine learning, and other automated technologies across various aspects of our business, including product allocation, marketing, customer engagement, and third-party systems. The use of these technologies presents a number of risks and challenges.</w:t>
      </w:r>
    </w:p>
    <w:p>
      <w:pPr>
        <w:spacing w:after="0" w:line="105" w:lineRule="exact"/>
        <w:rPr>
          <w:sz w:val="20"/>
          <w:szCs w:val="20"/>
          <w:color w:val="auto"/>
        </w:rPr>
      </w:pPr>
    </w:p>
    <w:p>
      <w:pPr>
        <w:ind w:right="20"/>
        <w:spacing w:after="0" w:line="272" w:lineRule="auto"/>
        <w:rPr>
          <w:sz w:val="20"/>
          <w:szCs w:val="20"/>
          <w:color w:val="auto"/>
        </w:rPr>
      </w:pPr>
      <w:r>
        <w:rPr>
          <w:rFonts w:ascii="Arial" w:cs="Arial" w:eastAsia="Arial" w:hAnsi="Arial"/>
          <w:sz w:val="18"/>
          <w:szCs w:val="18"/>
          <w:color w:val="auto"/>
        </w:rPr>
        <w:t>AI systems may generate inaccurate, biased, or unintended outputs, which could lead to errors in business decisions, ineffective marketing, or customer dissatisfaction. In addition, the development and use of AI technologies are subject to evolving legal and regulatory requirements, including those related to data privacy, intellectual property, consumer protection, and algorithmic accountability. Failure to comply with such requirements could result in investigations, litigation, fines, or other liabilities.</w:t>
      </w:r>
    </w:p>
    <w:p>
      <w:pPr>
        <w:spacing w:after="0" w:line="96" w:lineRule="exact"/>
        <w:rPr>
          <w:sz w:val="20"/>
          <w:szCs w:val="20"/>
          <w:color w:val="auto"/>
        </w:rPr>
      </w:pPr>
    </w:p>
    <w:p>
      <w:pPr>
        <w:ind w:right="140"/>
        <w:spacing w:after="0" w:line="253" w:lineRule="auto"/>
        <w:rPr>
          <w:sz w:val="20"/>
          <w:szCs w:val="20"/>
          <w:color w:val="auto"/>
        </w:rPr>
      </w:pPr>
      <w:r>
        <w:rPr>
          <w:rFonts w:ascii="Arial" w:cs="Arial" w:eastAsia="Arial" w:hAnsi="Arial"/>
          <w:sz w:val="19"/>
          <w:szCs w:val="19"/>
          <w:color w:val="auto"/>
        </w:rPr>
        <w:t>Our use of AI depends on the quality, integrity, and security of the data used to train and operate these systems. If such data is incomplete, inaccurate, or compromised, our operations and decision-making could be adversely affected. Reliance on third-party AI tools and service providers may also introduce additional risks related to data security, confidentiality, and system reliability.</w:t>
      </w:r>
    </w:p>
    <w:p>
      <w:pPr>
        <w:sectPr>
          <w:pgSz w:w="11880" w:h="15480" w:orient="portrait"/>
          <w:cols w:equalWidth="0" w:num="1">
            <w:col w:w="10780"/>
          </w:cols>
          <w:pgMar w:left="540" w:top="803" w:right="560" w:bottom="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ectPr>
          <w:pgSz w:w="11880" w:h="15480" w:orient="portrait"/>
          <w:cols w:equalWidth="0" w:num="1">
            <w:col w:w="10780"/>
          </w:cols>
          <w:pgMar w:left="540" w:top="803" w:right="560" w:bottom="16" w:gutter="0" w:footer="0" w:header="0"/>
          <w:type w:val="continuous"/>
        </w:sectPr>
      </w:pPr>
    </w:p>
    <w:bookmarkStart w:id="17" w:name="page18"/>
    <w:bookmarkEnd w:id="17"/>
    <w:p>
      <w:pPr>
        <w:ind w:right="180"/>
        <w:spacing w:after="0" w:line="253" w:lineRule="auto"/>
        <w:rPr>
          <w:sz w:val="20"/>
          <w:szCs w:val="20"/>
          <w:color w:val="auto"/>
        </w:rPr>
      </w:pPr>
      <w:r>
        <w:rPr>
          <w:rFonts w:ascii="Arial" w:cs="Arial" w:eastAsia="Arial" w:hAnsi="Arial"/>
          <w:sz w:val="19"/>
          <w:szCs w:val="19"/>
          <w:color w:val="auto"/>
        </w:rPr>
        <w:t>The use of AI may also present reputational risks, including concerns regarding transparency, fairness, and ethical use. Any actual or perceived misuse of AI by us or our third-party partners could harm our brand and customer trust. If we are unable to effectively manage these risks or successfully integrate AI technologies into our operations, our business, financial condition, and results of operations could be adversely affected</w:t>
      </w:r>
    </w:p>
    <w:p>
      <w:pPr>
        <w:spacing w:after="0" w:line="109" w:lineRule="exact"/>
        <w:rPr>
          <w:sz w:val="20"/>
          <w:szCs w:val="20"/>
          <w:color w:val="auto"/>
        </w:rPr>
      </w:pPr>
    </w:p>
    <w:p>
      <w:pPr>
        <w:spacing w:after="0" w:line="297" w:lineRule="auto"/>
        <w:rPr>
          <w:sz w:val="20"/>
          <w:szCs w:val="20"/>
          <w:color w:val="auto"/>
        </w:rPr>
      </w:pPr>
      <w:r>
        <w:rPr>
          <w:rFonts w:ascii="Arial" w:cs="Arial" w:eastAsia="Arial" w:hAnsi="Arial"/>
          <w:sz w:val="19"/>
          <w:szCs w:val="19"/>
          <w:b w:val="1"/>
          <w:bCs w:val="1"/>
          <w:color w:val="auto"/>
        </w:rPr>
        <w:t>Failure to maintain the security of employee, customer or vendor information could expose us to litigation, government enforcement actions and materially impact our reputation and business operations.</w:t>
      </w:r>
    </w:p>
    <w:p>
      <w:pPr>
        <w:spacing w:after="0" w:line="60" w:lineRule="exact"/>
        <w:rPr>
          <w:sz w:val="20"/>
          <w:szCs w:val="20"/>
          <w:color w:val="auto"/>
        </w:rPr>
      </w:pPr>
    </w:p>
    <w:p>
      <w:pPr>
        <w:ind w:right="140"/>
        <w:spacing w:after="0" w:line="250" w:lineRule="auto"/>
        <w:rPr>
          <w:sz w:val="20"/>
          <w:szCs w:val="20"/>
          <w:color w:val="auto"/>
        </w:rPr>
      </w:pPr>
      <w:r>
        <w:rPr>
          <w:rFonts w:ascii="Arial" w:cs="Arial" w:eastAsia="Arial" w:hAnsi="Arial"/>
          <w:sz w:val="19"/>
          <w:szCs w:val="19"/>
          <w:color w:val="auto"/>
        </w:rPr>
        <w:t>Over the normal course of business operations, we may obtain certain private or confidential information of our employees, job applicants, customers, and vendors. If retained, this information may be stored within our internal information technology environments or hosted by third-party service providers. While we have implemented security procedures and technology that are intended to safeguard this information from cybersecurity attacks and security incidents, there can be no assurance that these measures will be adequate to safeguard against all data security incidents, system compromises or misuses of data.</w:t>
      </w:r>
    </w:p>
    <w:p>
      <w:pPr>
        <w:spacing w:after="0" w:line="115" w:lineRule="exact"/>
        <w:rPr>
          <w:sz w:val="20"/>
          <w:szCs w:val="20"/>
          <w:color w:val="auto"/>
        </w:rPr>
      </w:pPr>
    </w:p>
    <w:p>
      <w:pPr>
        <w:ind w:right="60"/>
        <w:spacing w:after="0" w:line="245" w:lineRule="auto"/>
        <w:rPr>
          <w:sz w:val="20"/>
          <w:szCs w:val="20"/>
          <w:color w:val="auto"/>
        </w:rPr>
      </w:pPr>
      <w:r>
        <w:rPr>
          <w:rFonts w:ascii="Arial" w:cs="Arial" w:eastAsia="Arial" w:hAnsi="Arial"/>
          <w:sz w:val="19"/>
          <w:szCs w:val="19"/>
          <w:color w:val="auto"/>
        </w:rPr>
        <w:t>Although we continue to develop, and further enhance, our systems and processes that are designed to protect personal information and prevent data loss and other security incidents and technology disruptions, such measures cannot provide absolute security. Cyber-attacks can come in many forms, including cyber-attacks from criminal threat actors, as we experienced in fiscal 2023, acts of vandalism or theft, malware, ransomware, computer viruses or other malicious codes, phishing, brute force attacks, exploiting software vulnerabilities and zero -day attacks, supply chain attacks, employee error or malfeasance, catastrophes, and unforeseen events. The rapid evolution and increased adoption of artificial intelligence technologies by attackers may intensify our cybersecurity risks. Additionally, as we rely on third parties throughout the course of our business operations, a failure of a third-party service provider to monitor and secure their environment could lead to unauthorized access of our private or confidential information.</w:t>
      </w:r>
    </w:p>
    <w:p>
      <w:pPr>
        <w:spacing w:after="0" w:line="119" w:lineRule="exact"/>
        <w:rPr>
          <w:sz w:val="20"/>
          <w:szCs w:val="20"/>
          <w:color w:val="auto"/>
        </w:rPr>
      </w:pPr>
    </w:p>
    <w:p>
      <w:pPr>
        <w:spacing w:after="0" w:line="246" w:lineRule="auto"/>
        <w:rPr>
          <w:sz w:val="20"/>
          <w:szCs w:val="20"/>
          <w:color w:val="auto"/>
        </w:rPr>
      </w:pPr>
      <w:r>
        <w:rPr>
          <w:rFonts w:ascii="Arial" w:cs="Arial" w:eastAsia="Arial" w:hAnsi="Arial"/>
          <w:sz w:val="19"/>
          <w:szCs w:val="19"/>
          <w:color w:val="auto"/>
        </w:rPr>
        <w:t>Any cyber- attack or compromise of our data could expose us to loss of revenue, loss of business, increased expenses, fines or sanctions, private litigation and response measures, credit card brand assessments including termination of our ability to receive credit or debit card payments, government enforcement actions, disruption of business operations, negative publicity, eroded customer confidence in the effectiveness of our data security measures, and decrease in customers’ willingness to shop in our stores which could adversely affect our business strategy, financial conditions and results of operations. Furthermore, there can be no assurance that any limitations of liability in our contracts would be enforceable or adequate or would otherwise protect us from any such liabilities or damages with respect to any particular claim.</w:t>
      </w:r>
    </w:p>
    <w:p>
      <w:pPr>
        <w:spacing w:after="0" w:line="121" w:lineRule="exact"/>
        <w:rPr>
          <w:sz w:val="20"/>
          <w:szCs w:val="20"/>
          <w:color w:val="auto"/>
        </w:rPr>
      </w:pPr>
    </w:p>
    <w:p>
      <w:pPr>
        <w:ind w:right="160"/>
        <w:spacing w:after="0" w:line="250" w:lineRule="auto"/>
        <w:rPr>
          <w:sz w:val="20"/>
          <w:szCs w:val="20"/>
          <w:color w:val="auto"/>
        </w:rPr>
      </w:pPr>
      <w:r>
        <w:rPr>
          <w:rFonts w:ascii="Arial" w:cs="Arial" w:eastAsia="Arial" w:hAnsi="Arial"/>
          <w:sz w:val="19"/>
          <w:szCs w:val="19"/>
          <w:color w:val="auto"/>
        </w:rPr>
        <w:t>While we maintain cyber insurance coverage, it may not be adequate for liabilities or costs actually incurred, and we cannot be certain that insurance will continue to be available to us on economically reasonable terms, or at all, or that any insurer will not deny coverage of a future claim. In addition, as the regulatory environment related to information security, data collection and use, and privacy becomes increasingly rigorous, with new and constantly changing requirements, compliance with those requirements could also result in additional costs.</w:t>
      </w:r>
    </w:p>
    <w:p>
      <w:pPr>
        <w:spacing w:after="0" w:line="112"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Risks Relating to Ownership of our Common Stock</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stock price is subject to volatility.</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color w:val="auto"/>
        </w:rPr>
        <w:t>Our stock price has been volatile in the past and may be influenced in the future by a number of factors, including:</w:t>
      </w:r>
    </w:p>
    <w:p>
      <w:pPr>
        <w:spacing w:after="0" w:line="172" w:lineRule="exact"/>
        <w:rPr>
          <w:sz w:val="20"/>
          <w:szCs w:val="20"/>
          <w:color w:val="auto"/>
        </w:rPr>
      </w:pPr>
    </w:p>
    <w:p>
      <w:pPr>
        <w:ind w:left="720" w:right="260" w:hanging="360"/>
        <w:spacing w:after="0" w:line="266" w:lineRule="auto"/>
        <w:tabs>
          <w:tab w:leader="none" w:pos="720" w:val="left"/>
        </w:tabs>
        <w:numPr>
          <w:ilvl w:val="0"/>
          <w:numId w:val="7"/>
        </w:numPr>
        <w:rPr>
          <w:rFonts w:ascii="Symbol" w:cs="Symbol" w:eastAsia="Symbol" w:hAnsi="Symbol"/>
          <w:sz w:val="19"/>
          <w:szCs w:val="19"/>
          <w:color w:val="auto"/>
        </w:rPr>
      </w:pPr>
      <w:r>
        <w:rPr>
          <w:rFonts w:ascii="Arial" w:cs="Arial" w:eastAsia="Arial" w:hAnsi="Arial"/>
          <w:sz w:val="19"/>
          <w:szCs w:val="19"/>
          <w:color w:val="auto"/>
        </w:rPr>
        <w:t>changes in securities analysts’ recommendations or estimates of our financial performance or our failure to meet any such estimates;</w:t>
      </w:r>
    </w:p>
    <w:p>
      <w:pPr>
        <w:spacing w:after="0" w:line="109" w:lineRule="exact"/>
        <w:rPr>
          <w:rFonts w:ascii="Symbol" w:cs="Symbol" w:eastAsia="Symbol" w:hAnsi="Symbol"/>
          <w:sz w:val="19"/>
          <w:szCs w:val="19"/>
          <w:color w:val="auto"/>
        </w:rPr>
      </w:pPr>
    </w:p>
    <w:p>
      <w:pPr>
        <w:ind w:left="720" w:hanging="360"/>
        <w:spacing w:after="0"/>
        <w:tabs>
          <w:tab w:leader="none" w:pos="720" w:val="left"/>
        </w:tabs>
        <w:numPr>
          <w:ilvl w:val="0"/>
          <w:numId w:val="7"/>
        </w:numPr>
        <w:rPr>
          <w:rFonts w:ascii="Symbol" w:cs="Symbol" w:eastAsia="Symbol" w:hAnsi="Symbol"/>
          <w:sz w:val="19"/>
          <w:szCs w:val="19"/>
          <w:color w:val="auto"/>
        </w:rPr>
      </w:pPr>
      <w:r>
        <w:rPr>
          <w:rFonts w:ascii="Arial" w:cs="Arial" w:eastAsia="Arial" w:hAnsi="Arial"/>
          <w:sz w:val="19"/>
          <w:szCs w:val="19"/>
          <w:color w:val="auto"/>
        </w:rPr>
        <w:t>changes in market valuations or operating performance of our competitors or companies similar to ours;</w:t>
      </w:r>
    </w:p>
    <w:p>
      <w:pPr>
        <w:spacing w:after="0" w:line="158" w:lineRule="exact"/>
        <w:rPr>
          <w:rFonts w:ascii="Symbol" w:cs="Symbol" w:eastAsia="Symbol" w:hAnsi="Symbol"/>
          <w:sz w:val="19"/>
          <w:szCs w:val="19"/>
          <w:color w:val="auto"/>
        </w:rPr>
      </w:pPr>
    </w:p>
    <w:p>
      <w:pPr>
        <w:ind w:left="720" w:hanging="360"/>
        <w:spacing w:after="0"/>
        <w:tabs>
          <w:tab w:leader="none" w:pos="720" w:val="left"/>
        </w:tabs>
        <w:numPr>
          <w:ilvl w:val="0"/>
          <w:numId w:val="7"/>
        </w:numPr>
        <w:rPr>
          <w:rFonts w:ascii="Symbol" w:cs="Symbol" w:eastAsia="Symbol" w:hAnsi="Symbol"/>
          <w:sz w:val="19"/>
          <w:szCs w:val="19"/>
          <w:color w:val="auto"/>
        </w:rPr>
      </w:pPr>
      <w:r>
        <w:rPr>
          <w:rFonts w:ascii="Arial" w:cs="Arial" w:eastAsia="Arial" w:hAnsi="Arial"/>
          <w:sz w:val="19"/>
          <w:szCs w:val="19"/>
          <w:color w:val="auto"/>
        </w:rPr>
        <w:t>market and industry perception of our success, or lack thereof, in pursuing our growth strategy;</w:t>
      </w:r>
    </w:p>
    <w:p>
      <w:pPr>
        <w:spacing w:after="0" w:line="159" w:lineRule="exact"/>
        <w:rPr>
          <w:rFonts w:ascii="Symbol" w:cs="Symbol" w:eastAsia="Symbol" w:hAnsi="Symbol"/>
          <w:sz w:val="19"/>
          <w:szCs w:val="19"/>
          <w:color w:val="auto"/>
        </w:rPr>
      </w:pPr>
    </w:p>
    <w:p>
      <w:pPr>
        <w:ind w:left="720" w:hanging="360"/>
        <w:spacing w:after="0"/>
        <w:tabs>
          <w:tab w:leader="none" w:pos="720" w:val="left"/>
        </w:tabs>
        <w:numPr>
          <w:ilvl w:val="0"/>
          <w:numId w:val="7"/>
        </w:numPr>
        <w:rPr>
          <w:rFonts w:ascii="Symbol" w:cs="Symbol" w:eastAsia="Symbol" w:hAnsi="Symbol"/>
          <w:sz w:val="19"/>
          <w:szCs w:val="19"/>
          <w:color w:val="auto"/>
        </w:rPr>
      </w:pPr>
      <w:r>
        <w:rPr>
          <w:rFonts w:ascii="Arial" w:cs="Arial" w:eastAsia="Arial" w:hAnsi="Arial"/>
          <w:sz w:val="19"/>
          <w:szCs w:val="19"/>
          <w:color w:val="auto"/>
        </w:rPr>
        <w:t>changes in accounting principles;</w:t>
      </w:r>
    </w:p>
    <w:p>
      <w:pPr>
        <w:spacing w:after="0" w:line="158" w:lineRule="exact"/>
        <w:rPr>
          <w:rFonts w:ascii="Symbol" w:cs="Symbol" w:eastAsia="Symbol" w:hAnsi="Symbol"/>
          <w:sz w:val="19"/>
          <w:szCs w:val="19"/>
          <w:color w:val="auto"/>
        </w:rPr>
      </w:pPr>
    </w:p>
    <w:p>
      <w:pPr>
        <w:ind w:left="720" w:hanging="360"/>
        <w:spacing w:after="0"/>
        <w:tabs>
          <w:tab w:leader="none" w:pos="720" w:val="left"/>
        </w:tabs>
        <w:numPr>
          <w:ilvl w:val="0"/>
          <w:numId w:val="7"/>
        </w:numPr>
        <w:rPr>
          <w:rFonts w:ascii="Symbol" w:cs="Symbol" w:eastAsia="Symbol" w:hAnsi="Symbol"/>
          <w:sz w:val="19"/>
          <w:szCs w:val="19"/>
          <w:color w:val="auto"/>
        </w:rPr>
      </w:pPr>
      <w:r>
        <w:rPr>
          <w:rFonts w:ascii="Arial" w:cs="Arial" w:eastAsia="Arial" w:hAnsi="Arial"/>
          <w:sz w:val="19"/>
          <w:szCs w:val="19"/>
          <w:color w:val="auto"/>
        </w:rPr>
        <w:t>the trading volume of our common stock in the public market and size of our public float; and</w:t>
      </w:r>
    </w:p>
    <w:p>
      <w:pPr>
        <w:spacing w:after="0" w:line="158" w:lineRule="exact"/>
        <w:rPr>
          <w:rFonts w:ascii="Symbol" w:cs="Symbol" w:eastAsia="Symbol" w:hAnsi="Symbol"/>
          <w:sz w:val="19"/>
          <w:szCs w:val="19"/>
          <w:color w:val="auto"/>
        </w:rPr>
      </w:pPr>
    </w:p>
    <w:p>
      <w:pPr>
        <w:ind w:left="720" w:hanging="360"/>
        <w:spacing w:after="0"/>
        <w:tabs>
          <w:tab w:leader="none" w:pos="720" w:val="left"/>
        </w:tabs>
        <w:numPr>
          <w:ilvl w:val="0"/>
          <w:numId w:val="7"/>
        </w:numPr>
        <w:rPr>
          <w:rFonts w:ascii="Symbol" w:cs="Symbol" w:eastAsia="Symbol" w:hAnsi="Symbol"/>
          <w:sz w:val="19"/>
          <w:szCs w:val="19"/>
          <w:color w:val="auto"/>
        </w:rPr>
      </w:pPr>
      <w:r>
        <w:rPr>
          <w:rFonts w:ascii="Arial" w:cs="Arial" w:eastAsia="Arial" w:hAnsi="Arial"/>
          <w:sz w:val="19"/>
          <w:szCs w:val="19"/>
          <w:color w:val="auto"/>
        </w:rPr>
        <w:t>the realization of some or all of the risks described in this section entitled “Risk Factors.”</w:t>
      </w:r>
    </w:p>
    <w:p>
      <w:pPr>
        <w:spacing w:after="0" w:line="145" w:lineRule="exact"/>
        <w:rPr>
          <w:sz w:val="20"/>
          <w:szCs w:val="20"/>
          <w:color w:val="auto"/>
        </w:rPr>
      </w:pPr>
    </w:p>
    <w:p>
      <w:pPr>
        <w:ind w:right="80"/>
        <w:spacing w:after="0" w:line="250" w:lineRule="auto"/>
        <w:rPr>
          <w:sz w:val="20"/>
          <w:szCs w:val="20"/>
          <w:color w:val="auto"/>
        </w:rPr>
      </w:pPr>
      <w:r>
        <w:rPr>
          <w:rFonts w:ascii="Arial" w:cs="Arial" w:eastAsia="Arial" w:hAnsi="Arial"/>
          <w:sz w:val="19"/>
          <w:szCs w:val="19"/>
          <w:color w:val="auto"/>
        </w:rPr>
        <w:t>These and other factors may cause the market price and demand for our common stock to fluctuate substantially, which may limit or prevent investors from readily selling their shares of common stock and may otherwise negatively affect the liquidity of our common stock. In addition, the stock markets experience significant price and trading volume fluctuations from time to time, and the market prices and trading volumes of the equity securities of retailers have been volatile, including our common stock. These broad market fluctuations may adversely affect the market price of our common stock.</w:t>
      </w:r>
    </w:p>
    <w:p>
      <w:pPr>
        <w:sectPr>
          <w:pgSz w:w="11880" w:h="15480" w:orient="portrait"/>
          <w:cols w:equalWidth="0" w:num="1">
            <w:col w:w="10760"/>
          </w:cols>
          <w:pgMar w:left="540" w:top="807" w:right="580" w:bottom="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18</w:t>
      </w:r>
    </w:p>
    <w:p>
      <w:pPr>
        <w:sectPr>
          <w:pgSz w:w="11880" w:h="15480" w:orient="portrait"/>
          <w:cols w:equalWidth="0" w:num="1">
            <w:col w:w="10760"/>
          </w:cols>
          <w:pgMar w:left="540" w:top="807" w:right="580" w:bottom="16" w:gutter="0" w:footer="0" w:header="0"/>
          <w:type w:val="continuous"/>
        </w:sectPr>
      </w:pPr>
    </w:p>
    <w:bookmarkStart w:id="18" w:name="page19"/>
    <w:bookmarkEnd w:id="18"/>
    <w:p>
      <w:pPr>
        <w:spacing w:after="0" w:line="297" w:lineRule="auto"/>
        <w:rPr>
          <w:sz w:val="20"/>
          <w:szCs w:val="20"/>
          <w:color w:val="auto"/>
        </w:rPr>
      </w:pPr>
      <w:r>
        <w:rPr>
          <w:rFonts w:ascii="Arial" w:cs="Arial" w:eastAsia="Arial" w:hAnsi="Arial"/>
          <w:sz w:val="19"/>
          <w:szCs w:val="19"/>
          <w:b w:val="1"/>
          <w:bCs w:val="1"/>
          <w:color w:val="auto"/>
        </w:rPr>
        <w:t>We cannot provide any guaranty of future cash dividend payments or future repurchase of our common stock pursuant to a share repurchase program.</w:t>
      </w:r>
    </w:p>
    <w:p>
      <w:pPr>
        <w:spacing w:after="0" w:line="60" w:lineRule="exact"/>
        <w:rPr>
          <w:sz w:val="20"/>
          <w:szCs w:val="20"/>
          <w:color w:val="auto"/>
        </w:rPr>
      </w:pPr>
    </w:p>
    <w:p>
      <w:pPr>
        <w:ind w:right="140"/>
        <w:spacing w:after="0" w:line="247" w:lineRule="auto"/>
        <w:rPr>
          <w:sz w:val="20"/>
          <w:szCs w:val="20"/>
          <w:color w:val="auto"/>
        </w:rPr>
      </w:pPr>
      <w:r>
        <w:rPr>
          <w:rFonts w:ascii="Arial" w:cs="Arial" w:eastAsia="Arial" w:hAnsi="Arial"/>
          <w:sz w:val="19"/>
          <w:szCs w:val="19"/>
          <w:color w:val="auto"/>
        </w:rPr>
        <w:t>Any determination to declare and pay cash dividends on our common stock in the future will be based, among other things, on our board of directors’ conclusion in each instance that the declaration and payment of a cash dividend is in the best interest of our stockholders and is in compliance with all laws and agreements applicable to the dividend and upon our financial condition, results of operations, business strategy and cash requirements. Additionally, there can be no assurance that our existing share repurchase authorizations will be completed or that our board of directors will approve additional repurchase programs in the future. We presently have no intention to reinstate the dividend, and there can be no assurance that we will resume paying dividends on a regular basis.</w:t>
      </w:r>
    </w:p>
    <w:p>
      <w:pPr>
        <w:spacing w:after="0" w:line="112" w:lineRule="exact"/>
        <w:rPr>
          <w:sz w:val="20"/>
          <w:szCs w:val="20"/>
          <w:color w:val="auto"/>
        </w:rPr>
      </w:pPr>
    </w:p>
    <w:p>
      <w:pPr>
        <w:ind w:right="180"/>
        <w:spacing w:after="0" w:line="297" w:lineRule="auto"/>
        <w:rPr>
          <w:sz w:val="20"/>
          <w:szCs w:val="20"/>
          <w:color w:val="auto"/>
        </w:rPr>
      </w:pPr>
      <w:r>
        <w:rPr>
          <w:rFonts w:ascii="Arial" w:cs="Arial" w:eastAsia="Arial" w:hAnsi="Arial"/>
          <w:sz w:val="19"/>
          <w:szCs w:val="19"/>
          <w:b w:val="1"/>
          <w:bCs w:val="1"/>
          <w:color w:val="auto"/>
        </w:rPr>
        <w:t>Provisions in our certificate of incorporation and by-laws and Delaware law may delay or prevent our acquisition by a third party.</w:t>
      </w:r>
    </w:p>
    <w:p>
      <w:pPr>
        <w:spacing w:after="0" w:line="61" w:lineRule="exact"/>
        <w:rPr>
          <w:sz w:val="20"/>
          <w:szCs w:val="20"/>
          <w:color w:val="auto"/>
        </w:rPr>
      </w:pPr>
    </w:p>
    <w:p>
      <w:pPr>
        <w:spacing w:after="0" w:line="246" w:lineRule="auto"/>
        <w:rPr>
          <w:sz w:val="20"/>
          <w:szCs w:val="20"/>
          <w:color w:val="auto"/>
        </w:rPr>
      </w:pPr>
      <w:r>
        <w:rPr>
          <w:rFonts w:ascii="Arial" w:cs="Arial" w:eastAsia="Arial" w:hAnsi="Arial"/>
          <w:sz w:val="19"/>
          <w:szCs w:val="19"/>
          <w:color w:val="auto"/>
        </w:rPr>
        <w:t>Our third amended and restated certificate of incorporation and our fourth amended and restated by-laws contain several provisions that may make it more difficult for a third party to acquire control of us without the approval of our board of directors. These provisions include, among other things, advance notice for raising business or making nominations at stockholder meetings and “blank check” preferred stock. Blank check preferred stock enables our board of directors, without stockholder approval, to designate and issue additional series of preferred stock with such dividend, liquidation, conversion, voting or other rights, including convertible securities with no limitations on conversion, as our board of directors may determine, including rights to dividends and proceeds in a liquidation that are senior to the common stock.</w:t>
      </w:r>
    </w:p>
    <w:p>
      <w:pPr>
        <w:spacing w:after="0" w:line="121" w:lineRule="exact"/>
        <w:rPr>
          <w:sz w:val="20"/>
          <w:szCs w:val="20"/>
          <w:color w:val="auto"/>
        </w:rPr>
      </w:pPr>
    </w:p>
    <w:p>
      <w:pPr>
        <w:ind w:right="80"/>
        <w:spacing w:after="0" w:line="261" w:lineRule="auto"/>
        <w:rPr>
          <w:sz w:val="20"/>
          <w:szCs w:val="20"/>
          <w:color w:val="auto"/>
        </w:rPr>
      </w:pPr>
      <w:r>
        <w:rPr>
          <w:rFonts w:ascii="Arial" w:cs="Arial" w:eastAsia="Arial" w:hAnsi="Arial"/>
          <w:sz w:val="19"/>
          <w:szCs w:val="19"/>
          <w:color w:val="auto"/>
        </w:rPr>
        <w:t>We are also subject to several provisions of the Delaware General Corporation Law that could delay, prevent or deter a merger, acquisition, tender offer, proxy contest or other transaction that might otherwise result in our stockholders receiving a premium over the market price for their common stock or may otherwise be in the best interests of our stockholders.</w:t>
      </w:r>
    </w:p>
    <w:p>
      <w:pPr>
        <w:spacing w:after="0" w:line="10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business could be negatively affected as a result of the actions of activist stockholders.</w:t>
      </w:r>
    </w:p>
    <w:p>
      <w:pPr>
        <w:spacing w:after="0" w:line="162" w:lineRule="exact"/>
        <w:rPr>
          <w:sz w:val="20"/>
          <w:szCs w:val="20"/>
          <w:color w:val="auto"/>
        </w:rPr>
      </w:pPr>
    </w:p>
    <w:p>
      <w:pPr>
        <w:ind w:right="20"/>
        <w:spacing w:after="0" w:line="261" w:lineRule="auto"/>
        <w:rPr>
          <w:sz w:val="20"/>
          <w:szCs w:val="20"/>
          <w:color w:val="auto"/>
        </w:rPr>
      </w:pPr>
      <w:r>
        <w:rPr>
          <w:rFonts w:ascii="Arial" w:cs="Arial" w:eastAsia="Arial" w:hAnsi="Arial"/>
          <w:sz w:val="19"/>
          <w:szCs w:val="19"/>
          <w:color w:val="auto"/>
        </w:rPr>
        <w:t>If faced with a proxy contest or other activist stockholder action in the future, we may not be able to respond successfully to the contest or action, which could be disruptive to our business. Even if we are successful, our business could be adversely affected by any proxy contest or activist stockholder action involving us because:</w:t>
      </w:r>
    </w:p>
    <w:p>
      <w:pPr>
        <w:spacing w:after="0" w:line="116" w:lineRule="exact"/>
        <w:rPr>
          <w:sz w:val="20"/>
          <w:szCs w:val="20"/>
          <w:color w:val="auto"/>
        </w:rPr>
      </w:pPr>
    </w:p>
    <w:p>
      <w:pPr>
        <w:ind w:left="720" w:right="520" w:hanging="360"/>
        <w:spacing w:after="0" w:line="266" w:lineRule="auto"/>
        <w:tabs>
          <w:tab w:leader="none" w:pos="720" w:val="left"/>
        </w:tabs>
        <w:numPr>
          <w:ilvl w:val="0"/>
          <w:numId w:val="8"/>
        </w:numPr>
        <w:rPr>
          <w:rFonts w:ascii="Symbol" w:cs="Symbol" w:eastAsia="Symbol" w:hAnsi="Symbol"/>
          <w:sz w:val="19"/>
          <w:szCs w:val="19"/>
          <w:color w:val="auto"/>
        </w:rPr>
      </w:pPr>
      <w:r>
        <w:rPr>
          <w:rFonts w:ascii="Arial" w:cs="Arial" w:eastAsia="Arial" w:hAnsi="Arial"/>
          <w:sz w:val="19"/>
          <w:szCs w:val="19"/>
          <w:color w:val="auto"/>
        </w:rPr>
        <w:t>responding to proxy contests and other actions by activist stockholders can be costly and time-consuming, disrupt operations, divert the attention of management and employees, and lead to uncertainty;</w:t>
      </w:r>
    </w:p>
    <w:p>
      <w:pPr>
        <w:spacing w:after="0" w:line="109" w:lineRule="exact"/>
        <w:rPr>
          <w:rFonts w:ascii="Symbol" w:cs="Symbol" w:eastAsia="Symbol" w:hAnsi="Symbol"/>
          <w:sz w:val="19"/>
          <w:szCs w:val="19"/>
          <w:color w:val="auto"/>
        </w:rPr>
      </w:pPr>
    </w:p>
    <w:p>
      <w:pPr>
        <w:jc w:val="both"/>
        <w:ind w:left="720" w:right="160" w:hanging="360"/>
        <w:spacing w:after="0" w:line="252" w:lineRule="auto"/>
        <w:tabs>
          <w:tab w:leader="none" w:pos="720" w:val="left"/>
        </w:tabs>
        <w:numPr>
          <w:ilvl w:val="0"/>
          <w:numId w:val="8"/>
        </w:numPr>
        <w:rPr>
          <w:rFonts w:ascii="Symbol" w:cs="Symbol" w:eastAsia="Symbol" w:hAnsi="Symbol"/>
          <w:sz w:val="19"/>
          <w:szCs w:val="19"/>
          <w:color w:val="auto"/>
        </w:rPr>
      </w:pPr>
      <w:r>
        <w:rPr>
          <w:rFonts w:ascii="Arial" w:cs="Arial" w:eastAsia="Arial" w:hAnsi="Arial"/>
          <w:sz w:val="19"/>
          <w:szCs w:val="19"/>
          <w:color w:val="auto"/>
        </w:rPr>
        <w:t>perceived uncertainties as to future direction may result in the loss of potential acquisitions, collaborations or business opportunities, and may make it more difficult to attract and retain qualified personnel, business partners and suppliers; and</w:t>
      </w:r>
    </w:p>
    <w:p>
      <w:pPr>
        <w:spacing w:after="0" w:line="124" w:lineRule="exact"/>
        <w:rPr>
          <w:rFonts w:ascii="Symbol" w:cs="Symbol" w:eastAsia="Symbol" w:hAnsi="Symbol"/>
          <w:sz w:val="19"/>
          <w:szCs w:val="19"/>
          <w:color w:val="auto"/>
        </w:rPr>
      </w:pPr>
    </w:p>
    <w:p>
      <w:pPr>
        <w:ind w:left="720" w:right="80" w:hanging="360"/>
        <w:spacing w:after="0" w:line="266" w:lineRule="auto"/>
        <w:tabs>
          <w:tab w:leader="none" w:pos="720" w:val="left"/>
        </w:tabs>
        <w:numPr>
          <w:ilvl w:val="0"/>
          <w:numId w:val="8"/>
        </w:numPr>
        <w:rPr>
          <w:rFonts w:ascii="Symbol" w:cs="Symbol" w:eastAsia="Symbol" w:hAnsi="Symbol"/>
          <w:sz w:val="19"/>
          <w:szCs w:val="19"/>
          <w:color w:val="auto"/>
        </w:rPr>
      </w:pPr>
      <w:r>
        <w:rPr>
          <w:rFonts w:ascii="Arial" w:cs="Arial" w:eastAsia="Arial" w:hAnsi="Arial"/>
          <w:sz w:val="19"/>
          <w:szCs w:val="19"/>
          <w:color w:val="auto"/>
        </w:rPr>
        <w:t>if individuals are elected to our board of directors with a specific agenda, it may adversely affect our ability to effectively implement our business strategy in a timely manner and create additional value for our stockholders.</w:t>
      </w:r>
    </w:p>
    <w:p>
      <w:pPr>
        <w:spacing w:after="0" w:line="97" w:lineRule="exact"/>
        <w:rPr>
          <w:sz w:val="20"/>
          <w:szCs w:val="20"/>
          <w:color w:val="auto"/>
        </w:rPr>
      </w:pPr>
    </w:p>
    <w:p>
      <w:pPr>
        <w:spacing w:after="0"/>
        <w:rPr>
          <w:sz w:val="20"/>
          <w:szCs w:val="20"/>
          <w:color w:val="auto"/>
        </w:rPr>
      </w:pPr>
      <w:r>
        <w:rPr>
          <w:rFonts w:ascii="Arial" w:cs="Arial" w:eastAsia="Arial" w:hAnsi="Arial"/>
          <w:sz w:val="19"/>
          <w:szCs w:val="19"/>
          <w:color w:val="auto"/>
        </w:rPr>
        <w:t>These actions could cause the market price of our common stock to experience periods of volatility.</w:t>
      </w:r>
    </w:p>
    <w:p>
      <w:pPr>
        <w:spacing w:after="0" w:line="236" w:lineRule="exact"/>
        <w:rPr>
          <w:sz w:val="20"/>
          <w:szCs w:val="20"/>
          <w:color w:val="auto"/>
        </w:rPr>
      </w:pPr>
    </w:p>
    <w:p>
      <w:pPr>
        <w:spacing w:after="0"/>
        <w:tabs>
          <w:tab w:leader="none" w:pos="1060" w:val="left"/>
        </w:tabs>
        <w:rPr>
          <w:sz w:val="20"/>
          <w:szCs w:val="20"/>
          <w:color w:val="auto"/>
        </w:rPr>
      </w:pPr>
      <w:r>
        <w:rPr>
          <w:rFonts w:ascii="Arial" w:cs="Arial" w:eastAsia="Arial" w:hAnsi="Arial"/>
          <w:sz w:val="19"/>
          <w:szCs w:val="19"/>
          <w:b w:val="1"/>
          <w:bCs w:val="1"/>
          <w:color w:val="auto"/>
        </w:rPr>
        <w:t>ITEM 1B.</w:t>
      </w:r>
      <w:r>
        <w:rPr>
          <w:sz w:val="20"/>
          <w:szCs w:val="20"/>
          <w:color w:val="auto"/>
        </w:rPr>
        <w:tab/>
      </w:r>
      <w:r>
        <w:rPr>
          <w:rFonts w:ascii="Arial" w:cs="Arial" w:eastAsia="Arial" w:hAnsi="Arial"/>
          <w:sz w:val="18"/>
          <w:szCs w:val="18"/>
          <w:b w:val="1"/>
          <w:bCs w:val="1"/>
          <w:u w:val="single" w:color="auto"/>
          <w:color w:val="auto"/>
        </w:rPr>
        <w:t>UNRESOLVED STAFF COMMENTS</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color w:val="auto"/>
        </w:rPr>
        <w:t>None.</w:t>
      </w:r>
    </w:p>
    <w:p>
      <w:pPr>
        <w:sectPr>
          <w:pgSz w:w="11880" w:h="15480" w:orient="portrait"/>
          <w:cols w:equalWidth="0" w:num="1">
            <w:col w:w="10780"/>
          </w:cols>
          <w:pgMar w:left="540" w:top="803" w:right="560" w:bottom="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ectPr>
          <w:pgSz w:w="11880" w:h="15480" w:orient="portrait"/>
          <w:cols w:equalWidth="0" w:num="1">
            <w:col w:w="10780"/>
          </w:cols>
          <w:pgMar w:left="540" w:top="803" w:right="560" w:bottom="16" w:gutter="0" w:footer="0" w:header="0"/>
          <w:type w:val="continuous"/>
        </w:sectPr>
      </w:pPr>
    </w:p>
    <w:bookmarkStart w:id="19" w:name="page20"/>
    <w:bookmarkEnd w:id="19"/>
    <w:p>
      <w:pPr>
        <w:spacing w:after="0"/>
        <w:tabs>
          <w:tab w:leader="none" w:pos="1060" w:val="left"/>
        </w:tabs>
        <w:rPr>
          <w:sz w:val="20"/>
          <w:szCs w:val="20"/>
          <w:color w:val="auto"/>
        </w:rPr>
      </w:pPr>
      <w:r>
        <w:rPr>
          <w:rFonts w:ascii="Arial" w:cs="Arial" w:eastAsia="Arial" w:hAnsi="Arial"/>
          <w:sz w:val="19"/>
          <w:szCs w:val="19"/>
          <w:b w:val="1"/>
          <w:bCs w:val="1"/>
          <w:color w:val="auto"/>
        </w:rPr>
        <w:t>ITEM 1C.</w:t>
      </w:r>
      <w:r>
        <w:rPr>
          <w:sz w:val="20"/>
          <w:szCs w:val="20"/>
          <w:color w:val="auto"/>
        </w:rPr>
        <w:tab/>
      </w:r>
      <w:r>
        <w:rPr>
          <w:rFonts w:ascii="Arial" w:cs="Arial" w:eastAsia="Arial" w:hAnsi="Arial"/>
          <w:sz w:val="18"/>
          <w:szCs w:val="18"/>
          <w:b w:val="1"/>
          <w:bCs w:val="1"/>
          <w:u w:val="single" w:color="auto"/>
          <w:color w:val="auto"/>
        </w:rPr>
        <w:t>CYBERSECURITY</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 Management and Strategy</w:t>
      </w:r>
    </w:p>
    <w:p>
      <w:pPr>
        <w:spacing w:after="0" w:line="202" w:lineRule="exact"/>
        <w:rPr>
          <w:sz w:val="20"/>
          <w:szCs w:val="20"/>
          <w:color w:val="auto"/>
        </w:rPr>
      </w:pPr>
    </w:p>
    <w:p>
      <w:pPr>
        <w:ind w:right="120"/>
        <w:spacing w:after="0" w:line="250" w:lineRule="auto"/>
        <w:rPr>
          <w:sz w:val="20"/>
          <w:szCs w:val="20"/>
          <w:color w:val="auto"/>
        </w:rPr>
      </w:pPr>
      <w:r>
        <w:rPr>
          <w:rFonts w:ascii="Arial" w:cs="Arial" w:eastAsia="Arial" w:hAnsi="Arial"/>
          <w:sz w:val="19"/>
          <w:szCs w:val="19"/>
          <w:color w:val="auto"/>
        </w:rPr>
        <w:t>Cybersecurity is an important component of our overall approach to risk management. We have implemented cybersecurity processes, technologies and controls to facilitate our efforts to identify, assess and manage material risks from cybersecurity threats. We leverage industry associations, third-party benchmarking, results from internal and third-party testing, and other similar resources to inform our cybersecurity programs and processes. We also adhere to applicable Payment Card Industry Data Security Standards. We have prioritized improving our cyber security posture to safeguard our systems and mitigate risks.</w:t>
      </w:r>
    </w:p>
    <w:p>
      <w:pPr>
        <w:spacing w:after="0" w:line="154" w:lineRule="exact"/>
        <w:rPr>
          <w:sz w:val="20"/>
          <w:szCs w:val="20"/>
          <w:color w:val="auto"/>
        </w:rPr>
      </w:pPr>
    </w:p>
    <w:p>
      <w:pPr>
        <w:ind w:right="300"/>
        <w:spacing w:after="0" w:line="265" w:lineRule="auto"/>
        <w:rPr>
          <w:sz w:val="20"/>
          <w:szCs w:val="20"/>
          <w:color w:val="auto"/>
        </w:rPr>
      </w:pPr>
      <w:r>
        <w:rPr>
          <w:rFonts w:ascii="Arial" w:cs="Arial" w:eastAsia="Arial" w:hAnsi="Arial"/>
          <w:sz w:val="18"/>
          <w:szCs w:val="18"/>
          <w:color w:val="auto"/>
        </w:rPr>
        <w:t>Our cybersecurity programs include physical, administrative and technical safeguards designed to help us detect and prevent cybersecurity threats and incidents. We monitor our cybersecurity programs and processes through assessments focused on evaluating effectiveness, including regular network and endpoint monitoring, vulnerability scanning and penetration testing. In addition, we have engaged third parties to perform reviews of our information security control environment, and to provide expertise on various cybersecurity programs and issues. Our cybersecurity team has established a written incident response plan in the event of an incident. We do not retain any sensitive customer data on our systems.</w:t>
      </w:r>
    </w:p>
    <w:p>
      <w:pPr>
        <w:spacing w:after="0" w:line="140" w:lineRule="exact"/>
        <w:rPr>
          <w:sz w:val="20"/>
          <w:szCs w:val="20"/>
          <w:color w:val="auto"/>
        </w:rPr>
      </w:pPr>
    </w:p>
    <w:p>
      <w:pPr>
        <w:ind w:right="520"/>
        <w:spacing w:after="0" w:line="283" w:lineRule="auto"/>
        <w:rPr>
          <w:sz w:val="20"/>
          <w:szCs w:val="20"/>
          <w:color w:val="auto"/>
        </w:rPr>
      </w:pPr>
      <w:r>
        <w:rPr>
          <w:rFonts w:ascii="Arial" w:cs="Arial" w:eastAsia="Arial" w:hAnsi="Arial"/>
          <w:sz w:val="19"/>
          <w:szCs w:val="19"/>
          <w:color w:val="auto"/>
        </w:rPr>
        <w:t>We provide routine awareness training for associates regarding cybersecurity best practices and their role in protecting the Company from cybersecurity attacks and testing to measure the effectiveness of our information security program.</w:t>
      </w:r>
    </w:p>
    <w:p>
      <w:pPr>
        <w:spacing w:after="0" w:line="122" w:lineRule="exact"/>
        <w:rPr>
          <w:sz w:val="20"/>
          <w:szCs w:val="20"/>
          <w:color w:val="auto"/>
        </w:rPr>
      </w:pPr>
    </w:p>
    <w:p>
      <w:pPr>
        <w:ind w:right="60"/>
        <w:spacing w:after="0" w:line="246" w:lineRule="auto"/>
        <w:rPr>
          <w:sz w:val="20"/>
          <w:szCs w:val="20"/>
          <w:color w:val="auto"/>
        </w:rPr>
      </w:pPr>
      <w:r>
        <w:rPr>
          <w:rFonts w:ascii="Arial" w:cs="Arial" w:eastAsia="Arial" w:hAnsi="Arial"/>
          <w:sz w:val="19"/>
          <w:szCs w:val="19"/>
          <w:color w:val="auto"/>
        </w:rPr>
        <w:t>We have not experienced any material cybersecurity incidents in fiscal 2025, and as of the date of this Report, we have not identified any material risks from active cybersecurity threats, including as a result of any prior cybersecurity incidents. However, despite our security measures, there can be no assurance that our cybersecurity risk management processes described will be fully implemented, complied with or effective in protecting our systems and information. While we maintain insurance to mitigate potential losses from a cybersecurity incident, such insurance may be insufficient to cover all losses or all types of claims that may arise. See Item 1A. Risk Factors in this Report for a discussion of whether and how risks from identified cybersecurity threats have materially affected or, if realized, are reasonably likely to materially affect our business strategy, results of operations or financial condition.</w:t>
      </w:r>
    </w:p>
    <w:p>
      <w:pPr>
        <w:spacing w:after="0" w:line="15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Governance</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Management’s Role</w:t>
      </w:r>
    </w:p>
    <w:p>
      <w:pPr>
        <w:spacing w:after="0" w:line="191" w:lineRule="exact"/>
        <w:rPr>
          <w:sz w:val="20"/>
          <w:szCs w:val="20"/>
          <w:color w:val="auto"/>
        </w:rPr>
      </w:pPr>
    </w:p>
    <w:p>
      <w:pPr>
        <w:spacing w:after="0" w:line="246" w:lineRule="auto"/>
        <w:rPr>
          <w:sz w:val="20"/>
          <w:szCs w:val="20"/>
          <w:color w:val="auto"/>
        </w:rPr>
      </w:pPr>
      <w:r>
        <w:rPr>
          <w:rFonts w:ascii="Arial" w:cs="Arial" w:eastAsia="Arial" w:hAnsi="Arial"/>
          <w:sz w:val="19"/>
          <w:szCs w:val="19"/>
          <w:color w:val="auto"/>
        </w:rPr>
        <w:t>Management is responsible for implementing our cybersecurity program on an ongoing basis to identify, assess and manage cybersecurity risks. Our cybersecurity program is led by our Vice President of Information Systems with support from our Senior Manager of IT Security &amp; Compliance and various other team members. Our Vice President of Information Systems has over 25 years of industry experience, including more than 10 years as the leader of the Company’s technology function. On a bi -annual basis, or more frequently as needed, management informs the audit committee of material aspects of our cybersecurity program, including updates on key strategic and operational goals, assessments of cybersecurity risks, updates to any incidents, and the status of our ongoing investments in cybersecurity governance.</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Board Oversight</w:t>
      </w:r>
    </w:p>
    <w:p>
      <w:pPr>
        <w:spacing w:after="0" w:line="191" w:lineRule="exact"/>
        <w:rPr>
          <w:sz w:val="20"/>
          <w:szCs w:val="20"/>
          <w:color w:val="auto"/>
        </w:rPr>
      </w:pPr>
    </w:p>
    <w:p>
      <w:pPr>
        <w:spacing w:after="0" w:line="253" w:lineRule="auto"/>
        <w:rPr>
          <w:sz w:val="20"/>
          <w:szCs w:val="20"/>
          <w:color w:val="auto"/>
        </w:rPr>
      </w:pPr>
      <w:r>
        <w:rPr>
          <w:rFonts w:ascii="Arial" w:cs="Arial" w:eastAsia="Arial" w:hAnsi="Arial"/>
          <w:sz w:val="19"/>
          <w:szCs w:val="19"/>
          <w:color w:val="auto"/>
        </w:rPr>
        <w:t>Our board of directors considers cybersecurity risk as part of its risk oversight function. Our audit committee oversees management’s policies, programs and procedures related to cybersecurity risk management and reports to the board regarding these efforts. In addition, the audit committee receives briefings from management bi-annually, or more frequently as needed, on material aspects of our cybersecurity program</w:t>
      </w:r>
      <w:r>
        <w:rPr>
          <w:rFonts w:ascii="Arial" w:cs="Arial" w:eastAsia="Arial" w:hAnsi="Arial"/>
          <w:sz w:val="18"/>
          <w:szCs w:val="18"/>
          <w:color w:val="auto"/>
        </w:rPr>
        <w:t>.</w:t>
      </w:r>
    </w:p>
    <w:p>
      <w:pPr>
        <w:sectPr>
          <w:pgSz w:w="11880" w:h="15480" w:orient="portrait"/>
          <w:cols w:equalWidth="0" w:num="1">
            <w:col w:w="10800"/>
          </w:cols>
          <w:pgMar w:left="540" w:top="804" w:right="540" w:bottom="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880" w:h="15480" w:orient="portrait"/>
          <w:cols w:equalWidth="0" w:num="1">
            <w:col w:w="10800"/>
          </w:cols>
          <w:pgMar w:left="540" w:top="804" w:right="540" w:bottom="16" w:gutter="0" w:footer="0" w:header="0"/>
          <w:type w:val="continuous"/>
        </w:sectPr>
      </w:pPr>
    </w:p>
    <w:bookmarkStart w:id="20" w:name="page21"/>
    <w:bookmarkEnd w:id="20"/>
    <w:p>
      <w:pPr>
        <w:spacing w:after="0"/>
        <w:tabs>
          <w:tab w:leader="none" w:pos="1060" w:val="left"/>
        </w:tabs>
        <w:rPr>
          <w:sz w:val="20"/>
          <w:szCs w:val="20"/>
          <w:color w:val="auto"/>
        </w:rPr>
      </w:pPr>
      <w:r>
        <w:rPr>
          <w:rFonts w:ascii="Arial" w:cs="Arial" w:eastAsia="Arial" w:hAnsi="Arial"/>
          <w:sz w:val="19"/>
          <w:szCs w:val="19"/>
          <w:b w:val="1"/>
          <w:bCs w:val="1"/>
          <w:color w:val="auto"/>
        </w:rPr>
        <w:t>ITEM 2.</w:t>
      </w:r>
      <w:r>
        <w:rPr>
          <w:sz w:val="20"/>
          <w:szCs w:val="20"/>
          <w:color w:val="auto"/>
        </w:rPr>
        <w:tab/>
      </w:r>
      <w:r>
        <w:rPr>
          <w:rFonts w:ascii="Arial" w:cs="Arial" w:eastAsia="Arial" w:hAnsi="Arial"/>
          <w:sz w:val="18"/>
          <w:szCs w:val="18"/>
          <w:b w:val="1"/>
          <w:bCs w:val="1"/>
          <w:u w:val="single" w:color="auto"/>
          <w:color w:val="auto"/>
        </w:rPr>
        <w:t>PROPERTIES</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Store Locations</w:t>
      </w:r>
    </w:p>
    <w:p>
      <w:pPr>
        <w:spacing w:after="0" w:line="164" w:lineRule="exact"/>
        <w:rPr>
          <w:sz w:val="20"/>
          <w:szCs w:val="20"/>
          <w:color w:val="auto"/>
        </w:rPr>
      </w:pPr>
    </w:p>
    <w:p>
      <w:pPr>
        <w:ind w:right="240"/>
        <w:spacing w:after="0" w:line="281" w:lineRule="auto"/>
        <w:rPr>
          <w:sz w:val="20"/>
          <w:szCs w:val="20"/>
          <w:color w:val="auto"/>
        </w:rPr>
      </w:pPr>
      <w:r>
        <w:rPr>
          <w:rFonts w:ascii="Arial" w:cs="Arial" w:eastAsia="Arial" w:hAnsi="Arial"/>
          <w:sz w:val="19"/>
          <w:szCs w:val="19"/>
          <w:color w:val="auto"/>
        </w:rPr>
        <w:t>As of January 31, 2026, we operated 590 stores located in 33 states. Our stores average approximately 11,000 square feet of selling space and are typically located in outdoor community shopping centers that are convenient to Black customers.</w:t>
      </w:r>
    </w:p>
    <w:p>
      <w:pPr>
        <w:spacing w:after="0" w:line="85" w:lineRule="exact"/>
        <w:rPr>
          <w:sz w:val="20"/>
          <w:szCs w:val="20"/>
          <w:color w:val="auto"/>
        </w:rPr>
      </w:pPr>
    </w:p>
    <w:p>
      <w:pPr>
        <w:ind w:right="60"/>
        <w:spacing w:after="0" w:line="250" w:lineRule="auto"/>
        <w:rPr>
          <w:sz w:val="20"/>
          <w:szCs w:val="20"/>
          <w:color w:val="auto"/>
        </w:rPr>
      </w:pPr>
      <w:r>
        <w:rPr>
          <w:rFonts w:ascii="Arial" w:cs="Arial" w:eastAsia="Arial" w:hAnsi="Arial"/>
          <w:sz w:val="19"/>
          <w:szCs w:val="19"/>
          <w:color w:val="auto"/>
        </w:rPr>
        <w:t>We have no franchising relationships, and all of the stores are company operated. All existing 590 stores, totaling 7.9 million total square feet and 6.5 million selling square feet, are leased under operating leases. The typical store lease is for five years with options to extend the lease term for three additional five-year periods. Nearly all store leases provide us the right to cancel following an initial three -year period in the event the store does not meet pre-determined sales levels. The table below sets forth the number of stores in each of the 33 states in which we operated as of January 31, 2026:</w:t>
      </w:r>
    </w:p>
    <w:p>
      <w:pPr>
        <w:spacing w:after="0" w:line="153" w:lineRule="exact"/>
        <w:rPr>
          <w:sz w:val="20"/>
          <w:szCs w:val="20"/>
          <w:color w:val="auto"/>
        </w:rPr>
      </w:pPr>
    </w:p>
    <w:tbl>
      <w:tblPr>
        <w:tblLayout w:type="fixed"/>
        <w:tblInd w:w="280" w:type="dxa"/>
        <w:tblCellMar>
          <w:top w:w="0" w:type="dxa"/>
          <w:left w:w="0" w:type="dxa"/>
          <w:bottom w:w="0" w:type="dxa"/>
          <w:right w:w="0" w:type="dxa"/>
        </w:tblCellMar>
      </w:tblPr>
      <w:tr>
        <w:trPr>
          <w:trHeight w:val="218"/>
        </w:trPr>
        <w:tc>
          <w:tcPr>
            <w:tcW w:w="1580" w:type="dxa"/>
            <w:vAlign w:val="bottom"/>
            <w:shd w:val="clear" w:color="auto" w:fill="D1EDF4"/>
          </w:tcPr>
          <w:p>
            <w:pPr>
              <w:spacing w:after="0"/>
              <w:rPr>
                <w:sz w:val="20"/>
                <w:szCs w:val="20"/>
                <w:color w:val="auto"/>
              </w:rPr>
            </w:pPr>
            <w:r>
              <w:rPr>
                <w:rFonts w:ascii="Arial" w:cs="Arial" w:eastAsia="Arial" w:hAnsi="Arial"/>
                <w:sz w:val="19"/>
                <w:szCs w:val="19"/>
                <w:color w:val="auto"/>
              </w:rPr>
              <w:t>Alabama</w:t>
            </w:r>
          </w:p>
        </w:tc>
        <w:tc>
          <w:tcPr>
            <w:tcW w:w="580" w:type="dxa"/>
            <w:vAlign w:val="bottom"/>
            <w:shd w:val="clear" w:color="auto" w:fill="D1EDF4"/>
          </w:tcPr>
          <w:p>
            <w:pPr>
              <w:jc w:val="right"/>
              <w:spacing w:after="0"/>
              <w:rPr>
                <w:sz w:val="20"/>
                <w:szCs w:val="20"/>
                <w:color w:val="auto"/>
              </w:rPr>
            </w:pPr>
            <w:r>
              <w:rPr>
                <w:rFonts w:ascii="Arial" w:cs="Arial" w:eastAsia="Arial" w:hAnsi="Arial"/>
                <w:sz w:val="19"/>
                <w:szCs w:val="19"/>
                <w:color w:val="auto"/>
              </w:rPr>
              <w:t>35</w:t>
            </w:r>
          </w:p>
        </w:tc>
      </w:tr>
      <w:tr>
        <w:trPr>
          <w:trHeight w:val="220"/>
        </w:trPr>
        <w:tc>
          <w:tcPr>
            <w:tcW w:w="1580" w:type="dxa"/>
            <w:vAlign w:val="bottom"/>
          </w:tcPr>
          <w:p>
            <w:pPr>
              <w:spacing w:after="0"/>
              <w:rPr>
                <w:sz w:val="20"/>
                <w:szCs w:val="20"/>
                <w:color w:val="auto"/>
              </w:rPr>
            </w:pPr>
            <w:r>
              <w:rPr>
                <w:rFonts w:ascii="Arial" w:cs="Arial" w:eastAsia="Arial" w:hAnsi="Arial"/>
                <w:sz w:val="19"/>
                <w:szCs w:val="19"/>
                <w:color w:val="auto"/>
              </w:rPr>
              <w:t>Arkansas</w:t>
            </w:r>
          </w:p>
        </w:tc>
        <w:tc>
          <w:tcPr>
            <w:tcW w:w="580" w:type="dxa"/>
            <w:vAlign w:val="bottom"/>
          </w:tcPr>
          <w:p>
            <w:pPr>
              <w:jc w:val="right"/>
              <w:spacing w:after="0"/>
              <w:rPr>
                <w:sz w:val="20"/>
                <w:szCs w:val="20"/>
                <w:color w:val="auto"/>
              </w:rPr>
            </w:pPr>
            <w:r>
              <w:rPr>
                <w:rFonts w:ascii="Arial" w:cs="Arial" w:eastAsia="Arial" w:hAnsi="Arial"/>
                <w:sz w:val="19"/>
                <w:szCs w:val="19"/>
                <w:color w:val="auto"/>
              </w:rPr>
              <w:t>15</w:t>
            </w:r>
          </w:p>
        </w:tc>
      </w:tr>
      <w:tr>
        <w:trPr>
          <w:trHeight w:val="220"/>
        </w:trPr>
        <w:tc>
          <w:tcPr>
            <w:tcW w:w="1580" w:type="dxa"/>
            <w:vAlign w:val="bottom"/>
            <w:shd w:val="clear" w:color="auto" w:fill="D1EDF4"/>
          </w:tcPr>
          <w:p>
            <w:pPr>
              <w:spacing w:after="0"/>
              <w:rPr>
                <w:sz w:val="20"/>
                <w:szCs w:val="20"/>
                <w:color w:val="auto"/>
              </w:rPr>
            </w:pPr>
            <w:r>
              <w:rPr>
                <w:rFonts w:ascii="Arial" w:cs="Arial" w:eastAsia="Arial" w:hAnsi="Arial"/>
                <w:sz w:val="19"/>
                <w:szCs w:val="19"/>
                <w:color w:val="auto"/>
              </w:rPr>
              <w:t>California</w:t>
            </w:r>
          </w:p>
        </w:tc>
        <w:tc>
          <w:tcPr>
            <w:tcW w:w="580" w:type="dxa"/>
            <w:vAlign w:val="bottom"/>
            <w:shd w:val="clear" w:color="auto" w:fill="D1EDF4"/>
          </w:tcPr>
          <w:p>
            <w:pPr>
              <w:jc w:val="right"/>
              <w:spacing w:after="0"/>
              <w:rPr>
                <w:sz w:val="20"/>
                <w:szCs w:val="20"/>
                <w:color w:val="auto"/>
              </w:rPr>
            </w:pPr>
            <w:r>
              <w:rPr>
                <w:rFonts w:ascii="Arial" w:cs="Arial" w:eastAsia="Arial" w:hAnsi="Arial"/>
                <w:sz w:val="19"/>
                <w:szCs w:val="19"/>
                <w:color w:val="auto"/>
              </w:rPr>
              <w:t>6</w:t>
            </w:r>
          </w:p>
        </w:tc>
      </w:tr>
      <w:tr>
        <w:trPr>
          <w:trHeight w:val="220"/>
        </w:trPr>
        <w:tc>
          <w:tcPr>
            <w:tcW w:w="1580" w:type="dxa"/>
            <w:vAlign w:val="bottom"/>
          </w:tcPr>
          <w:p>
            <w:pPr>
              <w:spacing w:after="0"/>
              <w:rPr>
                <w:sz w:val="20"/>
                <w:szCs w:val="20"/>
                <w:color w:val="auto"/>
              </w:rPr>
            </w:pPr>
            <w:r>
              <w:rPr>
                <w:rFonts w:ascii="Arial" w:cs="Arial" w:eastAsia="Arial" w:hAnsi="Arial"/>
                <w:sz w:val="19"/>
                <w:szCs w:val="19"/>
                <w:color w:val="auto"/>
              </w:rPr>
              <w:t>Connecticut</w:t>
            </w:r>
          </w:p>
        </w:tc>
        <w:tc>
          <w:tcPr>
            <w:tcW w:w="580" w:type="dxa"/>
            <w:vAlign w:val="bottom"/>
          </w:tcPr>
          <w:p>
            <w:pPr>
              <w:jc w:val="right"/>
              <w:spacing w:after="0"/>
              <w:rPr>
                <w:sz w:val="20"/>
                <w:szCs w:val="20"/>
                <w:color w:val="auto"/>
              </w:rPr>
            </w:pPr>
            <w:r>
              <w:rPr>
                <w:rFonts w:ascii="Arial" w:cs="Arial" w:eastAsia="Arial" w:hAnsi="Arial"/>
                <w:sz w:val="19"/>
                <w:szCs w:val="19"/>
                <w:color w:val="auto"/>
              </w:rPr>
              <w:t>5</w:t>
            </w:r>
          </w:p>
        </w:tc>
      </w:tr>
      <w:tr>
        <w:trPr>
          <w:trHeight w:val="220"/>
        </w:trPr>
        <w:tc>
          <w:tcPr>
            <w:tcW w:w="1580" w:type="dxa"/>
            <w:vAlign w:val="bottom"/>
            <w:shd w:val="clear" w:color="auto" w:fill="D1EDF4"/>
          </w:tcPr>
          <w:p>
            <w:pPr>
              <w:spacing w:after="0"/>
              <w:rPr>
                <w:sz w:val="20"/>
                <w:szCs w:val="20"/>
                <w:color w:val="auto"/>
              </w:rPr>
            </w:pPr>
            <w:r>
              <w:rPr>
                <w:rFonts w:ascii="Arial" w:cs="Arial" w:eastAsia="Arial" w:hAnsi="Arial"/>
                <w:sz w:val="19"/>
                <w:szCs w:val="19"/>
                <w:color w:val="auto"/>
              </w:rPr>
              <w:t>Delaware</w:t>
            </w:r>
          </w:p>
        </w:tc>
        <w:tc>
          <w:tcPr>
            <w:tcW w:w="580" w:type="dxa"/>
            <w:vAlign w:val="bottom"/>
            <w:shd w:val="clear" w:color="auto" w:fill="D1EDF4"/>
          </w:tcPr>
          <w:p>
            <w:pPr>
              <w:jc w:val="right"/>
              <w:spacing w:after="0"/>
              <w:rPr>
                <w:sz w:val="20"/>
                <w:szCs w:val="20"/>
                <w:color w:val="auto"/>
              </w:rPr>
            </w:pPr>
            <w:r>
              <w:rPr>
                <w:rFonts w:ascii="Arial" w:cs="Arial" w:eastAsia="Arial" w:hAnsi="Arial"/>
                <w:sz w:val="19"/>
                <w:szCs w:val="19"/>
                <w:color w:val="auto"/>
              </w:rPr>
              <w:t>3</w:t>
            </w:r>
          </w:p>
        </w:tc>
      </w:tr>
      <w:tr>
        <w:trPr>
          <w:trHeight w:val="220"/>
        </w:trPr>
        <w:tc>
          <w:tcPr>
            <w:tcW w:w="1580" w:type="dxa"/>
            <w:vAlign w:val="bottom"/>
          </w:tcPr>
          <w:p>
            <w:pPr>
              <w:spacing w:after="0"/>
              <w:rPr>
                <w:sz w:val="20"/>
                <w:szCs w:val="20"/>
                <w:color w:val="auto"/>
              </w:rPr>
            </w:pPr>
            <w:r>
              <w:rPr>
                <w:rFonts w:ascii="Arial" w:cs="Arial" w:eastAsia="Arial" w:hAnsi="Arial"/>
                <w:sz w:val="19"/>
                <w:szCs w:val="19"/>
                <w:color w:val="auto"/>
              </w:rPr>
              <w:t>Florida</w:t>
            </w:r>
          </w:p>
        </w:tc>
        <w:tc>
          <w:tcPr>
            <w:tcW w:w="580" w:type="dxa"/>
            <w:vAlign w:val="bottom"/>
          </w:tcPr>
          <w:p>
            <w:pPr>
              <w:jc w:val="right"/>
              <w:spacing w:after="0"/>
              <w:rPr>
                <w:sz w:val="20"/>
                <w:szCs w:val="20"/>
                <w:color w:val="auto"/>
              </w:rPr>
            </w:pPr>
            <w:r>
              <w:rPr>
                <w:rFonts w:ascii="Arial" w:cs="Arial" w:eastAsia="Arial" w:hAnsi="Arial"/>
                <w:sz w:val="19"/>
                <w:szCs w:val="19"/>
                <w:color w:val="auto"/>
              </w:rPr>
              <w:t>51</w:t>
            </w:r>
          </w:p>
        </w:tc>
      </w:tr>
      <w:tr>
        <w:trPr>
          <w:trHeight w:val="220"/>
        </w:trPr>
        <w:tc>
          <w:tcPr>
            <w:tcW w:w="1580" w:type="dxa"/>
            <w:vAlign w:val="bottom"/>
            <w:shd w:val="clear" w:color="auto" w:fill="D1EDF4"/>
          </w:tcPr>
          <w:p>
            <w:pPr>
              <w:spacing w:after="0"/>
              <w:rPr>
                <w:sz w:val="20"/>
                <w:szCs w:val="20"/>
                <w:color w:val="auto"/>
              </w:rPr>
            </w:pPr>
            <w:r>
              <w:rPr>
                <w:rFonts w:ascii="Arial" w:cs="Arial" w:eastAsia="Arial" w:hAnsi="Arial"/>
                <w:sz w:val="19"/>
                <w:szCs w:val="19"/>
                <w:color w:val="auto"/>
              </w:rPr>
              <w:t>Georgia</w:t>
            </w:r>
          </w:p>
        </w:tc>
        <w:tc>
          <w:tcPr>
            <w:tcW w:w="580" w:type="dxa"/>
            <w:vAlign w:val="bottom"/>
            <w:shd w:val="clear" w:color="auto" w:fill="D1EDF4"/>
          </w:tcPr>
          <w:p>
            <w:pPr>
              <w:jc w:val="right"/>
              <w:spacing w:after="0"/>
              <w:rPr>
                <w:sz w:val="20"/>
                <w:szCs w:val="20"/>
                <w:color w:val="auto"/>
              </w:rPr>
            </w:pPr>
            <w:r>
              <w:rPr>
                <w:rFonts w:ascii="Arial" w:cs="Arial" w:eastAsia="Arial" w:hAnsi="Arial"/>
                <w:sz w:val="19"/>
                <w:szCs w:val="19"/>
                <w:color w:val="auto"/>
              </w:rPr>
              <w:t>61</w:t>
            </w:r>
          </w:p>
        </w:tc>
      </w:tr>
      <w:tr>
        <w:trPr>
          <w:trHeight w:val="220"/>
        </w:trPr>
        <w:tc>
          <w:tcPr>
            <w:tcW w:w="1580" w:type="dxa"/>
            <w:vAlign w:val="bottom"/>
          </w:tcPr>
          <w:p>
            <w:pPr>
              <w:spacing w:after="0"/>
              <w:rPr>
                <w:sz w:val="20"/>
                <w:szCs w:val="20"/>
                <w:color w:val="auto"/>
              </w:rPr>
            </w:pPr>
            <w:r>
              <w:rPr>
                <w:rFonts w:ascii="Arial" w:cs="Arial" w:eastAsia="Arial" w:hAnsi="Arial"/>
                <w:sz w:val="19"/>
                <w:szCs w:val="19"/>
                <w:color w:val="auto"/>
              </w:rPr>
              <w:t>Illinois</w:t>
            </w:r>
          </w:p>
        </w:tc>
        <w:tc>
          <w:tcPr>
            <w:tcW w:w="580" w:type="dxa"/>
            <w:vAlign w:val="bottom"/>
          </w:tcPr>
          <w:p>
            <w:pPr>
              <w:jc w:val="right"/>
              <w:spacing w:after="0"/>
              <w:rPr>
                <w:sz w:val="20"/>
                <w:szCs w:val="20"/>
                <w:color w:val="auto"/>
              </w:rPr>
            </w:pPr>
            <w:r>
              <w:rPr>
                <w:rFonts w:ascii="Arial" w:cs="Arial" w:eastAsia="Arial" w:hAnsi="Arial"/>
                <w:sz w:val="19"/>
                <w:szCs w:val="19"/>
                <w:color w:val="auto"/>
              </w:rPr>
              <w:t>25</w:t>
            </w:r>
          </w:p>
        </w:tc>
      </w:tr>
      <w:tr>
        <w:trPr>
          <w:trHeight w:val="220"/>
        </w:trPr>
        <w:tc>
          <w:tcPr>
            <w:tcW w:w="1580" w:type="dxa"/>
            <w:vAlign w:val="bottom"/>
            <w:shd w:val="clear" w:color="auto" w:fill="D1EDF4"/>
          </w:tcPr>
          <w:p>
            <w:pPr>
              <w:spacing w:after="0"/>
              <w:rPr>
                <w:sz w:val="20"/>
                <w:szCs w:val="20"/>
                <w:color w:val="auto"/>
              </w:rPr>
            </w:pPr>
            <w:r>
              <w:rPr>
                <w:rFonts w:ascii="Arial" w:cs="Arial" w:eastAsia="Arial" w:hAnsi="Arial"/>
                <w:sz w:val="19"/>
                <w:szCs w:val="19"/>
                <w:color w:val="auto"/>
              </w:rPr>
              <w:t>Indiana</w:t>
            </w:r>
          </w:p>
        </w:tc>
        <w:tc>
          <w:tcPr>
            <w:tcW w:w="580" w:type="dxa"/>
            <w:vAlign w:val="bottom"/>
            <w:shd w:val="clear" w:color="auto" w:fill="D1EDF4"/>
          </w:tcPr>
          <w:p>
            <w:pPr>
              <w:jc w:val="right"/>
              <w:spacing w:after="0"/>
              <w:rPr>
                <w:sz w:val="20"/>
                <w:szCs w:val="20"/>
                <w:color w:val="auto"/>
              </w:rPr>
            </w:pPr>
            <w:r>
              <w:rPr>
                <w:rFonts w:ascii="Arial" w:cs="Arial" w:eastAsia="Arial" w:hAnsi="Arial"/>
                <w:sz w:val="19"/>
                <w:szCs w:val="19"/>
                <w:color w:val="auto"/>
              </w:rPr>
              <w:t>18</w:t>
            </w:r>
          </w:p>
        </w:tc>
      </w:tr>
      <w:tr>
        <w:trPr>
          <w:trHeight w:val="220"/>
        </w:trPr>
        <w:tc>
          <w:tcPr>
            <w:tcW w:w="1580" w:type="dxa"/>
            <w:vAlign w:val="bottom"/>
          </w:tcPr>
          <w:p>
            <w:pPr>
              <w:spacing w:after="0"/>
              <w:rPr>
                <w:sz w:val="20"/>
                <w:szCs w:val="20"/>
                <w:color w:val="auto"/>
              </w:rPr>
            </w:pPr>
            <w:r>
              <w:rPr>
                <w:rFonts w:ascii="Arial" w:cs="Arial" w:eastAsia="Arial" w:hAnsi="Arial"/>
                <w:sz w:val="19"/>
                <w:szCs w:val="19"/>
                <w:color w:val="auto"/>
              </w:rPr>
              <w:t>Iowa</w:t>
            </w:r>
          </w:p>
        </w:tc>
        <w:tc>
          <w:tcPr>
            <w:tcW w:w="580" w:type="dxa"/>
            <w:vAlign w:val="bottom"/>
          </w:tcPr>
          <w:p>
            <w:pPr>
              <w:jc w:val="right"/>
              <w:spacing w:after="0"/>
              <w:rPr>
                <w:sz w:val="20"/>
                <w:szCs w:val="20"/>
                <w:color w:val="auto"/>
              </w:rPr>
            </w:pPr>
            <w:r>
              <w:rPr>
                <w:rFonts w:ascii="Arial" w:cs="Arial" w:eastAsia="Arial" w:hAnsi="Arial"/>
                <w:sz w:val="19"/>
                <w:szCs w:val="19"/>
                <w:color w:val="auto"/>
              </w:rPr>
              <w:t>3</w:t>
            </w:r>
          </w:p>
        </w:tc>
      </w:tr>
      <w:tr>
        <w:trPr>
          <w:trHeight w:val="218"/>
        </w:trPr>
        <w:tc>
          <w:tcPr>
            <w:tcW w:w="1580" w:type="dxa"/>
            <w:vAlign w:val="bottom"/>
            <w:shd w:val="clear" w:color="auto" w:fill="D1EDF4"/>
          </w:tcPr>
          <w:p>
            <w:pPr>
              <w:spacing w:after="0"/>
              <w:rPr>
                <w:sz w:val="20"/>
                <w:szCs w:val="20"/>
                <w:color w:val="auto"/>
              </w:rPr>
            </w:pPr>
            <w:r>
              <w:rPr>
                <w:rFonts w:ascii="Arial" w:cs="Arial" w:eastAsia="Arial" w:hAnsi="Arial"/>
                <w:sz w:val="19"/>
                <w:szCs w:val="19"/>
                <w:color w:val="auto"/>
              </w:rPr>
              <w:t>Kansas</w:t>
            </w:r>
          </w:p>
        </w:tc>
        <w:tc>
          <w:tcPr>
            <w:tcW w:w="580" w:type="dxa"/>
            <w:vAlign w:val="bottom"/>
            <w:shd w:val="clear" w:color="auto" w:fill="D1EDF4"/>
          </w:tcPr>
          <w:p>
            <w:pPr>
              <w:jc w:val="right"/>
              <w:spacing w:after="0"/>
              <w:rPr>
                <w:sz w:val="20"/>
                <w:szCs w:val="20"/>
                <w:color w:val="auto"/>
              </w:rPr>
            </w:pPr>
            <w:r>
              <w:rPr>
                <w:rFonts w:ascii="Arial" w:cs="Arial" w:eastAsia="Arial" w:hAnsi="Arial"/>
                <w:sz w:val="19"/>
                <w:szCs w:val="19"/>
                <w:color w:val="auto"/>
              </w:rPr>
              <w:t>2</w:t>
            </w:r>
          </w:p>
        </w:tc>
      </w:tr>
      <w:tr>
        <w:trPr>
          <w:trHeight w:val="220"/>
        </w:trPr>
        <w:tc>
          <w:tcPr>
            <w:tcW w:w="1580" w:type="dxa"/>
            <w:vAlign w:val="bottom"/>
          </w:tcPr>
          <w:p>
            <w:pPr>
              <w:spacing w:after="0"/>
              <w:rPr>
                <w:sz w:val="20"/>
                <w:szCs w:val="20"/>
                <w:color w:val="auto"/>
              </w:rPr>
            </w:pPr>
            <w:r>
              <w:rPr>
                <w:rFonts w:ascii="Arial" w:cs="Arial" w:eastAsia="Arial" w:hAnsi="Arial"/>
                <w:sz w:val="19"/>
                <w:szCs w:val="19"/>
                <w:color w:val="auto"/>
              </w:rPr>
              <w:t>Kentucky</w:t>
            </w:r>
          </w:p>
        </w:tc>
        <w:tc>
          <w:tcPr>
            <w:tcW w:w="580" w:type="dxa"/>
            <w:vAlign w:val="bottom"/>
          </w:tcPr>
          <w:p>
            <w:pPr>
              <w:jc w:val="right"/>
              <w:spacing w:after="0"/>
              <w:rPr>
                <w:sz w:val="20"/>
                <w:szCs w:val="20"/>
                <w:color w:val="auto"/>
              </w:rPr>
            </w:pPr>
            <w:r>
              <w:rPr>
                <w:rFonts w:ascii="Arial" w:cs="Arial" w:eastAsia="Arial" w:hAnsi="Arial"/>
                <w:sz w:val="19"/>
                <w:szCs w:val="19"/>
                <w:color w:val="auto"/>
              </w:rPr>
              <w:t>7</w:t>
            </w:r>
          </w:p>
        </w:tc>
      </w:tr>
      <w:tr>
        <w:trPr>
          <w:trHeight w:val="220"/>
        </w:trPr>
        <w:tc>
          <w:tcPr>
            <w:tcW w:w="1580" w:type="dxa"/>
            <w:vAlign w:val="bottom"/>
            <w:shd w:val="clear" w:color="auto" w:fill="D1EDF4"/>
          </w:tcPr>
          <w:p>
            <w:pPr>
              <w:spacing w:after="0"/>
              <w:rPr>
                <w:sz w:val="20"/>
                <w:szCs w:val="20"/>
                <w:color w:val="auto"/>
              </w:rPr>
            </w:pPr>
            <w:r>
              <w:rPr>
                <w:rFonts w:ascii="Arial" w:cs="Arial" w:eastAsia="Arial" w:hAnsi="Arial"/>
                <w:sz w:val="19"/>
                <w:szCs w:val="19"/>
                <w:color w:val="auto"/>
              </w:rPr>
              <w:t>Louisiana</w:t>
            </w:r>
          </w:p>
        </w:tc>
        <w:tc>
          <w:tcPr>
            <w:tcW w:w="580" w:type="dxa"/>
            <w:vAlign w:val="bottom"/>
            <w:shd w:val="clear" w:color="auto" w:fill="D1EDF4"/>
          </w:tcPr>
          <w:p>
            <w:pPr>
              <w:jc w:val="right"/>
              <w:spacing w:after="0"/>
              <w:rPr>
                <w:sz w:val="20"/>
                <w:szCs w:val="20"/>
                <w:color w:val="auto"/>
              </w:rPr>
            </w:pPr>
            <w:r>
              <w:rPr>
                <w:rFonts w:ascii="Arial" w:cs="Arial" w:eastAsia="Arial" w:hAnsi="Arial"/>
                <w:sz w:val="19"/>
                <w:szCs w:val="19"/>
                <w:color w:val="auto"/>
              </w:rPr>
              <w:t>34</w:t>
            </w:r>
          </w:p>
        </w:tc>
      </w:tr>
      <w:tr>
        <w:trPr>
          <w:trHeight w:val="220"/>
        </w:trPr>
        <w:tc>
          <w:tcPr>
            <w:tcW w:w="1580" w:type="dxa"/>
            <w:vAlign w:val="bottom"/>
          </w:tcPr>
          <w:p>
            <w:pPr>
              <w:spacing w:after="0"/>
              <w:rPr>
                <w:sz w:val="20"/>
                <w:szCs w:val="20"/>
                <w:color w:val="auto"/>
              </w:rPr>
            </w:pPr>
            <w:r>
              <w:rPr>
                <w:rFonts w:ascii="Arial" w:cs="Arial" w:eastAsia="Arial" w:hAnsi="Arial"/>
                <w:sz w:val="19"/>
                <w:szCs w:val="19"/>
                <w:color w:val="auto"/>
              </w:rPr>
              <w:t>Maryland</w:t>
            </w:r>
          </w:p>
        </w:tc>
        <w:tc>
          <w:tcPr>
            <w:tcW w:w="580" w:type="dxa"/>
            <w:vAlign w:val="bottom"/>
          </w:tcPr>
          <w:p>
            <w:pPr>
              <w:jc w:val="right"/>
              <w:spacing w:after="0"/>
              <w:rPr>
                <w:sz w:val="20"/>
                <w:szCs w:val="20"/>
                <w:color w:val="auto"/>
              </w:rPr>
            </w:pPr>
            <w:r>
              <w:rPr>
                <w:rFonts w:ascii="Arial" w:cs="Arial" w:eastAsia="Arial" w:hAnsi="Arial"/>
                <w:sz w:val="19"/>
                <w:szCs w:val="19"/>
                <w:color w:val="auto"/>
              </w:rPr>
              <w:t>9</w:t>
            </w:r>
          </w:p>
        </w:tc>
      </w:tr>
      <w:tr>
        <w:trPr>
          <w:trHeight w:val="220"/>
        </w:trPr>
        <w:tc>
          <w:tcPr>
            <w:tcW w:w="1580" w:type="dxa"/>
            <w:vAlign w:val="bottom"/>
            <w:shd w:val="clear" w:color="auto" w:fill="D1EDF4"/>
          </w:tcPr>
          <w:p>
            <w:pPr>
              <w:spacing w:after="0"/>
              <w:rPr>
                <w:sz w:val="20"/>
                <w:szCs w:val="20"/>
                <w:color w:val="auto"/>
              </w:rPr>
            </w:pPr>
            <w:r>
              <w:rPr>
                <w:rFonts w:ascii="Arial" w:cs="Arial" w:eastAsia="Arial" w:hAnsi="Arial"/>
                <w:sz w:val="19"/>
                <w:szCs w:val="19"/>
                <w:color w:val="auto"/>
              </w:rPr>
              <w:t>Massachusetts</w:t>
            </w:r>
          </w:p>
        </w:tc>
        <w:tc>
          <w:tcPr>
            <w:tcW w:w="580" w:type="dxa"/>
            <w:vAlign w:val="bottom"/>
            <w:shd w:val="clear" w:color="auto" w:fill="D1EDF4"/>
          </w:tcPr>
          <w:p>
            <w:pPr>
              <w:jc w:val="right"/>
              <w:spacing w:after="0"/>
              <w:rPr>
                <w:sz w:val="20"/>
                <w:szCs w:val="20"/>
                <w:color w:val="auto"/>
              </w:rPr>
            </w:pPr>
            <w:r>
              <w:rPr>
                <w:rFonts w:ascii="Arial" w:cs="Arial" w:eastAsia="Arial" w:hAnsi="Arial"/>
                <w:sz w:val="19"/>
                <w:szCs w:val="19"/>
                <w:color w:val="auto"/>
              </w:rPr>
              <w:t>5</w:t>
            </w:r>
          </w:p>
        </w:tc>
      </w:tr>
      <w:tr>
        <w:trPr>
          <w:trHeight w:val="220"/>
        </w:trPr>
        <w:tc>
          <w:tcPr>
            <w:tcW w:w="1580" w:type="dxa"/>
            <w:vAlign w:val="bottom"/>
          </w:tcPr>
          <w:p>
            <w:pPr>
              <w:spacing w:after="0"/>
              <w:rPr>
                <w:sz w:val="20"/>
                <w:szCs w:val="20"/>
                <w:color w:val="auto"/>
              </w:rPr>
            </w:pPr>
            <w:r>
              <w:rPr>
                <w:rFonts w:ascii="Arial" w:cs="Arial" w:eastAsia="Arial" w:hAnsi="Arial"/>
                <w:sz w:val="19"/>
                <w:szCs w:val="19"/>
                <w:color w:val="auto"/>
              </w:rPr>
              <w:t>Michigan</w:t>
            </w:r>
          </w:p>
        </w:tc>
        <w:tc>
          <w:tcPr>
            <w:tcW w:w="580" w:type="dxa"/>
            <w:vAlign w:val="bottom"/>
          </w:tcPr>
          <w:p>
            <w:pPr>
              <w:jc w:val="right"/>
              <w:spacing w:after="0"/>
              <w:rPr>
                <w:sz w:val="20"/>
                <w:szCs w:val="20"/>
                <w:color w:val="auto"/>
              </w:rPr>
            </w:pPr>
            <w:r>
              <w:rPr>
                <w:rFonts w:ascii="Arial" w:cs="Arial" w:eastAsia="Arial" w:hAnsi="Arial"/>
                <w:sz w:val="19"/>
                <w:szCs w:val="19"/>
                <w:color w:val="auto"/>
              </w:rPr>
              <w:t>23</w:t>
            </w:r>
          </w:p>
        </w:tc>
      </w:tr>
      <w:tr>
        <w:trPr>
          <w:trHeight w:val="220"/>
        </w:trPr>
        <w:tc>
          <w:tcPr>
            <w:tcW w:w="1580" w:type="dxa"/>
            <w:vAlign w:val="bottom"/>
            <w:shd w:val="clear" w:color="auto" w:fill="D1EDF4"/>
          </w:tcPr>
          <w:p>
            <w:pPr>
              <w:spacing w:after="0"/>
              <w:rPr>
                <w:sz w:val="20"/>
                <w:szCs w:val="20"/>
                <w:color w:val="auto"/>
              </w:rPr>
            </w:pPr>
            <w:r>
              <w:rPr>
                <w:rFonts w:ascii="Arial" w:cs="Arial" w:eastAsia="Arial" w:hAnsi="Arial"/>
                <w:sz w:val="19"/>
                <w:szCs w:val="19"/>
                <w:color w:val="auto"/>
              </w:rPr>
              <w:t>Minnesota</w:t>
            </w:r>
          </w:p>
        </w:tc>
        <w:tc>
          <w:tcPr>
            <w:tcW w:w="580" w:type="dxa"/>
            <w:vAlign w:val="bottom"/>
            <w:shd w:val="clear" w:color="auto" w:fill="D1EDF4"/>
          </w:tcPr>
          <w:p>
            <w:pPr>
              <w:jc w:val="right"/>
              <w:spacing w:after="0"/>
              <w:rPr>
                <w:sz w:val="20"/>
                <w:szCs w:val="20"/>
                <w:color w:val="auto"/>
              </w:rPr>
            </w:pPr>
            <w:r>
              <w:rPr>
                <w:rFonts w:ascii="Arial" w:cs="Arial" w:eastAsia="Arial" w:hAnsi="Arial"/>
                <w:sz w:val="19"/>
                <w:szCs w:val="19"/>
                <w:color w:val="auto"/>
              </w:rPr>
              <w:t>2</w:t>
            </w:r>
          </w:p>
        </w:tc>
      </w:tr>
      <w:tr>
        <w:trPr>
          <w:trHeight w:val="220"/>
        </w:trPr>
        <w:tc>
          <w:tcPr>
            <w:tcW w:w="1580" w:type="dxa"/>
            <w:vAlign w:val="bottom"/>
          </w:tcPr>
          <w:p>
            <w:pPr>
              <w:spacing w:after="0"/>
              <w:rPr>
                <w:sz w:val="20"/>
                <w:szCs w:val="20"/>
                <w:color w:val="auto"/>
              </w:rPr>
            </w:pPr>
            <w:r>
              <w:rPr>
                <w:rFonts w:ascii="Arial" w:cs="Arial" w:eastAsia="Arial" w:hAnsi="Arial"/>
                <w:sz w:val="19"/>
                <w:szCs w:val="19"/>
                <w:color w:val="auto"/>
              </w:rPr>
              <w:t>Mississippi</w:t>
            </w:r>
          </w:p>
        </w:tc>
        <w:tc>
          <w:tcPr>
            <w:tcW w:w="580" w:type="dxa"/>
            <w:vAlign w:val="bottom"/>
          </w:tcPr>
          <w:p>
            <w:pPr>
              <w:jc w:val="right"/>
              <w:spacing w:after="0"/>
              <w:rPr>
                <w:sz w:val="20"/>
                <w:szCs w:val="20"/>
                <w:color w:val="auto"/>
              </w:rPr>
            </w:pPr>
            <w:r>
              <w:rPr>
                <w:rFonts w:ascii="Arial" w:cs="Arial" w:eastAsia="Arial" w:hAnsi="Arial"/>
                <w:sz w:val="19"/>
                <w:szCs w:val="19"/>
                <w:color w:val="auto"/>
              </w:rPr>
              <w:t>30</w:t>
            </w:r>
          </w:p>
        </w:tc>
      </w:tr>
      <w:tr>
        <w:trPr>
          <w:trHeight w:val="220"/>
        </w:trPr>
        <w:tc>
          <w:tcPr>
            <w:tcW w:w="1580" w:type="dxa"/>
            <w:vAlign w:val="bottom"/>
            <w:shd w:val="clear" w:color="auto" w:fill="D1EDF4"/>
          </w:tcPr>
          <w:p>
            <w:pPr>
              <w:spacing w:after="0"/>
              <w:rPr>
                <w:sz w:val="20"/>
                <w:szCs w:val="20"/>
                <w:color w:val="auto"/>
              </w:rPr>
            </w:pPr>
            <w:r>
              <w:rPr>
                <w:rFonts w:ascii="Arial" w:cs="Arial" w:eastAsia="Arial" w:hAnsi="Arial"/>
                <w:sz w:val="19"/>
                <w:szCs w:val="19"/>
                <w:color w:val="auto"/>
              </w:rPr>
              <w:t>Missouri</w:t>
            </w:r>
          </w:p>
        </w:tc>
        <w:tc>
          <w:tcPr>
            <w:tcW w:w="580" w:type="dxa"/>
            <w:vAlign w:val="bottom"/>
            <w:shd w:val="clear" w:color="auto" w:fill="D1EDF4"/>
          </w:tcPr>
          <w:p>
            <w:pPr>
              <w:jc w:val="right"/>
              <w:spacing w:after="0"/>
              <w:rPr>
                <w:sz w:val="20"/>
                <w:szCs w:val="20"/>
                <w:color w:val="auto"/>
              </w:rPr>
            </w:pPr>
            <w:r>
              <w:rPr>
                <w:rFonts w:ascii="Arial" w:cs="Arial" w:eastAsia="Arial" w:hAnsi="Arial"/>
                <w:sz w:val="19"/>
                <w:szCs w:val="19"/>
                <w:color w:val="auto"/>
              </w:rPr>
              <w:t>8</w:t>
            </w:r>
          </w:p>
        </w:tc>
      </w:tr>
      <w:tr>
        <w:trPr>
          <w:trHeight w:val="220"/>
        </w:trPr>
        <w:tc>
          <w:tcPr>
            <w:tcW w:w="1580" w:type="dxa"/>
            <w:vAlign w:val="bottom"/>
          </w:tcPr>
          <w:p>
            <w:pPr>
              <w:spacing w:after="0"/>
              <w:rPr>
                <w:sz w:val="20"/>
                <w:szCs w:val="20"/>
                <w:color w:val="auto"/>
              </w:rPr>
            </w:pPr>
            <w:r>
              <w:rPr>
                <w:rFonts w:ascii="Arial" w:cs="Arial" w:eastAsia="Arial" w:hAnsi="Arial"/>
                <w:sz w:val="19"/>
                <w:szCs w:val="19"/>
                <w:color w:val="auto"/>
              </w:rPr>
              <w:t>Nebraska</w:t>
            </w:r>
          </w:p>
        </w:tc>
        <w:tc>
          <w:tcPr>
            <w:tcW w:w="580" w:type="dxa"/>
            <w:vAlign w:val="bottom"/>
          </w:tcPr>
          <w:p>
            <w:pPr>
              <w:jc w:val="right"/>
              <w:spacing w:after="0"/>
              <w:rPr>
                <w:sz w:val="20"/>
                <w:szCs w:val="20"/>
                <w:color w:val="auto"/>
              </w:rPr>
            </w:pPr>
            <w:r>
              <w:rPr>
                <w:rFonts w:ascii="Arial" w:cs="Arial" w:eastAsia="Arial" w:hAnsi="Arial"/>
                <w:sz w:val="19"/>
                <w:szCs w:val="19"/>
                <w:color w:val="auto"/>
              </w:rPr>
              <w:t>1</w:t>
            </w:r>
          </w:p>
        </w:tc>
      </w:tr>
      <w:tr>
        <w:trPr>
          <w:trHeight w:val="218"/>
        </w:trPr>
        <w:tc>
          <w:tcPr>
            <w:tcW w:w="1580" w:type="dxa"/>
            <w:vAlign w:val="bottom"/>
            <w:shd w:val="clear" w:color="auto" w:fill="D1EDF4"/>
          </w:tcPr>
          <w:p>
            <w:pPr>
              <w:spacing w:after="0"/>
              <w:rPr>
                <w:sz w:val="20"/>
                <w:szCs w:val="20"/>
                <w:color w:val="auto"/>
              </w:rPr>
            </w:pPr>
            <w:r>
              <w:rPr>
                <w:rFonts w:ascii="Arial" w:cs="Arial" w:eastAsia="Arial" w:hAnsi="Arial"/>
                <w:sz w:val="19"/>
                <w:szCs w:val="19"/>
                <w:color w:val="auto"/>
              </w:rPr>
              <w:t>Nevada</w:t>
            </w:r>
          </w:p>
        </w:tc>
        <w:tc>
          <w:tcPr>
            <w:tcW w:w="580" w:type="dxa"/>
            <w:vAlign w:val="bottom"/>
            <w:shd w:val="clear" w:color="auto" w:fill="D1EDF4"/>
          </w:tcPr>
          <w:p>
            <w:pPr>
              <w:jc w:val="right"/>
              <w:spacing w:after="0"/>
              <w:rPr>
                <w:sz w:val="20"/>
                <w:szCs w:val="20"/>
                <w:color w:val="auto"/>
              </w:rPr>
            </w:pPr>
            <w:r>
              <w:rPr>
                <w:rFonts w:ascii="Arial" w:cs="Arial" w:eastAsia="Arial" w:hAnsi="Arial"/>
                <w:sz w:val="19"/>
                <w:szCs w:val="19"/>
                <w:color w:val="auto"/>
              </w:rPr>
              <w:t>3</w:t>
            </w:r>
          </w:p>
        </w:tc>
      </w:tr>
      <w:tr>
        <w:trPr>
          <w:trHeight w:val="220"/>
        </w:trPr>
        <w:tc>
          <w:tcPr>
            <w:tcW w:w="1580" w:type="dxa"/>
            <w:vAlign w:val="bottom"/>
          </w:tcPr>
          <w:p>
            <w:pPr>
              <w:spacing w:after="0"/>
              <w:rPr>
                <w:sz w:val="20"/>
                <w:szCs w:val="20"/>
                <w:color w:val="auto"/>
              </w:rPr>
            </w:pPr>
            <w:r>
              <w:rPr>
                <w:rFonts w:ascii="Arial" w:cs="Arial" w:eastAsia="Arial" w:hAnsi="Arial"/>
                <w:sz w:val="19"/>
                <w:szCs w:val="19"/>
                <w:color w:val="auto"/>
              </w:rPr>
              <w:t>New Jersey</w:t>
            </w:r>
          </w:p>
        </w:tc>
        <w:tc>
          <w:tcPr>
            <w:tcW w:w="580" w:type="dxa"/>
            <w:vAlign w:val="bottom"/>
          </w:tcPr>
          <w:p>
            <w:pPr>
              <w:jc w:val="right"/>
              <w:spacing w:after="0"/>
              <w:rPr>
                <w:sz w:val="20"/>
                <w:szCs w:val="20"/>
                <w:color w:val="auto"/>
              </w:rPr>
            </w:pPr>
            <w:r>
              <w:rPr>
                <w:rFonts w:ascii="Arial" w:cs="Arial" w:eastAsia="Arial" w:hAnsi="Arial"/>
                <w:sz w:val="19"/>
                <w:szCs w:val="19"/>
                <w:color w:val="auto"/>
              </w:rPr>
              <w:t>1</w:t>
            </w:r>
          </w:p>
        </w:tc>
      </w:tr>
      <w:tr>
        <w:trPr>
          <w:trHeight w:val="220"/>
        </w:trPr>
        <w:tc>
          <w:tcPr>
            <w:tcW w:w="1580" w:type="dxa"/>
            <w:vAlign w:val="bottom"/>
            <w:shd w:val="clear" w:color="auto" w:fill="D1EDF4"/>
          </w:tcPr>
          <w:p>
            <w:pPr>
              <w:spacing w:after="0"/>
              <w:rPr>
                <w:sz w:val="20"/>
                <w:szCs w:val="20"/>
                <w:color w:val="auto"/>
              </w:rPr>
            </w:pPr>
            <w:r>
              <w:rPr>
                <w:rFonts w:ascii="Arial" w:cs="Arial" w:eastAsia="Arial" w:hAnsi="Arial"/>
                <w:sz w:val="19"/>
                <w:szCs w:val="19"/>
                <w:color w:val="auto"/>
              </w:rPr>
              <w:t>New York</w:t>
            </w:r>
          </w:p>
        </w:tc>
        <w:tc>
          <w:tcPr>
            <w:tcW w:w="580" w:type="dxa"/>
            <w:vAlign w:val="bottom"/>
            <w:shd w:val="clear" w:color="auto" w:fill="D1EDF4"/>
          </w:tcPr>
          <w:p>
            <w:pPr>
              <w:jc w:val="right"/>
              <w:spacing w:after="0"/>
              <w:rPr>
                <w:sz w:val="20"/>
                <w:szCs w:val="20"/>
                <w:color w:val="auto"/>
              </w:rPr>
            </w:pPr>
            <w:r>
              <w:rPr>
                <w:rFonts w:ascii="Arial" w:cs="Arial" w:eastAsia="Arial" w:hAnsi="Arial"/>
                <w:sz w:val="19"/>
                <w:szCs w:val="19"/>
                <w:color w:val="auto"/>
              </w:rPr>
              <w:t>12</w:t>
            </w:r>
          </w:p>
        </w:tc>
      </w:tr>
      <w:tr>
        <w:trPr>
          <w:trHeight w:val="220"/>
        </w:trPr>
        <w:tc>
          <w:tcPr>
            <w:tcW w:w="1580" w:type="dxa"/>
            <w:vAlign w:val="bottom"/>
          </w:tcPr>
          <w:p>
            <w:pPr>
              <w:spacing w:after="0"/>
              <w:rPr>
                <w:sz w:val="20"/>
                <w:szCs w:val="20"/>
                <w:color w:val="auto"/>
              </w:rPr>
            </w:pPr>
            <w:r>
              <w:rPr>
                <w:rFonts w:ascii="Arial" w:cs="Arial" w:eastAsia="Arial" w:hAnsi="Arial"/>
                <w:sz w:val="19"/>
                <w:szCs w:val="19"/>
                <w:color w:val="auto"/>
              </w:rPr>
              <w:t>North Carolina</w:t>
            </w:r>
          </w:p>
        </w:tc>
        <w:tc>
          <w:tcPr>
            <w:tcW w:w="580" w:type="dxa"/>
            <w:vAlign w:val="bottom"/>
          </w:tcPr>
          <w:p>
            <w:pPr>
              <w:jc w:val="right"/>
              <w:spacing w:after="0"/>
              <w:rPr>
                <w:sz w:val="20"/>
                <w:szCs w:val="20"/>
                <w:color w:val="auto"/>
              </w:rPr>
            </w:pPr>
            <w:r>
              <w:rPr>
                <w:rFonts w:ascii="Arial" w:cs="Arial" w:eastAsia="Arial" w:hAnsi="Arial"/>
                <w:sz w:val="19"/>
                <w:szCs w:val="19"/>
                <w:color w:val="auto"/>
              </w:rPr>
              <w:t>47</w:t>
            </w:r>
          </w:p>
        </w:tc>
      </w:tr>
      <w:tr>
        <w:trPr>
          <w:trHeight w:val="220"/>
        </w:trPr>
        <w:tc>
          <w:tcPr>
            <w:tcW w:w="1580" w:type="dxa"/>
            <w:vAlign w:val="bottom"/>
            <w:shd w:val="clear" w:color="auto" w:fill="D1EDF4"/>
          </w:tcPr>
          <w:p>
            <w:pPr>
              <w:spacing w:after="0"/>
              <w:rPr>
                <w:sz w:val="20"/>
                <w:szCs w:val="20"/>
                <w:color w:val="auto"/>
              </w:rPr>
            </w:pPr>
            <w:r>
              <w:rPr>
                <w:rFonts w:ascii="Arial" w:cs="Arial" w:eastAsia="Arial" w:hAnsi="Arial"/>
                <w:sz w:val="19"/>
                <w:szCs w:val="19"/>
                <w:color w:val="auto"/>
              </w:rPr>
              <w:t>Ohio</w:t>
            </w:r>
          </w:p>
        </w:tc>
        <w:tc>
          <w:tcPr>
            <w:tcW w:w="580" w:type="dxa"/>
            <w:vAlign w:val="bottom"/>
            <w:shd w:val="clear" w:color="auto" w:fill="D1EDF4"/>
          </w:tcPr>
          <w:p>
            <w:pPr>
              <w:jc w:val="right"/>
              <w:spacing w:after="0"/>
              <w:rPr>
                <w:sz w:val="20"/>
                <w:szCs w:val="20"/>
                <w:color w:val="auto"/>
              </w:rPr>
            </w:pPr>
            <w:r>
              <w:rPr>
                <w:rFonts w:ascii="Arial" w:cs="Arial" w:eastAsia="Arial" w:hAnsi="Arial"/>
                <w:sz w:val="19"/>
                <w:szCs w:val="19"/>
                <w:color w:val="auto"/>
              </w:rPr>
              <w:t>30</w:t>
            </w:r>
          </w:p>
        </w:tc>
      </w:tr>
      <w:tr>
        <w:trPr>
          <w:trHeight w:val="220"/>
        </w:trPr>
        <w:tc>
          <w:tcPr>
            <w:tcW w:w="1580" w:type="dxa"/>
            <w:vAlign w:val="bottom"/>
          </w:tcPr>
          <w:p>
            <w:pPr>
              <w:spacing w:after="0"/>
              <w:rPr>
                <w:sz w:val="20"/>
                <w:szCs w:val="20"/>
                <w:color w:val="auto"/>
              </w:rPr>
            </w:pPr>
            <w:r>
              <w:rPr>
                <w:rFonts w:ascii="Arial" w:cs="Arial" w:eastAsia="Arial" w:hAnsi="Arial"/>
                <w:sz w:val="19"/>
                <w:szCs w:val="19"/>
                <w:color w:val="auto"/>
              </w:rPr>
              <w:t>Oklahoma</w:t>
            </w:r>
          </w:p>
        </w:tc>
        <w:tc>
          <w:tcPr>
            <w:tcW w:w="580" w:type="dxa"/>
            <w:vAlign w:val="bottom"/>
          </w:tcPr>
          <w:p>
            <w:pPr>
              <w:jc w:val="right"/>
              <w:spacing w:after="0"/>
              <w:rPr>
                <w:sz w:val="20"/>
                <w:szCs w:val="20"/>
                <w:color w:val="auto"/>
              </w:rPr>
            </w:pPr>
            <w:r>
              <w:rPr>
                <w:rFonts w:ascii="Arial" w:cs="Arial" w:eastAsia="Arial" w:hAnsi="Arial"/>
                <w:sz w:val="19"/>
                <w:szCs w:val="19"/>
                <w:color w:val="auto"/>
              </w:rPr>
              <w:t>6</w:t>
            </w:r>
          </w:p>
        </w:tc>
      </w:tr>
      <w:tr>
        <w:trPr>
          <w:trHeight w:val="220"/>
        </w:trPr>
        <w:tc>
          <w:tcPr>
            <w:tcW w:w="1580" w:type="dxa"/>
            <w:vAlign w:val="bottom"/>
            <w:shd w:val="clear" w:color="auto" w:fill="D1EDF4"/>
          </w:tcPr>
          <w:p>
            <w:pPr>
              <w:spacing w:after="0"/>
              <w:rPr>
                <w:sz w:val="20"/>
                <w:szCs w:val="20"/>
                <w:color w:val="auto"/>
              </w:rPr>
            </w:pPr>
            <w:r>
              <w:rPr>
                <w:rFonts w:ascii="Arial" w:cs="Arial" w:eastAsia="Arial" w:hAnsi="Arial"/>
                <w:sz w:val="19"/>
                <w:szCs w:val="19"/>
                <w:color w:val="auto"/>
              </w:rPr>
              <w:t>Pennsylvania</w:t>
            </w:r>
          </w:p>
        </w:tc>
        <w:tc>
          <w:tcPr>
            <w:tcW w:w="580" w:type="dxa"/>
            <w:vAlign w:val="bottom"/>
            <w:shd w:val="clear" w:color="auto" w:fill="D1EDF4"/>
          </w:tcPr>
          <w:p>
            <w:pPr>
              <w:jc w:val="right"/>
              <w:spacing w:after="0"/>
              <w:rPr>
                <w:sz w:val="20"/>
                <w:szCs w:val="20"/>
                <w:color w:val="auto"/>
              </w:rPr>
            </w:pPr>
            <w:r>
              <w:rPr>
                <w:rFonts w:ascii="Arial" w:cs="Arial" w:eastAsia="Arial" w:hAnsi="Arial"/>
                <w:sz w:val="19"/>
                <w:szCs w:val="19"/>
                <w:color w:val="auto"/>
              </w:rPr>
              <w:t>9</w:t>
            </w:r>
          </w:p>
        </w:tc>
      </w:tr>
      <w:tr>
        <w:trPr>
          <w:trHeight w:val="220"/>
        </w:trPr>
        <w:tc>
          <w:tcPr>
            <w:tcW w:w="1580" w:type="dxa"/>
            <w:vAlign w:val="bottom"/>
          </w:tcPr>
          <w:p>
            <w:pPr>
              <w:spacing w:after="0"/>
              <w:rPr>
                <w:sz w:val="20"/>
                <w:szCs w:val="20"/>
                <w:color w:val="auto"/>
              </w:rPr>
            </w:pPr>
            <w:r>
              <w:rPr>
                <w:rFonts w:ascii="Arial" w:cs="Arial" w:eastAsia="Arial" w:hAnsi="Arial"/>
                <w:sz w:val="19"/>
                <w:szCs w:val="19"/>
                <w:color w:val="auto"/>
              </w:rPr>
              <w:t>Rhode Island</w:t>
            </w:r>
          </w:p>
        </w:tc>
        <w:tc>
          <w:tcPr>
            <w:tcW w:w="580" w:type="dxa"/>
            <w:vAlign w:val="bottom"/>
          </w:tcPr>
          <w:p>
            <w:pPr>
              <w:jc w:val="right"/>
              <w:spacing w:after="0"/>
              <w:rPr>
                <w:sz w:val="20"/>
                <w:szCs w:val="20"/>
                <w:color w:val="auto"/>
              </w:rPr>
            </w:pPr>
            <w:r>
              <w:rPr>
                <w:rFonts w:ascii="Arial" w:cs="Arial" w:eastAsia="Arial" w:hAnsi="Arial"/>
                <w:sz w:val="19"/>
                <w:szCs w:val="19"/>
                <w:color w:val="auto"/>
              </w:rPr>
              <w:t>1</w:t>
            </w:r>
          </w:p>
        </w:tc>
      </w:tr>
      <w:tr>
        <w:trPr>
          <w:trHeight w:val="220"/>
        </w:trPr>
        <w:tc>
          <w:tcPr>
            <w:tcW w:w="1580" w:type="dxa"/>
            <w:vAlign w:val="bottom"/>
            <w:shd w:val="clear" w:color="auto" w:fill="D1EDF4"/>
          </w:tcPr>
          <w:p>
            <w:pPr>
              <w:spacing w:after="0"/>
              <w:rPr>
                <w:sz w:val="20"/>
                <w:szCs w:val="20"/>
                <w:color w:val="auto"/>
              </w:rPr>
            </w:pPr>
            <w:r>
              <w:rPr>
                <w:rFonts w:ascii="Arial" w:cs="Arial" w:eastAsia="Arial" w:hAnsi="Arial"/>
                <w:sz w:val="19"/>
                <w:szCs w:val="19"/>
                <w:color w:val="auto"/>
              </w:rPr>
              <w:t>South Carolina</w:t>
            </w:r>
          </w:p>
        </w:tc>
        <w:tc>
          <w:tcPr>
            <w:tcW w:w="580" w:type="dxa"/>
            <w:vAlign w:val="bottom"/>
            <w:shd w:val="clear" w:color="auto" w:fill="D1EDF4"/>
          </w:tcPr>
          <w:p>
            <w:pPr>
              <w:jc w:val="right"/>
              <w:spacing w:after="0"/>
              <w:rPr>
                <w:sz w:val="20"/>
                <w:szCs w:val="20"/>
                <w:color w:val="auto"/>
              </w:rPr>
            </w:pPr>
            <w:r>
              <w:rPr>
                <w:rFonts w:ascii="Arial" w:cs="Arial" w:eastAsia="Arial" w:hAnsi="Arial"/>
                <w:sz w:val="19"/>
                <w:szCs w:val="19"/>
                <w:color w:val="auto"/>
              </w:rPr>
              <w:t>42</w:t>
            </w:r>
          </w:p>
        </w:tc>
      </w:tr>
      <w:tr>
        <w:trPr>
          <w:trHeight w:val="220"/>
        </w:trPr>
        <w:tc>
          <w:tcPr>
            <w:tcW w:w="1580" w:type="dxa"/>
            <w:vAlign w:val="bottom"/>
          </w:tcPr>
          <w:p>
            <w:pPr>
              <w:spacing w:after="0"/>
              <w:rPr>
                <w:sz w:val="20"/>
                <w:szCs w:val="20"/>
                <w:color w:val="auto"/>
              </w:rPr>
            </w:pPr>
            <w:r>
              <w:rPr>
                <w:rFonts w:ascii="Arial" w:cs="Arial" w:eastAsia="Arial" w:hAnsi="Arial"/>
                <w:sz w:val="19"/>
                <w:szCs w:val="19"/>
                <w:color w:val="auto"/>
              </w:rPr>
              <w:t>Tennessee</w:t>
            </w:r>
          </w:p>
        </w:tc>
        <w:tc>
          <w:tcPr>
            <w:tcW w:w="580" w:type="dxa"/>
            <w:vAlign w:val="bottom"/>
          </w:tcPr>
          <w:p>
            <w:pPr>
              <w:jc w:val="right"/>
              <w:spacing w:after="0"/>
              <w:rPr>
                <w:sz w:val="20"/>
                <w:szCs w:val="20"/>
                <w:color w:val="auto"/>
              </w:rPr>
            </w:pPr>
            <w:r>
              <w:rPr>
                <w:rFonts w:ascii="Arial" w:cs="Arial" w:eastAsia="Arial" w:hAnsi="Arial"/>
                <w:sz w:val="19"/>
                <w:szCs w:val="19"/>
                <w:color w:val="auto"/>
              </w:rPr>
              <w:t>16</w:t>
            </w:r>
          </w:p>
        </w:tc>
      </w:tr>
      <w:tr>
        <w:trPr>
          <w:trHeight w:val="218"/>
        </w:trPr>
        <w:tc>
          <w:tcPr>
            <w:tcW w:w="1580" w:type="dxa"/>
            <w:vAlign w:val="bottom"/>
            <w:shd w:val="clear" w:color="auto" w:fill="D1EDF4"/>
          </w:tcPr>
          <w:p>
            <w:pPr>
              <w:spacing w:after="0"/>
              <w:rPr>
                <w:sz w:val="20"/>
                <w:szCs w:val="20"/>
                <w:color w:val="auto"/>
              </w:rPr>
            </w:pPr>
            <w:r>
              <w:rPr>
                <w:rFonts w:ascii="Arial" w:cs="Arial" w:eastAsia="Arial" w:hAnsi="Arial"/>
                <w:sz w:val="19"/>
                <w:szCs w:val="19"/>
                <w:color w:val="auto"/>
              </w:rPr>
              <w:t>Texas</w:t>
            </w:r>
          </w:p>
        </w:tc>
        <w:tc>
          <w:tcPr>
            <w:tcW w:w="580" w:type="dxa"/>
            <w:vAlign w:val="bottom"/>
            <w:shd w:val="clear" w:color="auto" w:fill="D1EDF4"/>
          </w:tcPr>
          <w:p>
            <w:pPr>
              <w:jc w:val="right"/>
              <w:spacing w:after="0"/>
              <w:rPr>
                <w:sz w:val="20"/>
                <w:szCs w:val="20"/>
                <w:color w:val="auto"/>
              </w:rPr>
            </w:pPr>
            <w:r>
              <w:rPr>
                <w:rFonts w:ascii="Arial" w:cs="Arial" w:eastAsia="Arial" w:hAnsi="Arial"/>
                <w:sz w:val="19"/>
                <w:szCs w:val="19"/>
                <w:color w:val="auto"/>
              </w:rPr>
              <w:t>55</w:t>
            </w:r>
          </w:p>
        </w:tc>
      </w:tr>
      <w:tr>
        <w:trPr>
          <w:trHeight w:val="220"/>
        </w:trPr>
        <w:tc>
          <w:tcPr>
            <w:tcW w:w="1580" w:type="dxa"/>
            <w:vAlign w:val="bottom"/>
          </w:tcPr>
          <w:p>
            <w:pPr>
              <w:spacing w:after="0"/>
              <w:rPr>
                <w:sz w:val="20"/>
                <w:szCs w:val="20"/>
                <w:color w:val="auto"/>
              </w:rPr>
            </w:pPr>
            <w:r>
              <w:rPr>
                <w:rFonts w:ascii="Arial" w:cs="Arial" w:eastAsia="Arial" w:hAnsi="Arial"/>
                <w:sz w:val="19"/>
                <w:szCs w:val="19"/>
                <w:color w:val="auto"/>
              </w:rPr>
              <w:t>Virginia</w:t>
            </w:r>
          </w:p>
        </w:tc>
        <w:tc>
          <w:tcPr>
            <w:tcW w:w="580" w:type="dxa"/>
            <w:vAlign w:val="bottom"/>
          </w:tcPr>
          <w:p>
            <w:pPr>
              <w:jc w:val="right"/>
              <w:spacing w:after="0"/>
              <w:rPr>
                <w:sz w:val="20"/>
                <w:szCs w:val="20"/>
                <w:color w:val="auto"/>
              </w:rPr>
            </w:pPr>
            <w:r>
              <w:rPr>
                <w:rFonts w:ascii="Arial" w:cs="Arial" w:eastAsia="Arial" w:hAnsi="Arial"/>
                <w:sz w:val="19"/>
                <w:szCs w:val="19"/>
                <w:color w:val="auto"/>
              </w:rPr>
              <w:t>19</w:t>
            </w:r>
          </w:p>
        </w:tc>
      </w:tr>
      <w:tr>
        <w:trPr>
          <w:trHeight w:val="220"/>
        </w:trPr>
        <w:tc>
          <w:tcPr>
            <w:tcW w:w="1580" w:type="dxa"/>
            <w:vAlign w:val="bottom"/>
            <w:shd w:val="clear" w:color="auto" w:fill="D1EDF4"/>
          </w:tcPr>
          <w:p>
            <w:pPr>
              <w:spacing w:after="0"/>
              <w:rPr>
                <w:sz w:val="20"/>
                <w:szCs w:val="20"/>
                <w:color w:val="auto"/>
              </w:rPr>
            </w:pPr>
            <w:r>
              <w:rPr>
                <w:rFonts w:ascii="Arial" w:cs="Arial" w:eastAsia="Arial" w:hAnsi="Arial"/>
                <w:sz w:val="19"/>
                <w:szCs w:val="19"/>
                <w:color w:val="auto"/>
              </w:rPr>
              <w:t>Wisconsin</w:t>
            </w:r>
          </w:p>
        </w:tc>
        <w:tc>
          <w:tcPr>
            <w:tcW w:w="580" w:type="dxa"/>
            <w:vAlign w:val="bottom"/>
            <w:shd w:val="clear" w:color="auto" w:fill="D1EDF4"/>
          </w:tcPr>
          <w:p>
            <w:pPr>
              <w:jc w:val="right"/>
              <w:spacing w:after="0"/>
              <w:rPr>
                <w:sz w:val="20"/>
                <w:szCs w:val="20"/>
                <w:color w:val="auto"/>
              </w:rPr>
            </w:pPr>
            <w:r>
              <w:rPr>
                <w:rFonts w:ascii="Arial" w:cs="Arial" w:eastAsia="Arial" w:hAnsi="Arial"/>
                <w:sz w:val="19"/>
                <w:szCs w:val="19"/>
                <w:color w:val="auto"/>
              </w:rPr>
              <w:t>6</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Corporate Offices and Distribution Center Facilities</w:t>
      </w:r>
    </w:p>
    <w:p>
      <w:pPr>
        <w:spacing w:after="0" w:line="164" w:lineRule="exact"/>
        <w:rPr>
          <w:sz w:val="20"/>
          <w:szCs w:val="20"/>
          <w:color w:val="auto"/>
        </w:rPr>
      </w:pPr>
    </w:p>
    <w:p>
      <w:pPr>
        <w:spacing w:after="0" w:line="281" w:lineRule="auto"/>
        <w:rPr>
          <w:sz w:val="20"/>
          <w:szCs w:val="20"/>
          <w:color w:val="auto"/>
        </w:rPr>
      </w:pPr>
      <w:r>
        <w:rPr>
          <w:rFonts w:ascii="Arial" w:cs="Arial" w:eastAsia="Arial" w:hAnsi="Arial"/>
          <w:sz w:val="19"/>
          <w:szCs w:val="19"/>
          <w:color w:val="auto"/>
        </w:rPr>
        <w:t>Our corporate headquarter is in Savannah, Georgia under a lease agreement that expires in June 2030. In addition, we currently lease office space in New York City.</w:t>
      </w:r>
    </w:p>
    <w:p>
      <w:pPr>
        <w:spacing w:after="0" w:line="85" w:lineRule="exact"/>
        <w:rPr>
          <w:sz w:val="20"/>
          <w:szCs w:val="20"/>
          <w:color w:val="auto"/>
        </w:rPr>
      </w:pPr>
    </w:p>
    <w:p>
      <w:pPr>
        <w:ind w:right="320"/>
        <w:spacing w:after="0" w:line="283" w:lineRule="auto"/>
        <w:rPr>
          <w:sz w:val="20"/>
          <w:szCs w:val="20"/>
          <w:color w:val="auto"/>
        </w:rPr>
      </w:pPr>
      <w:r>
        <w:rPr>
          <w:rFonts w:ascii="Arial" w:cs="Arial" w:eastAsia="Arial" w:hAnsi="Arial"/>
          <w:sz w:val="19"/>
          <w:szCs w:val="19"/>
          <w:color w:val="auto"/>
        </w:rPr>
        <w:t>We lease and operate two distribution centers, one in Darlington, South Carolina totaling approximately 550,000 square feet, and another in Roland, Oklahoma totaling approximately 565,000 square feet.</w:t>
      </w:r>
    </w:p>
    <w:p>
      <w:pPr>
        <w:spacing w:after="0" w:line="84" w:lineRule="exact"/>
        <w:rPr>
          <w:sz w:val="20"/>
          <w:szCs w:val="20"/>
          <w:color w:val="auto"/>
        </w:rPr>
      </w:pPr>
    </w:p>
    <w:p>
      <w:pPr>
        <w:spacing w:after="0"/>
        <w:rPr>
          <w:sz w:val="20"/>
          <w:szCs w:val="20"/>
          <w:color w:val="auto"/>
        </w:rPr>
      </w:pPr>
      <w:r>
        <w:rPr>
          <w:rFonts w:ascii="Arial" w:cs="Arial" w:eastAsia="Arial" w:hAnsi="Arial"/>
          <w:sz w:val="19"/>
          <w:szCs w:val="19"/>
          <w:color w:val="auto"/>
        </w:rPr>
        <w:t>We believe our facilities are suitable and adequate to meet our current business and operational needs</w:t>
      </w:r>
      <w:r>
        <w:rPr>
          <w:rFonts w:ascii="Arial" w:cs="Arial" w:eastAsia="Arial" w:hAnsi="Arial"/>
          <w:sz w:val="18"/>
          <w:szCs w:val="18"/>
          <w:color w:val="auto"/>
        </w:rPr>
        <w:t>.</w:t>
      </w:r>
    </w:p>
    <w:p>
      <w:pPr>
        <w:sectPr>
          <w:pgSz w:w="11880" w:h="15480" w:orient="portrait"/>
          <w:cols w:equalWidth="0" w:num="1">
            <w:col w:w="10780"/>
          </w:cols>
          <w:pgMar w:left="540" w:top="804" w:right="560" w:bottom="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ectPr>
          <w:pgSz w:w="11880" w:h="15480" w:orient="portrait"/>
          <w:cols w:equalWidth="0" w:num="1">
            <w:col w:w="10780"/>
          </w:cols>
          <w:pgMar w:left="540" w:top="804" w:right="560" w:bottom="16" w:gutter="0" w:footer="0" w:header="0"/>
          <w:type w:val="continuous"/>
        </w:sectPr>
      </w:pPr>
    </w:p>
    <w:bookmarkStart w:id="21" w:name="page22"/>
    <w:bookmarkEnd w:id="21"/>
    <w:p>
      <w:pPr>
        <w:spacing w:after="0"/>
        <w:tabs>
          <w:tab w:leader="none" w:pos="1060" w:val="left"/>
        </w:tabs>
        <w:rPr>
          <w:sz w:val="20"/>
          <w:szCs w:val="20"/>
          <w:color w:val="auto"/>
        </w:rPr>
      </w:pPr>
      <w:r>
        <w:rPr>
          <w:rFonts w:ascii="Arial" w:cs="Arial" w:eastAsia="Arial" w:hAnsi="Arial"/>
          <w:sz w:val="19"/>
          <w:szCs w:val="19"/>
          <w:b w:val="1"/>
          <w:bCs w:val="1"/>
          <w:color w:val="auto"/>
        </w:rPr>
        <w:t>ITEM 3.</w:t>
      </w:r>
      <w:r>
        <w:rPr>
          <w:sz w:val="20"/>
          <w:szCs w:val="20"/>
          <w:color w:val="auto"/>
        </w:rPr>
        <w:tab/>
      </w:r>
      <w:r>
        <w:rPr>
          <w:rFonts w:ascii="Arial" w:cs="Arial" w:eastAsia="Arial" w:hAnsi="Arial"/>
          <w:sz w:val="18"/>
          <w:szCs w:val="18"/>
          <w:b w:val="1"/>
          <w:bCs w:val="1"/>
          <w:u w:val="single" w:color="auto"/>
          <w:color w:val="auto"/>
        </w:rPr>
        <w:t>LEGAL PROCEEDINGS</w:t>
      </w:r>
    </w:p>
    <w:p>
      <w:pPr>
        <w:spacing w:after="0" w:line="162" w:lineRule="exact"/>
        <w:rPr>
          <w:sz w:val="20"/>
          <w:szCs w:val="20"/>
          <w:color w:val="auto"/>
        </w:rPr>
      </w:pPr>
    </w:p>
    <w:p>
      <w:pPr>
        <w:spacing w:after="0" w:line="248" w:lineRule="auto"/>
        <w:rPr>
          <w:sz w:val="20"/>
          <w:szCs w:val="20"/>
          <w:color w:val="auto"/>
        </w:rPr>
      </w:pPr>
      <w:r>
        <w:rPr>
          <w:rFonts w:ascii="Arial" w:cs="Arial" w:eastAsia="Arial" w:hAnsi="Arial"/>
          <w:sz w:val="19"/>
          <w:szCs w:val="19"/>
          <w:color w:val="auto"/>
        </w:rPr>
        <w:t>We are from time to time involved in various legal proceedings incidental to the conduct of our business, including claims by customers, employees or former employees. Once it becomes probable that we will incur costs in connection with a legal proceeding and such costs can be reasonably estimated, we establish appropriate reserves. While legal proceedings are subject to uncertainties and the outcome of any such matter is not predictable, we are not aware of any legal proceedings pending or threatened against us that we expect to have a material adverse effect on our business strategy, financial condition, results of operations or liquidity.</w:t>
      </w:r>
    </w:p>
    <w:p>
      <w:pPr>
        <w:spacing w:after="0" w:line="117" w:lineRule="exact"/>
        <w:rPr>
          <w:sz w:val="20"/>
          <w:szCs w:val="20"/>
          <w:color w:val="auto"/>
        </w:rPr>
      </w:pPr>
    </w:p>
    <w:p>
      <w:pPr>
        <w:ind w:right="300"/>
        <w:spacing w:after="0" w:line="281" w:lineRule="auto"/>
        <w:rPr>
          <w:sz w:val="20"/>
          <w:szCs w:val="20"/>
          <w:color w:val="auto"/>
        </w:rPr>
      </w:pPr>
      <w:r>
        <w:rPr>
          <w:rFonts w:ascii="Arial" w:cs="Arial" w:eastAsia="Arial" w:hAnsi="Arial"/>
          <w:sz w:val="19"/>
          <w:szCs w:val="19"/>
          <w:color w:val="auto"/>
        </w:rPr>
        <w:t>See Note 7 to the Financial Statements for a summary of certain ongoing legal proceedings. Such information is incorporated into this Part I, Item 3 – “Legal Proceedings” by reference.</w:t>
      </w:r>
    </w:p>
    <w:p>
      <w:pPr>
        <w:spacing w:after="0" w:line="83" w:lineRule="exact"/>
        <w:rPr>
          <w:sz w:val="20"/>
          <w:szCs w:val="20"/>
          <w:color w:val="auto"/>
        </w:rPr>
      </w:pPr>
    </w:p>
    <w:p>
      <w:pPr>
        <w:spacing w:after="0"/>
        <w:tabs>
          <w:tab w:leader="none" w:pos="1060" w:val="left"/>
        </w:tabs>
        <w:rPr>
          <w:sz w:val="20"/>
          <w:szCs w:val="20"/>
          <w:color w:val="auto"/>
        </w:rPr>
      </w:pPr>
      <w:r>
        <w:rPr>
          <w:rFonts w:ascii="Arial" w:cs="Arial" w:eastAsia="Arial" w:hAnsi="Arial"/>
          <w:sz w:val="19"/>
          <w:szCs w:val="19"/>
          <w:b w:val="1"/>
          <w:bCs w:val="1"/>
          <w:color w:val="auto"/>
        </w:rPr>
        <w:t>ITEM 4.</w:t>
      </w:r>
      <w:r>
        <w:rPr>
          <w:sz w:val="20"/>
          <w:szCs w:val="20"/>
          <w:color w:val="auto"/>
        </w:rPr>
        <w:tab/>
      </w:r>
      <w:r>
        <w:rPr>
          <w:rFonts w:ascii="Arial" w:cs="Arial" w:eastAsia="Arial" w:hAnsi="Arial"/>
          <w:sz w:val="18"/>
          <w:szCs w:val="18"/>
          <w:b w:val="1"/>
          <w:bCs w:val="1"/>
          <w:u w:val="single" w:color="auto"/>
          <w:color w:val="auto"/>
        </w:rPr>
        <w:t>MINE SAFETY DISCLOSURES</w:t>
      </w:r>
    </w:p>
    <w:p>
      <w:pPr>
        <w:spacing w:after="0" w:line="164" w:lineRule="exact"/>
        <w:rPr>
          <w:sz w:val="20"/>
          <w:szCs w:val="20"/>
          <w:color w:val="auto"/>
        </w:rPr>
      </w:pPr>
    </w:p>
    <w:p>
      <w:pPr>
        <w:spacing w:after="0"/>
        <w:rPr>
          <w:sz w:val="20"/>
          <w:szCs w:val="20"/>
          <w:color w:val="auto"/>
        </w:rPr>
      </w:pPr>
      <w:r>
        <w:rPr>
          <w:rFonts w:ascii="Arial" w:cs="Arial" w:eastAsia="Arial" w:hAnsi="Arial"/>
          <w:sz w:val="19"/>
          <w:szCs w:val="19"/>
          <w:color w:val="auto"/>
        </w:rPr>
        <w:t>Not applicable.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PART II</w:t>
      </w:r>
    </w:p>
    <w:p>
      <w:pPr>
        <w:spacing w:after="0" w:line="218" w:lineRule="exact"/>
        <w:rPr>
          <w:sz w:val="20"/>
          <w:szCs w:val="20"/>
          <w:color w:val="auto"/>
        </w:rPr>
      </w:pPr>
    </w:p>
    <w:p>
      <w:pPr>
        <w:ind w:left="1080" w:right="580" w:hanging="1079"/>
        <w:spacing w:after="0" w:line="298" w:lineRule="auto"/>
        <w:tabs>
          <w:tab w:leader="none" w:pos="1060" w:val="left"/>
        </w:tabs>
        <w:rPr>
          <w:sz w:val="20"/>
          <w:szCs w:val="20"/>
          <w:color w:val="auto"/>
        </w:rPr>
      </w:pPr>
      <w:r>
        <w:rPr>
          <w:rFonts w:ascii="Arial" w:cs="Arial" w:eastAsia="Arial" w:hAnsi="Arial"/>
          <w:sz w:val="19"/>
          <w:szCs w:val="19"/>
          <w:b w:val="1"/>
          <w:bCs w:val="1"/>
          <w:color w:val="auto"/>
        </w:rPr>
        <w:t>ITEM 5.</w:t>
      </w:r>
      <w:r>
        <w:rPr>
          <w:sz w:val="20"/>
          <w:szCs w:val="20"/>
          <w:color w:val="auto"/>
        </w:rPr>
        <w:tab/>
      </w:r>
      <w:r>
        <w:rPr>
          <w:rFonts w:ascii="Arial" w:cs="Arial" w:eastAsia="Arial" w:hAnsi="Arial"/>
          <w:sz w:val="19"/>
          <w:szCs w:val="19"/>
          <w:b w:val="1"/>
          <w:bCs w:val="1"/>
          <w:u w:val="single" w:color="auto"/>
          <w:color w:val="auto"/>
        </w:rPr>
        <w:t>MARKET FOR REGISTRANT’S COMMON EQUITY, RELATED STOCKHOLDER MATTERS AND ISSUER PURCHASES OF EQUITY SECURITIES</w:t>
      </w:r>
    </w:p>
    <w:p>
      <w:pPr>
        <w:spacing w:after="0" w:line="59" w:lineRule="exact"/>
        <w:rPr>
          <w:sz w:val="20"/>
          <w:szCs w:val="20"/>
          <w:color w:val="auto"/>
        </w:rPr>
      </w:pPr>
    </w:p>
    <w:p>
      <w:pPr>
        <w:ind w:right="660"/>
        <w:spacing w:after="0" w:line="281" w:lineRule="auto"/>
        <w:rPr>
          <w:sz w:val="20"/>
          <w:szCs w:val="20"/>
          <w:color w:val="auto"/>
        </w:rPr>
      </w:pPr>
      <w:r>
        <w:rPr>
          <w:rFonts w:ascii="Arial" w:cs="Arial" w:eastAsia="Arial" w:hAnsi="Arial"/>
          <w:sz w:val="19"/>
          <w:szCs w:val="19"/>
          <w:color w:val="auto"/>
        </w:rPr>
        <w:t>Our common stock is traded on The NASDAQ Stock Market under the symbol “CTRN.” On March 25, 2026, there were 9 holders of record and approximately 10,729 beneficial holders of our common stock.</w:t>
      </w:r>
    </w:p>
    <w:p>
      <w:pPr>
        <w:spacing w:after="0" w:line="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Dividends</w:t>
      </w:r>
    </w:p>
    <w:p>
      <w:pPr>
        <w:spacing w:after="0" w:line="164" w:lineRule="exact"/>
        <w:rPr>
          <w:sz w:val="20"/>
          <w:szCs w:val="20"/>
          <w:color w:val="auto"/>
        </w:rPr>
      </w:pPr>
    </w:p>
    <w:p>
      <w:pPr>
        <w:ind w:right="660"/>
        <w:spacing w:after="0" w:line="281" w:lineRule="auto"/>
        <w:rPr>
          <w:sz w:val="20"/>
          <w:szCs w:val="20"/>
          <w:color w:val="auto"/>
        </w:rPr>
      </w:pPr>
      <w:r>
        <w:rPr>
          <w:rFonts w:ascii="Arial" w:cs="Arial" w:eastAsia="Arial" w:hAnsi="Arial"/>
          <w:sz w:val="19"/>
          <w:szCs w:val="19"/>
          <w:color w:val="auto"/>
        </w:rPr>
        <w:t>In 2020, the Company announced it would suspend quarterly cash dividends. Any determination to declare and pay cash dividends in the future will be made by the Company’s board of directors.</w:t>
      </w:r>
    </w:p>
    <w:p>
      <w:pPr>
        <w:spacing w:after="0" w:line="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Purchases of Equity Securities by the Issuer and Affiliated Purchasers.</w:t>
      </w:r>
    </w:p>
    <w:p>
      <w:pPr>
        <w:spacing w:after="0" w:line="164" w:lineRule="exact"/>
        <w:rPr>
          <w:sz w:val="20"/>
          <w:szCs w:val="20"/>
          <w:color w:val="auto"/>
        </w:rPr>
      </w:pPr>
    </w:p>
    <w:p>
      <w:pPr>
        <w:ind w:right="420"/>
        <w:spacing w:after="0" w:line="260" w:lineRule="auto"/>
        <w:rPr>
          <w:sz w:val="20"/>
          <w:szCs w:val="20"/>
          <w:color w:val="auto"/>
        </w:rPr>
      </w:pPr>
      <w:r>
        <w:rPr>
          <w:rFonts w:ascii="Arial" w:cs="Arial" w:eastAsia="Arial" w:hAnsi="Arial"/>
          <w:sz w:val="19"/>
          <w:szCs w:val="19"/>
          <w:color w:val="auto"/>
        </w:rPr>
        <w:t>The Company did not repurchase any shares of its common stock during the fourth quarter of fiscal 2025. As of January 31, 2026, approximately $40.0 million remains available under our share repurchase programs. The programs do not have expiration dates.</w:t>
      </w:r>
    </w:p>
    <w:p>
      <w:pPr>
        <w:spacing w:after="0" w:line="10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Equity Compensation Plan Information.</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color w:val="auto"/>
        </w:rPr>
        <w:t>See Item 12 of this Report.</w:t>
      </w:r>
    </w:p>
    <w:p>
      <w:pPr>
        <w:sectPr>
          <w:pgSz w:w="11880" w:h="15480" w:orient="portrait"/>
          <w:cols w:equalWidth="0" w:num="1">
            <w:col w:w="10800"/>
          </w:cols>
          <w:pgMar w:left="540" w:top="804" w:right="540" w:bottom="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880" w:h="15480" w:orient="portrait"/>
          <w:cols w:equalWidth="0" w:num="1">
            <w:col w:w="10800"/>
          </w:cols>
          <w:pgMar w:left="540" w:top="804" w:right="540" w:bottom="16" w:gutter="0" w:footer="0" w:header="0"/>
          <w:type w:val="continuous"/>
        </w:sectPr>
      </w:pPr>
    </w:p>
    <w:bookmarkStart w:id="22" w:name="page23"/>
    <w:bookmarkEnd w:id="22"/>
    <w:p>
      <w:pPr>
        <w:spacing w:after="0"/>
        <w:rPr>
          <w:sz w:val="20"/>
          <w:szCs w:val="20"/>
          <w:color w:val="auto"/>
        </w:rPr>
      </w:pPr>
      <w:r>
        <w:rPr>
          <w:rFonts w:ascii="Arial" w:cs="Arial" w:eastAsia="Arial" w:hAnsi="Arial"/>
          <w:sz w:val="19"/>
          <w:szCs w:val="19"/>
          <w:b w:val="1"/>
          <w:bCs w:val="1"/>
          <w:color w:val="auto"/>
        </w:rPr>
        <w:t>Stock Performance Graph</w:t>
      </w:r>
    </w:p>
    <w:p>
      <w:pPr>
        <w:spacing w:after="0" w:line="162" w:lineRule="exact"/>
        <w:rPr>
          <w:sz w:val="20"/>
          <w:szCs w:val="20"/>
          <w:color w:val="auto"/>
        </w:rPr>
      </w:pPr>
    </w:p>
    <w:p>
      <w:pPr>
        <w:ind w:right="360"/>
        <w:spacing w:after="0" w:line="250" w:lineRule="auto"/>
        <w:rPr>
          <w:sz w:val="20"/>
          <w:szCs w:val="20"/>
          <w:color w:val="auto"/>
        </w:rPr>
      </w:pPr>
      <w:r>
        <w:rPr>
          <w:rFonts w:ascii="Arial" w:cs="Arial" w:eastAsia="Arial" w:hAnsi="Arial"/>
          <w:sz w:val="19"/>
          <w:szCs w:val="19"/>
          <w:color w:val="auto"/>
        </w:rPr>
        <w:t>Set forth below is a line graph comparing the last five years’ percentage change in the cumulative total stockholder return on shares of our common stock against the cumulative total returns of the Russell 2000 Index and the Dow Jones US Specialty Retailers Index. This graph assumes that $100 was invested on January 31, 2021 in our common stock and in each of the market index and the industry indexes, and that all cash distributions were reinvested. Our common stock price performance shown on the graph is not indicative of future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160655</wp:posOffset>
            </wp:positionV>
            <wp:extent cx="5942965" cy="49333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extLst>
                    </a:blip>
                    <a:srcRect/>
                    <a:stretch>
                      <a:fillRect/>
                    </a:stretch>
                  </pic:blipFill>
                  <pic:spPr bwMode="auto">
                    <a:xfrm>
                      <a:off x="0" y="0"/>
                      <a:ext cx="5942965" cy="4933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640" w:type="dxa"/>
            <w:vAlign w:val="bottom"/>
            <w:tcBorders>
              <w:bottom w:val="single" w:sz="8" w:color="auto"/>
            </w:tcBorders>
            <w:gridSpan w:val="3"/>
          </w:tcPr>
          <w:p>
            <w:pPr>
              <w:spacing w:after="0"/>
              <w:rPr>
                <w:sz w:val="20"/>
                <w:szCs w:val="20"/>
                <w:color w:val="auto"/>
              </w:rPr>
            </w:pPr>
            <w:r>
              <w:rPr>
                <w:rFonts w:ascii="Arial" w:cs="Arial" w:eastAsia="Arial" w:hAnsi="Arial"/>
                <w:sz w:val="19"/>
                <w:szCs w:val="19"/>
                <w:color w:val="auto"/>
              </w:rPr>
              <w:t>Total Return Analysis</w:t>
            </w:r>
          </w:p>
        </w:tc>
        <w:tc>
          <w:tcPr>
            <w:tcW w:w="260" w:type="dxa"/>
            <w:vAlign w:val="bottom"/>
          </w:tcPr>
          <w:p>
            <w:pPr>
              <w:spacing w:after="0"/>
              <w:rPr>
                <w:sz w:val="20"/>
                <w:szCs w:val="20"/>
                <w:color w:val="auto"/>
              </w:rPr>
            </w:pPr>
          </w:p>
        </w:tc>
        <w:tc>
          <w:tcPr>
            <w:tcW w:w="760" w:type="dxa"/>
            <w:vAlign w:val="bottom"/>
            <w:tcBorders>
              <w:bottom w:val="single" w:sz="8" w:color="auto"/>
            </w:tcBorders>
          </w:tcPr>
          <w:p>
            <w:pPr>
              <w:jc w:val="right"/>
              <w:ind w:right="105"/>
              <w:spacing w:after="0"/>
              <w:rPr>
                <w:sz w:val="20"/>
                <w:szCs w:val="20"/>
                <w:color w:val="auto"/>
              </w:rPr>
            </w:pPr>
            <w:r>
              <w:rPr>
                <w:rFonts w:ascii="Arial" w:cs="Arial" w:eastAsia="Arial" w:hAnsi="Arial"/>
                <w:sz w:val="19"/>
                <w:szCs w:val="19"/>
                <w:b w:val="1"/>
                <w:bCs w:val="1"/>
                <w:color w:val="auto"/>
              </w:rPr>
              <w:t>1/21</w:t>
            </w:r>
          </w:p>
        </w:tc>
        <w:tc>
          <w:tcPr>
            <w:tcW w:w="260" w:type="dxa"/>
            <w:vAlign w:val="bottom"/>
          </w:tcPr>
          <w:p>
            <w:pPr>
              <w:spacing w:after="0"/>
              <w:rPr>
                <w:sz w:val="20"/>
                <w:szCs w:val="20"/>
                <w:color w:val="auto"/>
              </w:rPr>
            </w:pPr>
          </w:p>
        </w:tc>
        <w:tc>
          <w:tcPr>
            <w:tcW w:w="760" w:type="dxa"/>
            <w:vAlign w:val="bottom"/>
            <w:tcBorders>
              <w:bottom w:val="single" w:sz="8" w:color="auto"/>
            </w:tcBorders>
          </w:tcPr>
          <w:p>
            <w:pPr>
              <w:jc w:val="right"/>
              <w:ind w:right="105"/>
              <w:spacing w:after="0"/>
              <w:rPr>
                <w:sz w:val="20"/>
                <w:szCs w:val="20"/>
                <w:color w:val="auto"/>
              </w:rPr>
            </w:pPr>
            <w:r>
              <w:rPr>
                <w:rFonts w:ascii="Arial" w:cs="Arial" w:eastAsia="Arial" w:hAnsi="Arial"/>
                <w:sz w:val="19"/>
                <w:szCs w:val="19"/>
                <w:b w:val="1"/>
                <w:bCs w:val="1"/>
                <w:color w:val="auto"/>
              </w:rPr>
              <w:t>1/22</w:t>
            </w:r>
          </w:p>
        </w:tc>
        <w:tc>
          <w:tcPr>
            <w:tcW w:w="280" w:type="dxa"/>
            <w:vAlign w:val="bottom"/>
          </w:tcPr>
          <w:p>
            <w:pPr>
              <w:spacing w:after="0"/>
              <w:rPr>
                <w:sz w:val="20"/>
                <w:szCs w:val="20"/>
                <w:color w:val="auto"/>
              </w:rPr>
            </w:pPr>
          </w:p>
        </w:tc>
        <w:tc>
          <w:tcPr>
            <w:tcW w:w="740" w:type="dxa"/>
            <w:vAlign w:val="bottom"/>
            <w:tcBorders>
              <w:bottom w:val="single" w:sz="8" w:color="auto"/>
            </w:tcBorders>
          </w:tcPr>
          <w:p>
            <w:pPr>
              <w:jc w:val="right"/>
              <w:ind w:right="85"/>
              <w:spacing w:after="0"/>
              <w:rPr>
                <w:sz w:val="20"/>
                <w:szCs w:val="20"/>
                <w:color w:val="auto"/>
              </w:rPr>
            </w:pPr>
            <w:r>
              <w:rPr>
                <w:rFonts w:ascii="Arial" w:cs="Arial" w:eastAsia="Arial" w:hAnsi="Arial"/>
                <w:sz w:val="19"/>
                <w:szCs w:val="19"/>
                <w:b w:val="1"/>
                <w:bCs w:val="1"/>
                <w:color w:val="auto"/>
              </w:rPr>
              <w:t>1/23</w:t>
            </w:r>
          </w:p>
        </w:tc>
        <w:tc>
          <w:tcPr>
            <w:tcW w:w="280" w:type="dxa"/>
            <w:vAlign w:val="bottom"/>
          </w:tcPr>
          <w:p>
            <w:pPr>
              <w:spacing w:after="0"/>
              <w:rPr>
                <w:sz w:val="20"/>
                <w:szCs w:val="20"/>
                <w:color w:val="auto"/>
              </w:rPr>
            </w:pPr>
          </w:p>
        </w:tc>
        <w:tc>
          <w:tcPr>
            <w:tcW w:w="760" w:type="dxa"/>
            <w:vAlign w:val="bottom"/>
            <w:tcBorders>
              <w:bottom w:val="single" w:sz="8" w:color="auto"/>
            </w:tcBorders>
          </w:tcPr>
          <w:p>
            <w:pPr>
              <w:jc w:val="right"/>
              <w:ind w:right="105"/>
              <w:spacing w:after="0"/>
              <w:rPr>
                <w:sz w:val="20"/>
                <w:szCs w:val="20"/>
                <w:color w:val="auto"/>
              </w:rPr>
            </w:pPr>
            <w:r>
              <w:rPr>
                <w:rFonts w:ascii="Arial" w:cs="Arial" w:eastAsia="Arial" w:hAnsi="Arial"/>
                <w:sz w:val="19"/>
                <w:szCs w:val="19"/>
                <w:b w:val="1"/>
                <w:bCs w:val="1"/>
                <w:color w:val="auto"/>
              </w:rPr>
              <w:t>1/24</w:t>
            </w:r>
          </w:p>
        </w:tc>
        <w:tc>
          <w:tcPr>
            <w:tcW w:w="280" w:type="dxa"/>
            <w:vAlign w:val="bottom"/>
          </w:tcPr>
          <w:p>
            <w:pPr>
              <w:spacing w:after="0"/>
              <w:rPr>
                <w:sz w:val="20"/>
                <w:szCs w:val="20"/>
                <w:color w:val="auto"/>
              </w:rPr>
            </w:pPr>
          </w:p>
        </w:tc>
        <w:tc>
          <w:tcPr>
            <w:tcW w:w="760" w:type="dxa"/>
            <w:vAlign w:val="bottom"/>
            <w:tcBorders>
              <w:bottom w:val="single" w:sz="8" w:color="auto"/>
            </w:tcBorders>
          </w:tcPr>
          <w:p>
            <w:pPr>
              <w:jc w:val="right"/>
              <w:ind w:right="105"/>
              <w:spacing w:after="0"/>
              <w:rPr>
                <w:sz w:val="20"/>
                <w:szCs w:val="20"/>
                <w:color w:val="auto"/>
              </w:rPr>
            </w:pPr>
            <w:r>
              <w:rPr>
                <w:rFonts w:ascii="Arial" w:cs="Arial" w:eastAsia="Arial" w:hAnsi="Arial"/>
                <w:sz w:val="19"/>
                <w:szCs w:val="19"/>
                <w:b w:val="1"/>
                <w:bCs w:val="1"/>
                <w:color w:val="auto"/>
              </w:rPr>
              <w:t>1/25</w:t>
            </w:r>
          </w:p>
        </w:tc>
        <w:tc>
          <w:tcPr>
            <w:tcW w:w="260" w:type="dxa"/>
            <w:vAlign w:val="bottom"/>
          </w:tcPr>
          <w:p>
            <w:pPr>
              <w:spacing w:after="0"/>
              <w:rPr>
                <w:sz w:val="20"/>
                <w:szCs w:val="20"/>
                <w:color w:val="auto"/>
              </w:rPr>
            </w:pPr>
          </w:p>
        </w:tc>
        <w:tc>
          <w:tcPr>
            <w:tcW w:w="760" w:type="dxa"/>
            <w:vAlign w:val="bottom"/>
            <w:tcBorders>
              <w:bottom w:val="single" w:sz="8" w:color="auto"/>
            </w:tcBorders>
          </w:tcPr>
          <w:p>
            <w:pPr>
              <w:jc w:val="right"/>
              <w:ind w:right="105"/>
              <w:spacing w:after="0"/>
              <w:rPr>
                <w:sz w:val="20"/>
                <w:szCs w:val="20"/>
                <w:color w:val="auto"/>
              </w:rPr>
            </w:pPr>
            <w:r>
              <w:rPr>
                <w:rFonts w:ascii="Arial" w:cs="Arial" w:eastAsia="Arial" w:hAnsi="Arial"/>
                <w:sz w:val="19"/>
                <w:szCs w:val="19"/>
                <w:b w:val="1"/>
                <w:bCs w:val="1"/>
                <w:color w:val="auto"/>
              </w:rPr>
              <w:t>1/26</w:t>
            </w:r>
          </w:p>
        </w:tc>
      </w:tr>
      <w:tr>
        <w:trPr>
          <w:trHeight w:val="209"/>
        </w:trPr>
        <w:tc>
          <w:tcPr>
            <w:tcW w:w="2120" w:type="dxa"/>
            <w:vAlign w:val="bottom"/>
            <w:gridSpan w:val="2"/>
          </w:tcPr>
          <w:p>
            <w:pPr>
              <w:spacing w:after="0"/>
              <w:rPr>
                <w:sz w:val="18"/>
                <w:szCs w:val="18"/>
                <w:color w:val="auto"/>
              </w:rPr>
            </w:pPr>
          </w:p>
        </w:tc>
        <w:tc>
          <w:tcPr>
            <w:tcW w:w="25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20"/>
        </w:trPr>
        <w:tc>
          <w:tcPr>
            <w:tcW w:w="4640" w:type="dxa"/>
            <w:vAlign w:val="bottom"/>
            <w:gridSpan w:val="3"/>
            <w:shd w:val="clear" w:color="auto" w:fill="D1EDF4"/>
          </w:tcPr>
          <w:p>
            <w:pPr>
              <w:spacing w:after="0"/>
              <w:rPr>
                <w:sz w:val="20"/>
                <w:szCs w:val="20"/>
                <w:color w:val="auto"/>
              </w:rPr>
            </w:pPr>
            <w:r>
              <w:rPr>
                <w:rFonts w:ascii="Arial" w:cs="Arial" w:eastAsia="Arial" w:hAnsi="Arial"/>
                <w:sz w:val="19"/>
                <w:szCs w:val="19"/>
                <w:color w:val="auto"/>
              </w:rPr>
              <w:t>Citi Trends, Inc.</w:t>
            </w:r>
          </w:p>
        </w:tc>
        <w:tc>
          <w:tcPr>
            <w:tcW w:w="1020" w:type="dxa"/>
            <w:vAlign w:val="bottom"/>
            <w:gridSpan w:val="2"/>
            <w:shd w:val="clear" w:color="auto" w:fill="D1EDF4"/>
          </w:tcPr>
          <w:p>
            <w:pPr>
              <w:jc w:val="right"/>
              <w:spacing w:after="0"/>
              <w:rPr>
                <w:sz w:val="20"/>
                <w:szCs w:val="20"/>
                <w:color w:val="auto"/>
              </w:rPr>
            </w:pPr>
            <w:r>
              <w:rPr>
                <w:rFonts w:ascii="Arial" w:cs="Arial" w:eastAsia="Arial" w:hAnsi="Arial"/>
                <w:sz w:val="19"/>
                <w:szCs w:val="19"/>
                <w:color w:val="auto"/>
              </w:rPr>
              <w:t>100.00</w:t>
            </w:r>
          </w:p>
        </w:tc>
        <w:tc>
          <w:tcPr>
            <w:tcW w:w="1020" w:type="dxa"/>
            <w:vAlign w:val="bottom"/>
            <w:gridSpan w:val="2"/>
            <w:shd w:val="clear" w:color="auto" w:fill="D1EDF4"/>
          </w:tcPr>
          <w:p>
            <w:pPr>
              <w:jc w:val="right"/>
              <w:spacing w:after="0"/>
              <w:rPr>
                <w:sz w:val="20"/>
                <w:szCs w:val="20"/>
                <w:color w:val="auto"/>
              </w:rPr>
            </w:pPr>
            <w:r>
              <w:rPr>
                <w:rFonts w:ascii="Arial" w:cs="Arial" w:eastAsia="Arial" w:hAnsi="Arial"/>
                <w:sz w:val="19"/>
                <w:szCs w:val="19"/>
                <w:color w:val="auto"/>
              </w:rPr>
              <w:t>82.58</w:t>
            </w:r>
          </w:p>
        </w:tc>
        <w:tc>
          <w:tcPr>
            <w:tcW w:w="1020" w:type="dxa"/>
            <w:vAlign w:val="bottom"/>
            <w:gridSpan w:val="2"/>
            <w:shd w:val="clear" w:color="auto" w:fill="D1EDF4"/>
          </w:tcPr>
          <w:p>
            <w:pPr>
              <w:jc w:val="right"/>
              <w:spacing w:after="0"/>
              <w:rPr>
                <w:sz w:val="20"/>
                <w:szCs w:val="20"/>
                <w:color w:val="auto"/>
              </w:rPr>
            </w:pPr>
            <w:r>
              <w:rPr>
                <w:rFonts w:ascii="Arial" w:cs="Arial" w:eastAsia="Arial" w:hAnsi="Arial"/>
                <w:sz w:val="19"/>
                <w:szCs w:val="19"/>
                <w:color w:val="auto"/>
              </w:rPr>
              <w:t>53.36</w:t>
            </w:r>
          </w:p>
        </w:tc>
        <w:tc>
          <w:tcPr>
            <w:tcW w:w="1040" w:type="dxa"/>
            <w:vAlign w:val="bottom"/>
            <w:gridSpan w:val="2"/>
            <w:shd w:val="clear" w:color="auto" w:fill="D1EDF4"/>
          </w:tcPr>
          <w:p>
            <w:pPr>
              <w:jc w:val="right"/>
              <w:spacing w:after="0"/>
              <w:rPr>
                <w:sz w:val="20"/>
                <w:szCs w:val="20"/>
                <w:color w:val="auto"/>
              </w:rPr>
            </w:pPr>
            <w:r>
              <w:rPr>
                <w:rFonts w:ascii="Arial" w:cs="Arial" w:eastAsia="Arial" w:hAnsi="Arial"/>
                <w:sz w:val="19"/>
                <w:szCs w:val="19"/>
                <w:color w:val="auto"/>
              </w:rPr>
              <w:t>45.64</w:t>
            </w:r>
          </w:p>
        </w:tc>
        <w:tc>
          <w:tcPr>
            <w:tcW w:w="1040" w:type="dxa"/>
            <w:vAlign w:val="bottom"/>
            <w:gridSpan w:val="2"/>
            <w:shd w:val="clear" w:color="auto" w:fill="D1EDF4"/>
          </w:tcPr>
          <w:p>
            <w:pPr>
              <w:jc w:val="right"/>
              <w:spacing w:after="0"/>
              <w:rPr>
                <w:sz w:val="20"/>
                <w:szCs w:val="20"/>
                <w:color w:val="auto"/>
              </w:rPr>
            </w:pPr>
            <w:r>
              <w:rPr>
                <w:rFonts w:ascii="Arial" w:cs="Arial" w:eastAsia="Arial" w:hAnsi="Arial"/>
                <w:sz w:val="19"/>
                <w:szCs w:val="19"/>
                <w:color w:val="auto"/>
              </w:rPr>
              <w:t>43.90</w:t>
            </w:r>
          </w:p>
        </w:tc>
        <w:tc>
          <w:tcPr>
            <w:tcW w:w="1020" w:type="dxa"/>
            <w:vAlign w:val="bottom"/>
            <w:gridSpan w:val="2"/>
            <w:shd w:val="clear" w:color="auto" w:fill="D1EDF4"/>
          </w:tcPr>
          <w:p>
            <w:pPr>
              <w:jc w:val="right"/>
              <w:spacing w:after="0"/>
              <w:rPr>
                <w:sz w:val="20"/>
                <w:szCs w:val="20"/>
                <w:color w:val="auto"/>
              </w:rPr>
            </w:pPr>
            <w:r>
              <w:rPr>
                <w:rFonts w:ascii="Arial" w:cs="Arial" w:eastAsia="Arial" w:hAnsi="Arial"/>
                <w:sz w:val="19"/>
                <w:szCs w:val="19"/>
                <w:color w:val="auto"/>
              </w:rPr>
              <w:t>73.14</w:t>
            </w:r>
          </w:p>
        </w:tc>
      </w:tr>
      <w:tr>
        <w:trPr>
          <w:trHeight w:val="220"/>
        </w:trPr>
        <w:tc>
          <w:tcPr>
            <w:tcW w:w="4640" w:type="dxa"/>
            <w:vAlign w:val="bottom"/>
            <w:gridSpan w:val="3"/>
          </w:tcPr>
          <w:p>
            <w:pPr>
              <w:spacing w:after="0"/>
              <w:rPr>
                <w:sz w:val="20"/>
                <w:szCs w:val="20"/>
                <w:color w:val="auto"/>
              </w:rPr>
            </w:pPr>
            <w:r>
              <w:rPr>
                <w:rFonts w:ascii="Arial" w:cs="Arial" w:eastAsia="Arial" w:hAnsi="Arial"/>
                <w:sz w:val="19"/>
                <w:szCs w:val="19"/>
                <w:color w:val="auto"/>
              </w:rPr>
              <w:t>Russell 2000</w:t>
            </w:r>
          </w:p>
        </w:tc>
        <w:tc>
          <w:tcPr>
            <w:tcW w:w="1020" w:type="dxa"/>
            <w:vAlign w:val="bottom"/>
            <w:gridSpan w:val="2"/>
          </w:tcPr>
          <w:p>
            <w:pPr>
              <w:jc w:val="right"/>
              <w:spacing w:after="0"/>
              <w:rPr>
                <w:sz w:val="20"/>
                <w:szCs w:val="20"/>
                <w:color w:val="auto"/>
              </w:rPr>
            </w:pPr>
            <w:r>
              <w:rPr>
                <w:rFonts w:ascii="Arial" w:cs="Arial" w:eastAsia="Arial" w:hAnsi="Arial"/>
                <w:sz w:val="19"/>
                <w:szCs w:val="19"/>
                <w:color w:val="auto"/>
              </w:rPr>
              <w:t>100.00</w:t>
            </w:r>
          </w:p>
        </w:tc>
        <w:tc>
          <w:tcPr>
            <w:tcW w:w="1020" w:type="dxa"/>
            <w:vAlign w:val="bottom"/>
            <w:gridSpan w:val="2"/>
          </w:tcPr>
          <w:p>
            <w:pPr>
              <w:jc w:val="right"/>
              <w:spacing w:after="0"/>
              <w:rPr>
                <w:sz w:val="20"/>
                <w:szCs w:val="20"/>
                <w:color w:val="auto"/>
              </w:rPr>
            </w:pPr>
            <w:r>
              <w:rPr>
                <w:rFonts w:ascii="Arial" w:cs="Arial" w:eastAsia="Arial" w:hAnsi="Arial"/>
                <w:sz w:val="19"/>
                <w:szCs w:val="19"/>
                <w:color w:val="auto"/>
              </w:rPr>
              <w:t>98.79</w:t>
            </w:r>
          </w:p>
        </w:tc>
        <w:tc>
          <w:tcPr>
            <w:tcW w:w="1020" w:type="dxa"/>
            <w:vAlign w:val="bottom"/>
            <w:gridSpan w:val="2"/>
          </w:tcPr>
          <w:p>
            <w:pPr>
              <w:jc w:val="right"/>
              <w:spacing w:after="0"/>
              <w:rPr>
                <w:sz w:val="20"/>
                <w:szCs w:val="20"/>
                <w:color w:val="auto"/>
              </w:rPr>
            </w:pPr>
            <w:r>
              <w:rPr>
                <w:rFonts w:ascii="Arial" w:cs="Arial" w:eastAsia="Arial" w:hAnsi="Arial"/>
                <w:sz w:val="19"/>
                <w:szCs w:val="19"/>
                <w:color w:val="auto"/>
              </w:rPr>
              <w:t>95.45</w:t>
            </w:r>
          </w:p>
        </w:tc>
        <w:tc>
          <w:tcPr>
            <w:tcW w:w="1040" w:type="dxa"/>
            <w:vAlign w:val="bottom"/>
            <w:gridSpan w:val="2"/>
          </w:tcPr>
          <w:p>
            <w:pPr>
              <w:jc w:val="right"/>
              <w:spacing w:after="0"/>
              <w:rPr>
                <w:sz w:val="20"/>
                <w:szCs w:val="20"/>
                <w:color w:val="auto"/>
              </w:rPr>
            </w:pPr>
            <w:r>
              <w:rPr>
                <w:rFonts w:ascii="Arial" w:cs="Arial" w:eastAsia="Arial" w:hAnsi="Arial"/>
                <w:sz w:val="19"/>
                <w:szCs w:val="19"/>
                <w:color w:val="auto"/>
              </w:rPr>
              <w:t>97.75</w:t>
            </w:r>
          </w:p>
        </w:tc>
        <w:tc>
          <w:tcPr>
            <w:tcW w:w="1040" w:type="dxa"/>
            <w:vAlign w:val="bottom"/>
            <w:gridSpan w:val="2"/>
          </w:tcPr>
          <w:p>
            <w:pPr>
              <w:jc w:val="right"/>
              <w:spacing w:after="0"/>
              <w:rPr>
                <w:sz w:val="20"/>
                <w:szCs w:val="20"/>
                <w:color w:val="auto"/>
              </w:rPr>
            </w:pPr>
            <w:r>
              <w:rPr>
                <w:rFonts w:ascii="Arial" w:cs="Arial" w:eastAsia="Arial" w:hAnsi="Arial"/>
                <w:sz w:val="19"/>
                <w:szCs w:val="19"/>
                <w:color w:val="auto"/>
              </w:rPr>
              <w:t>116.41</w:t>
            </w:r>
          </w:p>
        </w:tc>
        <w:tc>
          <w:tcPr>
            <w:tcW w:w="1020" w:type="dxa"/>
            <w:vAlign w:val="bottom"/>
            <w:gridSpan w:val="2"/>
          </w:tcPr>
          <w:p>
            <w:pPr>
              <w:jc w:val="right"/>
              <w:spacing w:after="0"/>
              <w:rPr>
                <w:sz w:val="20"/>
                <w:szCs w:val="20"/>
                <w:color w:val="auto"/>
              </w:rPr>
            </w:pPr>
            <w:r>
              <w:rPr>
                <w:rFonts w:ascii="Arial" w:cs="Arial" w:eastAsia="Arial" w:hAnsi="Arial"/>
                <w:sz w:val="19"/>
                <w:szCs w:val="19"/>
                <w:color w:val="auto"/>
              </w:rPr>
              <w:t>134.81</w:t>
            </w:r>
          </w:p>
        </w:tc>
      </w:tr>
      <w:tr>
        <w:trPr>
          <w:trHeight w:val="220"/>
        </w:trPr>
        <w:tc>
          <w:tcPr>
            <w:tcW w:w="4640" w:type="dxa"/>
            <w:vAlign w:val="bottom"/>
            <w:gridSpan w:val="3"/>
            <w:shd w:val="clear" w:color="auto" w:fill="D1EDF4"/>
          </w:tcPr>
          <w:p>
            <w:pPr>
              <w:spacing w:after="0"/>
              <w:rPr>
                <w:sz w:val="20"/>
                <w:szCs w:val="20"/>
                <w:color w:val="auto"/>
              </w:rPr>
            </w:pPr>
            <w:r>
              <w:rPr>
                <w:rFonts w:ascii="Arial" w:cs="Arial" w:eastAsia="Arial" w:hAnsi="Arial"/>
                <w:sz w:val="19"/>
                <w:szCs w:val="19"/>
                <w:color w:val="auto"/>
              </w:rPr>
              <w:t>Dow Jones US Specialty Retailers</w:t>
            </w:r>
          </w:p>
        </w:tc>
        <w:tc>
          <w:tcPr>
            <w:tcW w:w="1020" w:type="dxa"/>
            <w:vAlign w:val="bottom"/>
            <w:gridSpan w:val="2"/>
            <w:shd w:val="clear" w:color="auto" w:fill="D1EDF4"/>
          </w:tcPr>
          <w:p>
            <w:pPr>
              <w:jc w:val="right"/>
              <w:spacing w:after="0"/>
              <w:rPr>
                <w:sz w:val="20"/>
                <w:szCs w:val="20"/>
                <w:color w:val="auto"/>
              </w:rPr>
            </w:pPr>
            <w:r>
              <w:rPr>
                <w:rFonts w:ascii="Arial" w:cs="Arial" w:eastAsia="Arial" w:hAnsi="Arial"/>
                <w:sz w:val="19"/>
                <w:szCs w:val="19"/>
                <w:color w:val="auto"/>
              </w:rPr>
              <w:t>100.00</w:t>
            </w:r>
          </w:p>
        </w:tc>
        <w:tc>
          <w:tcPr>
            <w:tcW w:w="1020" w:type="dxa"/>
            <w:vAlign w:val="bottom"/>
            <w:gridSpan w:val="2"/>
            <w:shd w:val="clear" w:color="auto" w:fill="D1EDF4"/>
          </w:tcPr>
          <w:p>
            <w:pPr>
              <w:jc w:val="right"/>
              <w:spacing w:after="0"/>
              <w:rPr>
                <w:sz w:val="20"/>
                <w:szCs w:val="20"/>
                <w:color w:val="auto"/>
              </w:rPr>
            </w:pPr>
            <w:r>
              <w:rPr>
                <w:rFonts w:ascii="Arial" w:cs="Arial" w:eastAsia="Arial" w:hAnsi="Arial"/>
                <w:sz w:val="19"/>
                <w:szCs w:val="19"/>
                <w:color w:val="auto"/>
              </w:rPr>
              <w:t>100.89</w:t>
            </w:r>
          </w:p>
        </w:tc>
        <w:tc>
          <w:tcPr>
            <w:tcW w:w="1020" w:type="dxa"/>
            <w:vAlign w:val="bottom"/>
            <w:gridSpan w:val="2"/>
            <w:shd w:val="clear" w:color="auto" w:fill="D1EDF4"/>
          </w:tcPr>
          <w:p>
            <w:pPr>
              <w:jc w:val="right"/>
              <w:spacing w:after="0"/>
              <w:rPr>
                <w:sz w:val="20"/>
                <w:szCs w:val="20"/>
                <w:color w:val="auto"/>
              </w:rPr>
            </w:pPr>
            <w:r>
              <w:rPr>
                <w:rFonts w:ascii="Arial" w:cs="Arial" w:eastAsia="Arial" w:hAnsi="Arial"/>
                <w:sz w:val="19"/>
                <w:szCs w:val="19"/>
                <w:color w:val="auto"/>
              </w:rPr>
              <w:t>96.22</w:t>
            </w:r>
          </w:p>
        </w:tc>
        <w:tc>
          <w:tcPr>
            <w:tcW w:w="1040" w:type="dxa"/>
            <w:vAlign w:val="bottom"/>
            <w:gridSpan w:val="2"/>
            <w:shd w:val="clear" w:color="auto" w:fill="D1EDF4"/>
          </w:tcPr>
          <w:p>
            <w:pPr>
              <w:jc w:val="right"/>
              <w:spacing w:after="0"/>
              <w:rPr>
                <w:sz w:val="20"/>
                <w:szCs w:val="20"/>
                <w:color w:val="auto"/>
              </w:rPr>
            </w:pPr>
            <w:r>
              <w:rPr>
                <w:rFonts w:ascii="Arial" w:cs="Arial" w:eastAsia="Arial" w:hAnsi="Arial"/>
                <w:sz w:val="19"/>
                <w:szCs w:val="19"/>
                <w:color w:val="auto"/>
              </w:rPr>
              <w:t>112.85</w:t>
            </w:r>
          </w:p>
        </w:tc>
        <w:tc>
          <w:tcPr>
            <w:tcW w:w="1040" w:type="dxa"/>
            <w:vAlign w:val="bottom"/>
            <w:gridSpan w:val="2"/>
            <w:shd w:val="clear" w:color="auto" w:fill="D1EDF4"/>
          </w:tcPr>
          <w:p>
            <w:pPr>
              <w:jc w:val="right"/>
              <w:spacing w:after="0"/>
              <w:rPr>
                <w:sz w:val="20"/>
                <w:szCs w:val="20"/>
                <w:color w:val="auto"/>
              </w:rPr>
            </w:pPr>
            <w:r>
              <w:rPr>
                <w:rFonts w:ascii="Arial" w:cs="Arial" w:eastAsia="Arial" w:hAnsi="Arial"/>
                <w:sz w:val="19"/>
                <w:szCs w:val="19"/>
                <w:color w:val="auto"/>
              </w:rPr>
              <w:t>167.01</w:t>
            </w:r>
          </w:p>
        </w:tc>
        <w:tc>
          <w:tcPr>
            <w:tcW w:w="1020" w:type="dxa"/>
            <w:vAlign w:val="bottom"/>
            <w:gridSpan w:val="2"/>
            <w:shd w:val="clear" w:color="auto" w:fill="D1EDF4"/>
          </w:tcPr>
          <w:p>
            <w:pPr>
              <w:jc w:val="right"/>
              <w:spacing w:after="0"/>
              <w:rPr>
                <w:sz w:val="20"/>
                <w:szCs w:val="20"/>
                <w:color w:val="auto"/>
              </w:rPr>
            </w:pPr>
            <w:r>
              <w:rPr>
                <w:rFonts w:ascii="Arial" w:cs="Arial" w:eastAsia="Arial" w:hAnsi="Arial"/>
                <w:sz w:val="19"/>
                <w:szCs w:val="19"/>
                <w:color w:val="auto"/>
              </w:rPr>
              <w:t>159.96</w:t>
            </w:r>
          </w:p>
        </w:tc>
      </w:tr>
      <w:tr>
        <w:trPr>
          <w:trHeight w:val="440"/>
        </w:trPr>
        <w:tc>
          <w:tcPr>
            <w:tcW w:w="1080" w:type="dxa"/>
            <w:vAlign w:val="bottom"/>
          </w:tcPr>
          <w:p>
            <w:pPr>
              <w:spacing w:after="0"/>
              <w:rPr>
                <w:sz w:val="20"/>
                <w:szCs w:val="20"/>
                <w:color w:val="auto"/>
              </w:rPr>
            </w:pPr>
            <w:r>
              <w:rPr>
                <w:rFonts w:ascii="Arial" w:cs="Arial" w:eastAsia="Arial" w:hAnsi="Arial"/>
                <w:sz w:val="19"/>
                <w:szCs w:val="19"/>
                <w:b w:val="1"/>
                <w:bCs w:val="1"/>
                <w:color w:val="auto"/>
              </w:rPr>
              <w:t>ITEM 6.</w:t>
            </w:r>
          </w:p>
        </w:tc>
        <w:tc>
          <w:tcPr>
            <w:tcW w:w="3560" w:type="dxa"/>
            <w:vAlign w:val="bottom"/>
            <w:gridSpan w:val="2"/>
          </w:tcPr>
          <w:p>
            <w:pPr>
              <w:spacing w:after="0"/>
              <w:rPr>
                <w:sz w:val="20"/>
                <w:szCs w:val="20"/>
                <w:color w:val="auto"/>
              </w:rPr>
            </w:pPr>
            <w:r>
              <w:rPr>
                <w:rFonts w:ascii="Arial" w:cs="Arial" w:eastAsia="Arial" w:hAnsi="Arial"/>
                <w:sz w:val="19"/>
                <w:szCs w:val="19"/>
                <w:b w:val="1"/>
                <w:bCs w:val="1"/>
                <w:color w:val="auto"/>
              </w:rPr>
              <w:t>RESERVED</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0"/>
        </w:trPr>
        <w:tc>
          <w:tcPr>
            <w:tcW w:w="10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800"/>
          </w:cols>
          <w:pgMar w:left="540" w:top="804" w:right="540" w:bottom="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ectPr>
          <w:pgSz w:w="11880" w:h="15480" w:orient="portrait"/>
          <w:cols w:equalWidth="0" w:num="1">
            <w:col w:w="10800"/>
          </w:cols>
          <w:pgMar w:left="540" w:top="804" w:right="540" w:bottom="16" w:gutter="0" w:footer="0" w:header="0"/>
          <w:type w:val="continuous"/>
        </w:sectPr>
      </w:pPr>
    </w:p>
    <w:bookmarkStart w:id="23" w:name="page24"/>
    <w:bookmarkEnd w:id="23"/>
    <w:p>
      <w:pPr>
        <w:ind w:left="1080" w:right="1180" w:hanging="1079"/>
        <w:spacing w:after="0" w:line="297" w:lineRule="auto"/>
        <w:tabs>
          <w:tab w:leader="none" w:pos="1060" w:val="left"/>
        </w:tabs>
        <w:rPr>
          <w:sz w:val="20"/>
          <w:szCs w:val="20"/>
          <w:color w:val="auto"/>
        </w:rPr>
      </w:pPr>
      <w:r>
        <w:rPr>
          <w:rFonts w:ascii="Arial" w:cs="Arial" w:eastAsia="Arial" w:hAnsi="Arial"/>
          <w:sz w:val="19"/>
          <w:szCs w:val="19"/>
          <w:b w:val="1"/>
          <w:bCs w:val="1"/>
          <w:color w:val="auto"/>
        </w:rPr>
        <w:t>ITEM 7.</w:t>
      </w:r>
      <w:r>
        <w:rPr>
          <w:sz w:val="20"/>
          <w:szCs w:val="20"/>
          <w:color w:val="auto"/>
        </w:rPr>
        <w:tab/>
      </w:r>
      <w:r>
        <w:rPr>
          <w:rFonts w:ascii="Arial" w:cs="Arial" w:eastAsia="Arial" w:hAnsi="Arial"/>
          <w:sz w:val="19"/>
          <w:szCs w:val="19"/>
          <w:b w:val="1"/>
          <w:bCs w:val="1"/>
          <w:u w:val="single" w:color="auto"/>
          <w:color w:val="auto"/>
        </w:rPr>
        <w:t>MANAGEMENT’S DISCUSSION AND ANALYSIS OF FINANCIAL CONDITION AND RESULTS OF OPERATIONS</w:t>
      </w:r>
    </w:p>
    <w:p>
      <w:pPr>
        <w:spacing w:after="0" w:line="68" w:lineRule="exact"/>
        <w:rPr>
          <w:sz w:val="20"/>
          <w:szCs w:val="20"/>
          <w:color w:val="auto"/>
        </w:rPr>
      </w:pPr>
    </w:p>
    <w:p>
      <w:pPr>
        <w:ind w:right="120"/>
        <w:spacing w:after="0" w:line="248" w:lineRule="auto"/>
        <w:rPr>
          <w:sz w:val="20"/>
          <w:szCs w:val="20"/>
          <w:color w:val="auto"/>
        </w:rPr>
      </w:pPr>
      <w:r>
        <w:rPr>
          <w:rFonts w:ascii="Arial" w:cs="Arial" w:eastAsia="Arial" w:hAnsi="Arial"/>
          <w:sz w:val="19"/>
          <w:szCs w:val="19"/>
          <w:i w:val="1"/>
          <w:iCs w:val="1"/>
          <w:color w:val="auto"/>
        </w:rPr>
        <w:t>The following discussion and analysis of our financial condition and results of operations should be read in conjunction with our audited consolidated financial statements and the related notes included elsewhere in this Annual Report on Form 10-K. This discussion may contain forward- looking statements that involve risks and uncertainties. As a result of many factors, such as those set forth under the section entitled “Risk Factors” and elsewhere in this Report, our actual results may differ materially from those anticipated in these forward-looking statements.</w:t>
      </w:r>
    </w:p>
    <w:p>
      <w:pPr>
        <w:spacing w:after="0" w:line="124" w:lineRule="exact"/>
        <w:rPr>
          <w:sz w:val="20"/>
          <w:szCs w:val="20"/>
          <w:color w:val="auto"/>
        </w:rPr>
      </w:pPr>
    </w:p>
    <w:p>
      <w:pPr>
        <w:ind w:right="60"/>
        <w:spacing w:after="0" w:line="250" w:lineRule="auto"/>
        <w:rPr>
          <w:sz w:val="20"/>
          <w:szCs w:val="20"/>
          <w:color w:val="auto"/>
        </w:rPr>
      </w:pPr>
      <w:r>
        <w:rPr>
          <w:rFonts w:ascii="Arial" w:cs="Arial" w:eastAsia="Arial" w:hAnsi="Arial"/>
          <w:sz w:val="19"/>
          <w:szCs w:val="19"/>
          <w:i w:val="1"/>
          <w:iCs w:val="1"/>
          <w:color w:val="auto"/>
        </w:rPr>
        <w:t>Discussions of our results of operations for the year ended February 1, 2025 compared to the year ended February 3, 2024 that have been omitted under this item can be found in "Part II, Item 7 - Management's Discussion and Analysis of Financial Condition and Results of Operations" in our Annual Report on Form 10-K for the year ended February 1, 2025, which was filed with the United States Securities and Exchange Commission on April 16, 2025.</w:t>
      </w:r>
    </w:p>
    <w:p>
      <w:pPr>
        <w:spacing w:after="0" w:line="11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Executive Overview</w:t>
      </w:r>
    </w:p>
    <w:p>
      <w:pPr>
        <w:spacing w:after="0" w:line="162"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color w:val="auto"/>
        </w:rPr>
        <w:t>We are the leading off-price value retailer of apparel, accessories and home trends primarily for Black families. Our high-quality and trend-right merchandise offerings at everyday low prices are designed to appeal to the fashion and trend preferences of value-conscious customers. As of January 31, 2026, we operated 590 stores in urban, suburban and rural markets in 33 states.</w:t>
      </w:r>
    </w:p>
    <w:p>
      <w:pPr>
        <w:spacing w:after="0" w:line="9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Fiscal 2025 Business Highlights</w:t>
      </w:r>
    </w:p>
    <w:p>
      <w:pPr>
        <w:spacing w:after="0" w:line="168" w:lineRule="exact"/>
        <w:rPr>
          <w:sz w:val="20"/>
          <w:szCs w:val="20"/>
          <w:color w:val="auto"/>
        </w:rPr>
      </w:pPr>
    </w:p>
    <w:p>
      <w:pPr>
        <w:ind w:left="720" w:right="200" w:hanging="360"/>
        <w:spacing w:after="0" w:line="266" w:lineRule="auto"/>
        <w:tabs>
          <w:tab w:leader="none" w:pos="720" w:val="left"/>
        </w:tabs>
        <w:numPr>
          <w:ilvl w:val="0"/>
          <w:numId w:val="9"/>
        </w:numPr>
        <w:rPr>
          <w:rFonts w:ascii="Symbol" w:cs="Symbol" w:eastAsia="Symbol" w:hAnsi="Symbol"/>
          <w:sz w:val="19"/>
          <w:szCs w:val="19"/>
          <w:color w:val="auto"/>
        </w:rPr>
      </w:pPr>
      <w:r>
        <w:rPr>
          <w:rFonts w:ascii="Arial" w:cs="Arial" w:eastAsia="Arial" w:hAnsi="Arial"/>
          <w:sz w:val="19"/>
          <w:szCs w:val="19"/>
          <w:color w:val="auto"/>
        </w:rPr>
        <w:t>Continued to refine our three-tiered product assortment strategy, with balanced good-better-best offerings, trend-right fashion and the addition of extreme value branded treasures, focused on Black consumers</w:t>
      </w:r>
    </w:p>
    <w:p>
      <w:pPr>
        <w:spacing w:after="0" w:line="109" w:lineRule="exact"/>
        <w:rPr>
          <w:rFonts w:ascii="Symbol" w:cs="Symbol" w:eastAsia="Symbol" w:hAnsi="Symbol"/>
          <w:sz w:val="19"/>
          <w:szCs w:val="19"/>
          <w:color w:val="auto"/>
        </w:rPr>
      </w:pPr>
    </w:p>
    <w:p>
      <w:pPr>
        <w:ind w:left="720" w:hanging="360"/>
        <w:spacing w:after="0" w:line="266" w:lineRule="auto"/>
        <w:tabs>
          <w:tab w:leader="none" w:pos="720" w:val="left"/>
        </w:tabs>
        <w:numPr>
          <w:ilvl w:val="0"/>
          <w:numId w:val="9"/>
        </w:numPr>
        <w:rPr>
          <w:rFonts w:ascii="Symbol" w:cs="Symbol" w:eastAsia="Symbol" w:hAnsi="Symbol"/>
          <w:sz w:val="19"/>
          <w:szCs w:val="19"/>
          <w:color w:val="auto"/>
        </w:rPr>
      </w:pPr>
      <w:r>
        <w:rPr>
          <w:rFonts w:ascii="Arial" w:cs="Arial" w:eastAsia="Arial" w:hAnsi="Arial"/>
          <w:sz w:val="19"/>
          <w:szCs w:val="19"/>
          <w:color w:val="auto"/>
        </w:rPr>
        <w:t>Launched our holiday “Joy Looks Good on You” marketing campaign, with over 55 million views and engagements, and refreshed our social media presence under @wearecititrends</w:t>
      </w:r>
    </w:p>
    <w:p>
      <w:pPr>
        <w:spacing w:after="0" w:line="109" w:lineRule="exact"/>
        <w:rPr>
          <w:rFonts w:ascii="Symbol" w:cs="Symbol" w:eastAsia="Symbol" w:hAnsi="Symbol"/>
          <w:sz w:val="19"/>
          <w:szCs w:val="19"/>
          <w:color w:val="auto"/>
        </w:rPr>
      </w:pPr>
    </w:p>
    <w:p>
      <w:pPr>
        <w:ind w:left="720" w:right="200" w:hanging="360"/>
        <w:spacing w:after="0" w:line="266" w:lineRule="auto"/>
        <w:tabs>
          <w:tab w:leader="none" w:pos="720" w:val="left"/>
        </w:tabs>
        <w:numPr>
          <w:ilvl w:val="0"/>
          <w:numId w:val="9"/>
        </w:numPr>
        <w:rPr>
          <w:rFonts w:ascii="Symbol" w:cs="Symbol" w:eastAsia="Symbol" w:hAnsi="Symbol"/>
          <w:sz w:val="19"/>
          <w:szCs w:val="19"/>
          <w:color w:val="auto"/>
        </w:rPr>
      </w:pPr>
      <w:r>
        <w:rPr>
          <w:rFonts w:ascii="Arial" w:cs="Arial" w:eastAsia="Arial" w:hAnsi="Arial"/>
          <w:sz w:val="19"/>
          <w:szCs w:val="19"/>
          <w:color w:val="auto"/>
        </w:rPr>
        <w:t>Completed the implementation of an AI-based allocation system in the third quarter and began development of an AI-based merchandise planning system</w:t>
      </w:r>
    </w:p>
    <w:p>
      <w:pPr>
        <w:spacing w:after="0" w:line="109" w:lineRule="exact"/>
        <w:rPr>
          <w:rFonts w:ascii="Symbol" w:cs="Symbol" w:eastAsia="Symbol" w:hAnsi="Symbol"/>
          <w:sz w:val="19"/>
          <w:szCs w:val="19"/>
          <w:color w:val="auto"/>
        </w:rPr>
      </w:pPr>
    </w:p>
    <w:p>
      <w:pPr>
        <w:ind w:left="720" w:right="320" w:hanging="360"/>
        <w:spacing w:after="0" w:line="266" w:lineRule="auto"/>
        <w:tabs>
          <w:tab w:leader="none" w:pos="720" w:val="left"/>
        </w:tabs>
        <w:numPr>
          <w:ilvl w:val="0"/>
          <w:numId w:val="9"/>
        </w:numPr>
        <w:rPr>
          <w:rFonts w:ascii="Symbol" w:cs="Symbol" w:eastAsia="Symbol" w:hAnsi="Symbol"/>
          <w:sz w:val="19"/>
          <w:szCs w:val="19"/>
          <w:color w:val="auto"/>
        </w:rPr>
      </w:pPr>
      <w:r>
        <w:rPr>
          <w:rFonts w:ascii="Arial" w:cs="Arial" w:eastAsia="Arial" w:hAnsi="Arial"/>
          <w:sz w:val="19"/>
          <w:szCs w:val="19"/>
          <w:color w:val="auto"/>
        </w:rPr>
        <w:t>Implemented foundational and fundamental standardized business practices throughout the organization to improve consistency of operating performance and efficiency of expense.</w:t>
      </w:r>
    </w:p>
    <w:p>
      <w:pPr>
        <w:spacing w:after="0" w:line="110" w:lineRule="exact"/>
        <w:rPr>
          <w:rFonts w:ascii="Symbol" w:cs="Symbol" w:eastAsia="Symbol" w:hAnsi="Symbol"/>
          <w:sz w:val="19"/>
          <w:szCs w:val="19"/>
          <w:color w:val="auto"/>
        </w:rPr>
      </w:pPr>
    </w:p>
    <w:p>
      <w:pPr>
        <w:ind w:left="720" w:hanging="360"/>
        <w:spacing w:after="0"/>
        <w:tabs>
          <w:tab w:leader="none" w:pos="720" w:val="left"/>
        </w:tabs>
        <w:numPr>
          <w:ilvl w:val="0"/>
          <w:numId w:val="9"/>
        </w:numPr>
        <w:rPr>
          <w:rFonts w:ascii="Symbol" w:cs="Symbol" w:eastAsia="Symbol" w:hAnsi="Symbol"/>
          <w:sz w:val="19"/>
          <w:szCs w:val="19"/>
          <w:color w:val="auto"/>
        </w:rPr>
      </w:pPr>
      <w:r>
        <w:rPr>
          <w:rFonts w:ascii="Arial" w:cs="Arial" w:eastAsia="Arial" w:hAnsi="Arial"/>
          <w:sz w:val="19"/>
          <w:szCs w:val="19"/>
          <w:color w:val="auto"/>
        </w:rPr>
        <w:t>Opened 3 new stores, remodeled 62 stores and closed 4 stores to end the year with 590 locations</w:t>
      </w:r>
    </w:p>
    <w:p>
      <w:pPr>
        <w:spacing w:after="0" w:line="15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Fiscal 2025 Financial Highlights</w:t>
      </w:r>
    </w:p>
    <w:p>
      <w:pPr>
        <w:spacing w:after="0" w:line="168" w:lineRule="exact"/>
        <w:rPr>
          <w:sz w:val="20"/>
          <w:szCs w:val="20"/>
          <w:color w:val="auto"/>
        </w:rPr>
      </w:pPr>
    </w:p>
    <w:p>
      <w:pPr>
        <w:ind w:left="720" w:hanging="360"/>
        <w:spacing w:after="0"/>
        <w:tabs>
          <w:tab w:leader="none" w:pos="720" w:val="left"/>
        </w:tabs>
        <w:numPr>
          <w:ilvl w:val="0"/>
          <w:numId w:val="10"/>
        </w:numPr>
        <w:rPr>
          <w:rFonts w:ascii="Symbol" w:cs="Symbol" w:eastAsia="Symbol" w:hAnsi="Symbol"/>
          <w:sz w:val="19"/>
          <w:szCs w:val="19"/>
          <w:color w:val="auto"/>
        </w:rPr>
      </w:pPr>
      <w:r>
        <w:rPr>
          <w:rFonts w:ascii="Arial" w:cs="Arial" w:eastAsia="Arial" w:hAnsi="Arial"/>
          <w:sz w:val="19"/>
          <w:szCs w:val="19"/>
          <w:color w:val="auto"/>
        </w:rPr>
        <w:t>Total sales of $820.0 million, an increase of $66.9 million, or 8.9%, compared to fiscal 2024</w:t>
      </w:r>
    </w:p>
    <w:p>
      <w:pPr>
        <w:spacing w:after="0" w:line="158" w:lineRule="exact"/>
        <w:rPr>
          <w:rFonts w:ascii="Symbol" w:cs="Symbol" w:eastAsia="Symbol" w:hAnsi="Symbol"/>
          <w:sz w:val="19"/>
          <w:szCs w:val="19"/>
          <w:color w:val="auto"/>
        </w:rPr>
      </w:pPr>
    </w:p>
    <w:p>
      <w:pPr>
        <w:ind w:left="720" w:right="380" w:hanging="360"/>
        <w:spacing w:after="0" w:line="266" w:lineRule="auto"/>
        <w:tabs>
          <w:tab w:leader="none" w:pos="720" w:val="left"/>
        </w:tabs>
        <w:numPr>
          <w:ilvl w:val="0"/>
          <w:numId w:val="10"/>
        </w:numPr>
        <w:rPr>
          <w:rFonts w:ascii="Symbol" w:cs="Symbol" w:eastAsia="Symbol" w:hAnsi="Symbol"/>
          <w:sz w:val="19"/>
          <w:szCs w:val="19"/>
          <w:color w:val="auto"/>
        </w:rPr>
      </w:pPr>
      <w:r>
        <w:rPr>
          <w:rFonts w:ascii="Arial" w:cs="Arial" w:eastAsia="Arial" w:hAnsi="Arial"/>
          <w:sz w:val="19"/>
          <w:szCs w:val="19"/>
          <w:color w:val="auto"/>
        </w:rPr>
        <w:t>Comparable store sales increase of 9.7% vs fiscal 2024, 13.1% on a two-year basis, with the majority of the growth from increased transactions</w:t>
      </w:r>
    </w:p>
    <w:p>
      <w:pPr>
        <w:spacing w:after="0" w:line="109" w:lineRule="exact"/>
        <w:rPr>
          <w:rFonts w:ascii="Symbol" w:cs="Symbol" w:eastAsia="Symbol" w:hAnsi="Symbol"/>
          <w:sz w:val="19"/>
          <w:szCs w:val="19"/>
          <w:color w:val="auto"/>
        </w:rPr>
      </w:pPr>
    </w:p>
    <w:p>
      <w:pPr>
        <w:ind w:left="720" w:right="340" w:hanging="360"/>
        <w:spacing w:after="0" w:line="266" w:lineRule="auto"/>
        <w:tabs>
          <w:tab w:leader="none" w:pos="720" w:val="left"/>
        </w:tabs>
        <w:numPr>
          <w:ilvl w:val="0"/>
          <w:numId w:val="10"/>
        </w:numPr>
        <w:rPr>
          <w:rFonts w:ascii="Symbol" w:cs="Symbol" w:eastAsia="Symbol" w:hAnsi="Symbol"/>
          <w:sz w:val="19"/>
          <w:szCs w:val="19"/>
          <w:color w:val="auto"/>
        </w:rPr>
      </w:pPr>
      <w:r>
        <w:rPr>
          <w:rFonts w:ascii="Arial" w:cs="Arial" w:eastAsia="Arial" w:hAnsi="Arial"/>
          <w:sz w:val="19"/>
          <w:szCs w:val="19"/>
          <w:color w:val="auto"/>
        </w:rPr>
        <w:t>Net income of $5.2 million, including the $11.0 million gain on the sale of the Savannah office building in the second quarter of fiscal 2025</w:t>
      </w:r>
    </w:p>
    <w:p>
      <w:pPr>
        <w:spacing w:after="0" w:line="109" w:lineRule="exact"/>
        <w:rPr>
          <w:rFonts w:ascii="Symbol" w:cs="Symbol" w:eastAsia="Symbol" w:hAnsi="Symbol"/>
          <w:sz w:val="19"/>
          <w:szCs w:val="19"/>
          <w:color w:val="auto"/>
        </w:rPr>
      </w:pPr>
    </w:p>
    <w:p>
      <w:pPr>
        <w:ind w:left="720" w:hanging="360"/>
        <w:spacing w:after="0"/>
        <w:tabs>
          <w:tab w:leader="none" w:pos="720" w:val="left"/>
        </w:tabs>
        <w:numPr>
          <w:ilvl w:val="0"/>
          <w:numId w:val="10"/>
        </w:numPr>
        <w:rPr>
          <w:rFonts w:ascii="Symbol" w:cs="Symbol" w:eastAsia="Symbol" w:hAnsi="Symbol"/>
          <w:sz w:val="19"/>
          <w:szCs w:val="19"/>
          <w:color w:val="auto"/>
        </w:rPr>
      </w:pPr>
      <w:r>
        <w:rPr>
          <w:rFonts w:ascii="Arial" w:cs="Arial" w:eastAsia="Arial" w:hAnsi="Arial"/>
          <w:sz w:val="19"/>
          <w:szCs w:val="19"/>
          <w:color w:val="auto"/>
        </w:rPr>
        <w:t>Cash of $66.1 million at the end of the fiscal year, with no debt and no drawings on our $75 million line of credit</w:t>
      </w:r>
    </w:p>
    <w:p>
      <w:pPr>
        <w:spacing w:after="0" w:line="14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Strategy</w:t>
      </w:r>
    </w:p>
    <w:p>
      <w:pPr>
        <w:spacing w:after="0" w:line="164"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We believe that CITITRENDS is in a unique position to serve our loyal customer base, with a long runway for store growth and a strong leadership team supported by a healthy balance sheet. As described in more detail in “Item 1 – Business,” we have identified five strategic areas of focus that we believe will accelerate our sales and earnings growth over the next few years:</w:t>
      </w:r>
    </w:p>
    <w:p>
      <w:pPr>
        <w:spacing w:after="0" w:line="101" w:lineRule="exact"/>
        <w:rPr>
          <w:sz w:val="20"/>
          <w:szCs w:val="20"/>
          <w:color w:val="auto"/>
        </w:rPr>
      </w:pPr>
    </w:p>
    <w:p>
      <w:pPr>
        <w:ind w:right="180"/>
        <w:spacing w:after="0" w:line="251" w:lineRule="auto"/>
        <w:rPr>
          <w:sz w:val="20"/>
          <w:szCs w:val="20"/>
          <w:color w:val="auto"/>
        </w:rPr>
      </w:pPr>
      <w:r>
        <w:rPr>
          <w:rFonts w:ascii="Arial" w:cs="Arial" w:eastAsia="Arial" w:hAnsi="Arial"/>
          <w:sz w:val="19"/>
          <w:szCs w:val="19"/>
          <w:b w:val="1"/>
          <w:bCs w:val="1"/>
          <w:i w:val="1"/>
          <w:iCs w:val="1"/>
          <w:color w:val="auto"/>
        </w:rPr>
        <w:t>Offer Compelling Value Proposition</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We believe that we can drive increases in traffic and basket by focusing on our three-tiered product strategy of opening prices, core value product and familiar brands at incredible values, all focused on the wants and needs of our Black customers. We believe that delivering newness and freshness results in high customer frequency. Our expanded offering of “treasures”, or extreme value product offerings, further strengthens this strategy and deepens our relationship with our customers.</w:t>
      </w:r>
    </w:p>
    <w:p>
      <w:pPr>
        <w:sectPr>
          <w:pgSz w:w="11880" w:h="15480" w:orient="portrait"/>
          <w:cols w:equalWidth="0" w:num="1">
            <w:col w:w="10760"/>
          </w:cols>
          <w:pgMar w:left="540" w:top="803" w:right="580" w:bottom="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24</w:t>
      </w:r>
    </w:p>
    <w:p>
      <w:pPr>
        <w:sectPr>
          <w:pgSz w:w="11880" w:h="15480" w:orient="portrait"/>
          <w:cols w:equalWidth="0" w:num="1">
            <w:col w:w="10760"/>
          </w:cols>
          <w:pgMar w:left="540" w:top="803" w:right="580" w:bottom="16" w:gutter="0" w:footer="0" w:header="0"/>
          <w:type w:val="continuous"/>
        </w:sectPr>
      </w:pPr>
    </w:p>
    <w:bookmarkStart w:id="24" w:name="page25"/>
    <w:bookmarkEnd w:id="24"/>
    <w:p>
      <w:pPr>
        <w:ind w:right="80"/>
        <w:spacing w:after="0" w:line="253" w:lineRule="auto"/>
        <w:rPr>
          <w:sz w:val="20"/>
          <w:szCs w:val="20"/>
          <w:color w:val="auto"/>
        </w:rPr>
      </w:pPr>
      <w:r>
        <w:rPr>
          <w:rFonts w:ascii="Arial" w:cs="Arial" w:eastAsia="Arial" w:hAnsi="Arial"/>
          <w:sz w:val="19"/>
          <w:szCs w:val="19"/>
          <w:b w:val="1"/>
          <w:bCs w:val="1"/>
          <w:i w:val="1"/>
          <w:iCs w:val="1"/>
          <w:color w:val="auto"/>
        </w:rPr>
        <w:t xml:space="preserve">Focus on the Black Customer. </w:t>
      </w:r>
      <w:r>
        <w:rPr>
          <w:rFonts w:ascii="Arial" w:cs="Arial" w:eastAsia="Arial" w:hAnsi="Arial"/>
          <w:sz w:val="19"/>
          <w:szCs w:val="19"/>
          <w:color w:val="auto"/>
        </w:rPr>
        <w:t>We believe that a sharpened focus on our Black customers will drive improved sales through a</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more focused product assortment designed to address their fashion needs and wants, supporting their ability to express themselves through the creation of their own style. We believe that our refined understanding of our customer will drive increased traffic and conversion in our stores.</w:t>
      </w:r>
    </w:p>
    <w:p>
      <w:pPr>
        <w:spacing w:after="0" w:line="113" w:lineRule="exact"/>
        <w:rPr>
          <w:sz w:val="20"/>
          <w:szCs w:val="20"/>
          <w:color w:val="auto"/>
        </w:rPr>
      </w:pPr>
    </w:p>
    <w:p>
      <w:pPr>
        <w:ind w:right="460"/>
        <w:spacing w:after="0" w:line="260" w:lineRule="auto"/>
        <w:rPr>
          <w:sz w:val="20"/>
          <w:szCs w:val="20"/>
          <w:color w:val="auto"/>
        </w:rPr>
      </w:pPr>
      <w:r>
        <w:rPr>
          <w:rFonts w:ascii="Arial" w:cs="Arial" w:eastAsia="Arial" w:hAnsi="Arial"/>
          <w:sz w:val="19"/>
          <w:szCs w:val="19"/>
          <w:b w:val="1"/>
          <w:bCs w:val="1"/>
          <w:i w:val="1"/>
          <w:iCs w:val="1"/>
          <w:color w:val="auto"/>
        </w:rPr>
        <w:t>Consistent Operational Excellence</w:t>
      </w:r>
      <w:r>
        <w:rPr>
          <w:rFonts w:ascii="Arial" w:cs="Arial" w:eastAsia="Arial" w:hAnsi="Arial"/>
          <w:sz w:val="19"/>
          <w:szCs w:val="19"/>
          <w:color w:val="auto"/>
        </w:rPr>
        <w:t>. We believe that the work we are doing to develop fundamental retail practices and to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focus on consistent execution will produce strong, sustainable financial results while positioning us for future, accelerated growth.</w:t>
      </w:r>
    </w:p>
    <w:p>
      <w:pPr>
        <w:spacing w:after="0" w:line="105" w:lineRule="exact"/>
        <w:rPr>
          <w:sz w:val="20"/>
          <w:szCs w:val="20"/>
          <w:color w:val="auto"/>
        </w:rPr>
      </w:pPr>
    </w:p>
    <w:p>
      <w:pPr>
        <w:ind w:right="120"/>
        <w:spacing w:after="0" w:line="250" w:lineRule="auto"/>
        <w:rPr>
          <w:sz w:val="20"/>
          <w:szCs w:val="20"/>
          <w:color w:val="auto"/>
        </w:rPr>
      </w:pPr>
      <w:r>
        <w:rPr>
          <w:rFonts w:ascii="Arial" w:cs="Arial" w:eastAsia="Arial" w:hAnsi="Arial"/>
          <w:sz w:val="19"/>
          <w:szCs w:val="19"/>
          <w:b w:val="1"/>
          <w:bCs w:val="1"/>
          <w:i w:val="1"/>
          <w:iCs w:val="1"/>
          <w:color w:val="auto"/>
        </w:rPr>
        <w:t>Growth</w:t>
      </w:r>
      <w:r>
        <w:rPr>
          <w:rFonts w:ascii="Arial" w:cs="Arial" w:eastAsia="Arial" w:hAnsi="Arial"/>
          <w:sz w:val="19"/>
          <w:szCs w:val="19"/>
          <w:color w:val="auto"/>
        </w:rPr>
        <w:t>. We believe that we can maximize the productivity of our existing 590 stores located in the heart of Black communities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by executing on the three areas of focus stated above and by continued refinement of our store format. While we believe that maximizing the productivity of our existing fleet provides significant opportunity for sales and earnings growth, we continue to believe that CITITRENDS has the potential to grow, and we expect to accelerate square footage expansion over time, including through potential assumptions of leases or subleases.</w:t>
      </w:r>
    </w:p>
    <w:p>
      <w:pPr>
        <w:spacing w:after="0" w:line="115" w:lineRule="exact"/>
        <w:rPr>
          <w:sz w:val="20"/>
          <w:szCs w:val="20"/>
          <w:color w:val="auto"/>
        </w:rPr>
      </w:pPr>
    </w:p>
    <w:p>
      <w:pPr>
        <w:ind w:right="260"/>
        <w:spacing w:after="0" w:line="260" w:lineRule="auto"/>
        <w:rPr>
          <w:sz w:val="20"/>
          <w:szCs w:val="20"/>
          <w:color w:val="auto"/>
        </w:rPr>
      </w:pPr>
      <w:r>
        <w:rPr>
          <w:rFonts w:ascii="Arial" w:cs="Arial" w:eastAsia="Arial" w:hAnsi="Arial"/>
          <w:sz w:val="19"/>
          <w:szCs w:val="19"/>
          <w:b w:val="1"/>
          <w:bCs w:val="1"/>
          <w:i w:val="1"/>
          <w:iCs w:val="1"/>
          <w:color w:val="auto"/>
        </w:rPr>
        <w:t xml:space="preserve">People. </w:t>
      </w:r>
      <w:r>
        <w:rPr>
          <w:rFonts w:ascii="Arial" w:cs="Arial" w:eastAsia="Arial" w:hAnsi="Arial"/>
          <w:sz w:val="19"/>
          <w:szCs w:val="19"/>
          <w:color w:val="auto"/>
        </w:rPr>
        <w:t>We believe that our teams across the organization, led by Ken Seipel, our Chief Executive Officer, and their ability to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consistently execute while staying focused on our Black customer, providing great product and a welcoming in-store environment, are a key differentiator for our business and are key to the continued transformation of our company.</w:t>
      </w:r>
    </w:p>
    <w:p>
      <w:pPr>
        <w:spacing w:after="0" w:line="105" w:lineRule="exact"/>
        <w:rPr>
          <w:sz w:val="20"/>
          <w:szCs w:val="20"/>
          <w:color w:val="auto"/>
        </w:rPr>
      </w:pPr>
    </w:p>
    <w:p>
      <w:pPr>
        <w:spacing w:after="0" w:line="281" w:lineRule="auto"/>
        <w:rPr>
          <w:sz w:val="20"/>
          <w:szCs w:val="20"/>
          <w:color w:val="auto"/>
        </w:rPr>
      </w:pPr>
      <w:r>
        <w:rPr>
          <w:rFonts w:ascii="Arial" w:cs="Arial" w:eastAsia="Arial" w:hAnsi="Arial"/>
          <w:sz w:val="19"/>
          <w:szCs w:val="19"/>
          <w:color w:val="auto"/>
        </w:rPr>
        <w:t>We strongly believe that our business strategy centered around these five areas will accelerate our long-term sales and earnings growth.</w:t>
      </w:r>
    </w:p>
    <w:p>
      <w:pPr>
        <w:spacing w:after="0" w:line="8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Uncertainties and Challenges</w:t>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General Economic Conditions</w:t>
      </w:r>
    </w:p>
    <w:p>
      <w:pPr>
        <w:spacing w:after="0" w:line="156" w:lineRule="exact"/>
        <w:rPr>
          <w:sz w:val="20"/>
          <w:szCs w:val="20"/>
          <w:color w:val="auto"/>
        </w:rPr>
      </w:pPr>
    </w:p>
    <w:p>
      <w:pPr>
        <w:ind w:right="320"/>
        <w:spacing w:after="0" w:line="272" w:lineRule="auto"/>
        <w:rPr>
          <w:sz w:val="20"/>
          <w:szCs w:val="20"/>
          <w:color w:val="auto"/>
        </w:rPr>
      </w:pPr>
      <w:r>
        <w:rPr>
          <w:rFonts w:ascii="Arial" w:cs="Arial" w:eastAsia="Arial" w:hAnsi="Arial"/>
          <w:sz w:val="18"/>
          <w:szCs w:val="18"/>
          <w:color w:val="auto"/>
        </w:rPr>
        <w:t>We are monitoring trends in general economic conditions, including on-going inflationary pressures, new and changing tariff programs and changes in consumer sentiment. We continue to monitor the impacts on our business of unemployment levels, wage inflation, interest rates, inflation rates, housing costs, energy costs, consumer confidence, consumer perception of economic conditions, costs to source our merchandise and supply chain disruptions.</w:t>
      </w:r>
    </w:p>
    <w:p>
      <w:pPr>
        <w:spacing w:after="0" w:line="10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Seasonality and Weather Conditions</w:t>
      </w:r>
    </w:p>
    <w:p>
      <w:pPr>
        <w:spacing w:after="0" w:line="156" w:lineRule="exact"/>
        <w:rPr>
          <w:sz w:val="20"/>
          <w:szCs w:val="20"/>
          <w:color w:val="auto"/>
        </w:rPr>
      </w:pPr>
    </w:p>
    <w:p>
      <w:pPr>
        <w:ind w:right="20"/>
        <w:spacing w:after="0" w:line="253" w:lineRule="auto"/>
        <w:rPr>
          <w:sz w:val="20"/>
          <w:szCs w:val="20"/>
          <w:color w:val="auto"/>
        </w:rPr>
      </w:pPr>
      <w:r>
        <w:rPr>
          <w:rFonts w:ascii="Arial" w:cs="Arial" w:eastAsia="Arial" w:hAnsi="Arial"/>
          <w:sz w:val="19"/>
          <w:szCs w:val="19"/>
          <w:color w:val="auto"/>
        </w:rPr>
        <w:t>The nature of our business is seasonal. Historically, sales in the first and fourth quarters have been higher than sales achieved in the second and third quarters of the fiscal year. In addition, sales of clothing are directly impacted by the timing of the seasons to which the clothing relates. While we have expanded our product offerings to balance discretionary with non-discretionary products, traffic to our stores is still influenced by weather patterns to some extent.</w:t>
      </w:r>
    </w:p>
    <w:p>
      <w:pPr>
        <w:spacing w:after="0" w:line="10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Basis of Presentation</w:t>
      </w:r>
    </w:p>
    <w:p>
      <w:pPr>
        <w:spacing w:after="0" w:line="164" w:lineRule="exact"/>
        <w:rPr>
          <w:sz w:val="20"/>
          <w:szCs w:val="20"/>
          <w:color w:val="auto"/>
        </w:rPr>
      </w:pPr>
    </w:p>
    <w:p>
      <w:pPr>
        <w:ind w:right="100"/>
        <w:spacing w:after="0" w:line="248" w:lineRule="auto"/>
        <w:rPr>
          <w:sz w:val="20"/>
          <w:szCs w:val="20"/>
          <w:color w:val="auto"/>
        </w:rPr>
      </w:pPr>
      <w:r>
        <w:rPr>
          <w:rFonts w:ascii="Arial" w:cs="Arial" w:eastAsia="Arial" w:hAnsi="Arial"/>
          <w:sz w:val="19"/>
          <w:szCs w:val="19"/>
          <w:color w:val="auto"/>
        </w:rPr>
        <w:t>Net sales consist of store sales and layaway fees, net of returns by customers. Cost of sales consists of the cost of products we sell and associated freight costs. Depreciation is not considered a component of cost of sales and is included as a separate line item in the consolidated statements of operations. Selling, general and administrative expenses are comprised of store costs, including payroll and occupancy costs, corporate and distribution center costs and marketing costs. The years ended January 31, 2026, February 1, 2025 and February 3, 2024 are referred to herein as fiscal 2025, fiscal 2024 and fiscal 2023, respectively. Fiscal years 2025 and 2024 are each comprised of 52 weeks, while fiscal 2023 is comprised of 53 weeks.</w:t>
      </w:r>
    </w:p>
    <w:p>
      <w:pPr>
        <w:spacing w:after="0" w:line="11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Results of Operations</w:t>
      </w:r>
    </w:p>
    <w:p>
      <w:pPr>
        <w:spacing w:after="0" w:line="164" w:lineRule="exact"/>
        <w:rPr>
          <w:sz w:val="20"/>
          <w:szCs w:val="20"/>
          <w:color w:val="auto"/>
        </w:rPr>
      </w:pPr>
    </w:p>
    <w:p>
      <w:pPr>
        <w:ind w:right="60"/>
        <w:spacing w:after="0" w:line="253" w:lineRule="auto"/>
        <w:rPr>
          <w:sz w:val="20"/>
          <w:szCs w:val="20"/>
          <w:color w:val="auto"/>
        </w:rPr>
      </w:pPr>
      <w:r>
        <w:rPr>
          <w:rFonts w:ascii="Arial" w:cs="Arial" w:eastAsia="Arial" w:hAnsi="Arial"/>
          <w:sz w:val="19"/>
          <w:szCs w:val="19"/>
          <w:color w:val="auto"/>
        </w:rPr>
        <w:t>The following discussion of our financial performance is based on the consolidated financial statements set forth in Item 8 of this Report. The nature of our business is seasonal. Results may fluctuate due to changes in our business, consumer spending patterns, the macroeconomic environment and strategic initiatives. Furthermore, the seasonal nature of our business may affect comparisons between periods.</w:t>
      </w:r>
    </w:p>
    <w:p>
      <w:pPr>
        <w:sectPr>
          <w:pgSz w:w="11880" w:h="15480" w:orient="portrait"/>
          <w:cols w:equalWidth="0" w:num="1">
            <w:col w:w="10800"/>
          </w:cols>
          <w:pgMar w:left="540" w:top="807" w:right="540" w:bottom="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880" w:h="15480" w:orient="portrait"/>
          <w:cols w:equalWidth="0" w:num="1">
            <w:col w:w="10800"/>
          </w:cols>
          <w:pgMar w:left="540" w:top="807" w:right="540" w:bottom="16" w:gutter="0" w:footer="0" w:header="0"/>
          <w:type w:val="continuous"/>
        </w:sectPr>
      </w:pPr>
    </w:p>
    <w:bookmarkStart w:id="25" w:name="page26"/>
    <w:bookmarkEnd w:id="25"/>
    <w:p>
      <w:pPr>
        <w:spacing w:after="0"/>
        <w:rPr>
          <w:sz w:val="20"/>
          <w:szCs w:val="20"/>
          <w:color w:val="auto"/>
        </w:rPr>
      </w:pPr>
      <w:r>
        <w:rPr>
          <w:rFonts w:ascii="Arial" w:cs="Arial" w:eastAsia="Arial" w:hAnsi="Arial"/>
          <w:sz w:val="19"/>
          <w:szCs w:val="19"/>
          <w:b w:val="1"/>
          <w:bCs w:val="1"/>
          <w:i w:val="1"/>
          <w:iCs w:val="1"/>
          <w:color w:val="auto"/>
        </w:rPr>
        <w:t>Net Sales and Additional Operating Data</w:t>
      </w:r>
    </w:p>
    <w:p>
      <w:pPr>
        <w:spacing w:after="0" w:line="154" w:lineRule="exact"/>
        <w:rPr>
          <w:sz w:val="20"/>
          <w:szCs w:val="20"/>
          <w:color w:val="auto"/>
        </w:rPr>
      </w:pPr>
    </w:p>
    <w:p>
      <w:pPr>
        <w:ind w:right="160"/>
        <w:spacing w:after="0" w:line="281" w:lineRule="auto"/>
        <w:rPr>
          <w:sz w:val="20"/>
          <w:szCs w:val="20"/>
          <w:color w:val="auto"/>
        </w:rPr>
      </w:pPr>
      <w:r>
        <w:rPr>
          <w:rFonts w:ascii="Arial" w:cs="Arial" w:eastAsia="Arial" w:hAnsi="Arial"/>
          <w:sz w:val="19"/>
          <w:szCs w:val="19"/>
          <w:color w:val="auto"/>
        </w:rPr>
        <w:t>The following table provides selected consolidated statement of operations data expressed both in dollars and as a percentage of net sales: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4"/>
          </w:tcPr>
          <w:p>
            <w:pPr>
              <w:jc w:val="center"/>
              <w:ind w:right="400"/>
              <w:spacing w:after="0"/>
              <w:rPr>
                <w:sz w:val="20"/>
                <w:szCs w:val="20"/>
                <w:color w:val="auto"/>
              </w:rPr>
            </w:pPr>
            <w:r>
              <w:rPr>
                <w:rFonts w:ascii="Arial" w:cs="Arial" w:eastAsia="Arial" w:hAnsi="Arial"/>
                <w:sz w:val="16"/>
                <w:szCs w:val="16"/>
                <w:b w:val="1"/>
                <w:bCs w:val="1"/>
                <w:color w:val="auto"/>
                <w:w w:val="99"/>
              </w:rPr>
              <w:t>Fiscal Year</w:t>
            </w: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46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right"/>
              <w:ind w:right="120"/>
              <w:spacing w:after="0" w:line="175" w:lineRule="exact"/>
              <w:rPr>
                <w:sz w:val="20"/>
                <w:szCs w:val="20"/>
                <w:color w:val="auto"/>
              </w:rPr>
            </w:pPr>
            <w:r>
              <w:rPr>
                <w:rFonts w:ascii="Arial" w:cs="Arial" w:eastAsia="Arial" w:hAnsi="Arial"/>
                <w:sz w:val="16"/>
                <w:szCs w:val="16"/>
                <w:b w:val="1"/>
                <w:bCs w:val="1"/>
                <w:color w:val="auto"/>
              </w:rPr>
              <w:t>2025</w:t>
            </w:r>
          </w:p>
        </w:tc>
        <w:tc>
          <w:tcPr>
            <w:tcW w:w="6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center"/>
              <w:ind w:left="367"/>
              <w:spacing w:after="0" w:line="175" w:lineRule="exact"/>
              <w:rPr>
                <w:sz w:val="20"/>
                <w:szCs w:val="20"/>
                <w:color w:val="auto"/>
              </w:rPr>
            </w:pPr>
            <w:r>
              <w:rPr>
                <w:rFonts w:ascii="Arial" w:cs="Arial" w:eastAsia="Arial" w:hAnsi="Arial"/>
                <w:sz w:val="16"/>
                <w:szCs w:val="16"/>
                <w:b w:val="1"/>
                <w:bCs w:val="1"/>
                <w:color w:val="auto"/>
              </w:rPr>
              <w:t>2024</w:t>
            </w:r>
          </w:p>
        </w:tc>
        <w:tc>
          <w:tcPr>
            <w:tcW w:w="5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right"/>
              <w:ind w:right="120"/>
              <w:spacing w:after="0" w:line="175" w:lineRule="exact"/>
              <w:rPr>
                <w:sz w:val="20"/>
                <w:szCs w:val="20"/>
                <w:color w:val="auto"/>
              </w:rPr>
            </w:pPr>
            <w:r>
              <w:rPr>
                <w:rFonts w:ascii="Arial" w:cs="Arial" w:eastAsia="Arial" w:hAnsi="Arial"/>
                <w:sz w:val="16"/>
                <w:szCs w:val="16"/>
                <w:b w:val="1"/>
                <w:bCs w:val="1"/>
                <w:color w:val="auto"/>
              </w:rPr>
              <w:t>2023</w:t>
            </w:r>
          </w:p>
        </w:tc>
        <w:tc>
          <w:tcPr>
            <w:tcW w:w="6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60" w:type="dxa"/>
            <w:vAlign w:val="bottom"/>
            <w:gridSpan w:val="5"/>
          </w:tcPr>
          <w:p>
            <w:pPr>
              <w:jc w:val="center"/>
              <w:spacing w:after="0" w:line="176" w:lineRule="exact"/>
              <w:rPr>
                <w:sz w:val="20"/>
                <w:szCs w:val="20"/>
                <w:color w:val="auto"/>
              </w:rPr>
            </w:pPr>
            <w:r>
              <w:rPr>
                <w:rFonts w:ascii="Arial" w:cs="Arial" w:eastAsia="Arial" w:hAnsi="Arial"/>
                <w:sz w:val="16"/>
                <w:szCs w:val="16"/>
                <w:b w:val="1"/>
                <w:bCs w:val="1"/>
                <w:color w:val="auto"/>
              </w:rPr>
              <w:t>(dollars in thousands)</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660" w:type="dxa"/>
            <w:vAlign w:val="bottom"/>
            <w:tcBorders>
              <w:right w:val="single" w:sz="8" w:color="D1EDF4"/>
            </w:tcBorders>
            <w:shd w:val="clear" w:color="auto" w:fill="D1EDF4"/>
          </w:tcPr>
          <w:p>
            <w:pPr>
              <w:spacing w:after="0"/>
              <w:rPr>
                <w:sz w:val="20"/>
                <w:szCs w:val="20"/>
                <w:color w:val="auto"/>
              </w:rPr>
            </w:pPr>
            <w:r>
              <w:rPr>
                <w:rFonts w:ascii="Arial" w:cs="Arial" w:eastAsia="Arial" w:hAnsi="Arial"/>
                <w:sz w:val="19"/>
                <w:szCs w:val="19"/>
                <w:b w:val="1"/>
                <w:bCs w:val="1"/>
                <w:color w:val="auto"/>
              </w:rPr>
              <w:t>Statement of Operations Data</w:t>
            </w:r>
          </w:p>
        </w:tc>
        <w:tc>
          <w:tcPr>
            <w:tcW w:w="100" w:type="dxa"/>
            <w:vAlign w:val="bottom"/>
            <w:shd w:val="clear" w:color="auto" w:fill="D1EDF4"/>
          </w:tcPr>
          <w:p>
            <w:pPr>
              <w:spacing w:after="0"/>
              <w:rPr>
                <w:sz w:val="18"/>
                <w:szCs w:val="18"/>
                <w:color w:val="auto"/>
              </w:rPr>
            </w:pPr>
          </w:p>
        </w:tc>
        <w:tc>
          <w:tcPr>
            <w:tcW w:w="40" w:type="dxa"/>
            <w:vAlign w:val="bottom"/>
            <w:shd w:val="clear" w:color="auto" w:fill="D1EDF4"/>
          </w:tcPr>
          <w:p>
            <w:pPr>
              <w:spacing w:after="0"/>
              <w:rPr>
                <w:sz w:val="18"/>
                <w:szCs w:val="18"/>
                <w:color w:val="auto"/>
              </w:rPr>
            </w:pPr>
          </w:p>
        </w:tc>
        <w:tc>
          <w:tcPr>
            <w:tcW w:w="840" w:type="dxa"/>
            <w:vAlign w:val="bottom"/>
            <w:shd w:val="clear" w:color="auto" w:fill="D1EDF4"/>
          </w:tcPr>
          <w:p>
            <w:pPr>
              <w:spacing w:after="0"/>
              <w:rPr>
                <w:sz w:val="18"/>
                <w:szCs w:val="18"/>
                <w:color w:val="auto"/>
              </w:rPr>
            </w:pPr>
          </w:p>
        </w:tc>
        <w:tc>
          <w:tcPr>
            <w:tcW w:w="200" w:type="dxa"/>
            <w:vAlign w:val="bottom"/>
            <w:shd w:val="clear" w:color="auto" w:fill="D1EDF4"/>
          </w:tcPr>
          <w:p>
            <w:pPr>
              <w:spacing w:after="0"/>
              <w:rPr>
                <w:sz w:val="18"/>
                <w:szCs w:val="18"/>
                <w:color w:val="auto"/>
              </w:rPr>
            </w:pPr>
          </w:p>
        </w:tc>
        <w:tc>
          <w:tcPr>
            <w:tcW w:w="600" w:type="dxa"/>
            <w:vAlign w:val="bottom"/>
            <w:shd w:val="clear" w:color="auto" w:fill="D1EDF4"/>
          </w:tcPr>
          <w:p>
            <w:pPr>
              <w:spacing w:after="0"/>
              <w:rPr>
                <w:sz w:val="18"/>
                <w:szCs w:val="18"/>
                <w:color w:val="auto"/>
              </w:rPr>
            </w:pPr>
          </w:p>
        </w:tc>
        <w:tc>
          <w:tcPr>
            <w:tcW w:w="280" w:type="dxa"/>
            <w:vAlign w:val="bottom"/>
            <w:tcBorders>
              <w:right w:val="single" w:sz="8" w:color="D1EDF4"/>
            </w:tcBorders>
            <w:shd w:val="clear" w:color="auto" w:fill="D1EDF4"/>
          </w:tcPr>
          <w:p>
            <w:pPr>
              <w:spacing w:after="0"/>
              <w:rPr>
                <w:sz w:val="18"/>
                <w:szCs w:val="18"/>
                <w:color w:val="auto"/>
              </w:rPr>
            </w:pPr>
          </w:p>
        </w:tc>
        <w:tc>
          <w:tcPr>
            <w:tcW w:w="10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840" w:type="dxa"/>
            <w:vAlign w:val="bottom"/>
            <w:shd w:val="clear" w:color="auto" w:fill="D1EDF4"/>
          </w:tcPr>
          <w:p>
            <w:pPr>
              <w:spacing w:after="0"/>
              <w:rPr>
                <w:sz w:val="18"/>
                <w:szCs w:val="18"/>
                <w:color w:val="auto"/>
              </w:rPr>
            </w:pPr>
          </w:p>
        </w:tc>
        <w:tc>
          <w:tcPr>
            <w:tcW w:w="220" w:type="dxa"/>
            <w:vAlign w:val="bottom"/>
            <w:tcBorders>
              <w:right w:val="single" w:sz="8" w:color="D1EDF4"/>
            </w:tcBorders>
            <w:shd w:val="clear" w:color="auto" w:fill="D1EDF4"/>
          </w:tcPr>
          <w:p>
            <w:pPr>
              <w:spacing w:after="0"/>
              <w:rPr>
                <w:sz w:val="18"/>
                <w:szCs w:val="18"/>
                <w:color w:val="auto"/>
              </w:rPr>
            </w:pPr>
          </w:p>
        </w:tc>
        <w:tc>
          <w:tcPr>
            <w:tcW w:w="580" w:type="dxa"/>
            <w:vAlign w:val="bottom"/>
            <w:shd w:val="clear" w:color="auto" w:fill="D1EDF4"/>
          </w:tcPr>
          <w:p>
            <w:pPr>
              <w:spacing w:after="0"/>
              <w:rPr>
                <w:sz w:val="18"/>
                <w:szCs w:val="18"/>
                <w:color w:val="auto"/>
              </w:rPr>
            </w:pPr>
          </w:p>
        </w:tc>
        <w:tc>
          <w:tcPr>
            <w:tcW w:w="280" w:type="dxa"/>
            <w:vAlign w:val="bottom"/>
            <w:tcBorders>
              <w:right w:val="single" w:sz="8" w:color="D1EDF4"/>
            </w:tcBorders>
            <w:shd w:val="clear" w:color="auto" w:fill="D1EDF4"/>
          </w:tcPr>
          <w:p>
            <w:pPr>
              <w:spacing w:after="0"/>
              <w:rPr>
                <w:sz w:val="18"/>
                <w:szCs w:val="18"/>
                <w:color w:val="auto"/>
              </w:rPr>
            </w:pPr>
          </w:p>
        </w:tc>
        <w:tc>
          <w:tcPr>
            <w:tcW w:w="100" w:type="dxa"/>
            <w:vAlign w:val="bottom"/>
            <w:shd w:val="clear" w:color="auto" w:fill="D1EDF4"/>
          </w:tcPr>
          <w:p>
            <w:pPr>
              <w:spacing w:after="0"/>
              <w:rPr>
                <w:sz w:val="18"/>
                <w:szCs w:val="18"/>
                <w:color w:val="auto"/>
              </w:rPr>
            </w:pPr>
          </w:p>
        </w:tc>
        <w:tc>
          <w:tcPr>
            <w:tcW w:w="880" w:type="dxa"/>
            <w:vAlign w:val="bottom"/>
            <w:shd w:val="clear" w:color="auto" w:fill="D1EDF4"/>
          </w:tcPr>
          <w:p>
            <w:pPr>
              <w:spacing w:after="0"/>
              <w:rPr>
                <w:sz w:val="18"/>
                <w:szCs w:val="18"/>
                <w:color w:val="auto"/>
              </w:rPr>
            </w:pPr>
          </w:p>
        </w:tc>
        <w:tc>
          <w:tcPr>
            <w:tcW w:w="200" w:type="dxa"/>
            <w:vAlign w:val="bottom"/>
            <w:shd w:val="clear" w:color="auto" w:fill="D1EDF4"/>
          </w:tcPr>
          <w:p>
            <w:pPr>
              <w:spacing w:after="0"/>
              <w:rPr>
                <w:sz w:val="18"/>
                <w:szCs w:val="18"/>
                <w:color w:val="auto"/>
              </w:rPr>
            </w:pPr>
          </w:p>
        </w:tc>
        <w:tc>
          <w:tcPr>
            <w:tcW w:w="600" w:type="dxa"/>
            <w:vAlign w:val="bottom"/>
            <w:shd w:val="clear" w:color="auto" w:fill="D1EDF4"/>
          </w:tcPr>
          <w:p>
            <w:pPr>
              <w:spacing w:after="0"/>
              <w:rPr>
                <w:sz w:val="18"/>
                <w:szCs w:val="18"/>
                <w:color w:val="auto"/>
              </w:rPr>
            </w:pPr>
          </w:p>
        </w:tc>
        <w:tc>
          <w:tcPr>
            <w:tcW w:w="260" w:type="dxa"/>
            <w:vAlign w:val="bottom"/>
            <w:shd w:val="clear" w:color="auto" w:fill="D1EDF4"/>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660" w:type="dxa"/>
            <w:vAlign w:val="bottom"/>
          </w:tcPr>
          <w:p>
            <w:pPr>
              <w:spacing w:after="0"/>
              <w:rPr>
                <w:sz w:val="20"/>
                <w:szCs w:val="20"/>
                <w:color w:val="auto"/>
              </w:rPr>
            </w:pPr>
            <w:r>
              <w:rPr>
                <w:rFonts w:ascii="Arial" w:cs="Arial" w:eastAsia="Arial" w:hAnsi="Arial"/>
                <w:sz w:val="19"/>
                <w:szCs w:val="19"/>
                <w:color w:val="auto"/>
              </w:rPr>
              <w:t>Net sales</w:t>
            </w:r>
          </w:p>
        </w:tc>
        <w:tc>
          <w:tcPr>
            <w:tcW w:w="140" w:type="dxa"/>
            <w:vAlign w:val="bottom"/>
            <w:gridSpan w:val="2"/>
          </w:tcPr>
          <w:p>
            <w:pPr>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819,962</w:t>
            </w:r>
          </w:p>
        </w:tc>
        <w:tc>
          <w:tcPr>
            <w:tcW w:w="200" w:type="dxa"/>
            <w:vAlign w:val="bottom"/>
          </w:tcPr>
          <w:p>
            <w:pPr>
              <w:spacing w:after="0"/>
              <w:rPr>
                <w:sz w:val="19"/>
                <w:szCs w:val="19"/>
                <w:color w:val="auto"/>
              </w:rPr>
            </w:pPr>
          </w:p>
        </w:tc>
        <w:tc>
          <w:tcPr>
            <w:tcW w:w="1000" w:type="dxa"/>
            <w:vAlign w:val="bottom"/>
            <w:gridSpan w:val="4"/>
          </w:tcPr>
          <w:p>
            <w:pPr>
              <w:jc w:val="right"/>
              <w:ind w:right="20"/>
              <w:spacing w:after="0"/>
              <w:rPr>
                <w:sz w:val="20"/>
                <w:szCs w:val="20"/>
                <w:color w:val="auto"/>
              </w:rPr>
            </w:pPr>
            <w:r>
              <w:rPr>
                <w:rFonts w:ascii="Arial" w:cs="Arial" w:eastAsia="Arial" w:hAnsi="Arial"/>
                <w:sz w:val="19"/>
                <w:szCs w:val="19"/>
                <w:color w:val="auto"/>
              </w:rPr>
              <w:t>100.0 % $</w:t>
            </w:r>
          </w:p>
        </w:tc>
        <w:tc>
          <w:tcPr>
            <w:tcW w:w="840" w:type="dxa"/>
            <w:vAlign w:val="bottom"/>
          </w:tcPr>
          <w:p>
            <w:pPr>
              <w:jc w:val="right"/>
              <w:spacing w:after="0"/>
              <w:rPr>
                <w:sz w:val="20"/>
                <w:szCs w:val="20"/>
                <w:color w:val="auto"/>
              </w:rPr>
            </w:pPr>
            <w:r>
              <w:rPr>
                <w:rFonts w:ascii="Arial" w:cs="Arial" w:eastAsia="Arial" w:hAnsi="Arial"/>
                <w:sz w:val="19"/>
                <w:szCs w:val="19"/>
                <w:color w:val="auto"/>
              </w:rPr>
              <w:t>753,079</w:t>
            </w:r>
          </w:p>
        </w:tc>
        <w:tc>
          <w:tcPr>
            <w:tcW w:w="22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9"/>
                <w:szCs w:val="19"/>
                <w:color w:val="auto"/>
              </w:rPr>
              <w:t>100.0 % $</w:t>
            </w:r>
          </w:p>
        </w:tc>
        <w:tc>
          <w:tcPr>
            <w:tcW w:w="880" w:type="dxa"/>
            <w:vAlign w:val="bottom"/>
          </w:tcPr>
          <w:p>
            <w:pPr>
              <w:jc w:val="right"/>
              <w:spacing w:after="0"/>
              <w:rPr>
                <w:sz w:val="20"/>
                <w:szCs w:val="20"/>
                <w:color w:val="auto"/>
              </w:rPr>
            </w:pPr>
            <w:r>
              <w:rPr>
                <w:rFonts w:ascii="Arial" w:cs="Arial" w:eastAsia="Arial" w:hAnsi="Arial"/>
                <w:sz w:val="19"/>
                <w:szCs w:val="19"/>
                <w:color w:val="auto"/>
              </w:rPr>
              <w:t>747,941</w:t>
            </w:r>
          </w:p>
        </w:tc>
        <w:tc>
          <w:tcPr>
            <w:tcW w:w="2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9"/>
                <w:szCs w:val="19"/>
                <w:color w:val="auto"/>
              </w:rPr>
              <w:t>100.0 %</w:t>
            </w:r>
          </w:p>
        </w:tc>
        <w:tc>
          <w:tcPr>
            <w:tcW w:w="0" w:type="dxa"/>
            <w:vAlign w:val="bottom"/>
          </w:tcPr>
          <w:p>
            <w:pPr>
              <w:spacing w:after="0"/>
              <w:rPr>
                <w:sz w:val="1"/>
                <w:szCs w:val="1"/>
                <w:color w:val="auto"/>
              </w:rPr>
            </w:pPr>
          </w:p>
        </w:tc>
      </w:tr>
      <w:tr>
        <w:trPr>
          <w:trHeight w:val="220"/>
        </w:trPr>
        <w:tc>
          <w:tcPr>
            <w:tcW w:w="4660" w:type="dxa"/>
            <w:vAlign w:val="bottom"/>
            <w:tcBorders>
              <w:right w:val="single" w:sz="8" w:color="D1EDF4"/>
            </w:tcBorders>
            <w:shd w:val="clear" w:color="auto" w:fill="D1EDF4"/>
          </w:tcPr>
          <w:p>
            <w:pPr>
              <w:spacing w:after="0"/>
              <w:rPr>
                <w:sz w:val="19"/>
                <w:szCs w:val="19"/>
                <w:color w:val="auto"/>
              </w:rPr>
            </w:pPr>
          </w:p>
        </w:tc>
        <w:tc>
          <w:tcPr>
            <w:tcW w:w="100" w:type="dxa"/>
            <w:vAlign w:val="bottom"/>
            <w:shd w:val="clear" w:color="auto" w:fill="D1EDF4"/>
          </w:tcPr>
          <w:p>
            <w:pPr>
              <w:spacing w:after="0"/>
              <w:rPr>
                <w:sz w:val="19"/>
                <w:szCs w:val="19"/>
                <w:color w:val="auto"/>
              </w:rPr>
            </w:pPr>
          </w:p>
        </w:tc>
        <w:tc>
          <w:tcPr>
            <w:tcW w:w="40" w:type="dxa"/>
            <w:vAlign w:val="bottom"/>
            <w:shd w:val="clear" w:color="auto" w:fill="D1EDF4"/>
          </w:tcPr>
          <w:p>
            <w:pPr>
              <w:spacing w:after="0"/>
              <w:rPr>
                <w:sz w:val="19"/>
                <w:szCs w:val="19"/>
                <w:color w:val="auto"/>
              </w:rPr>
            </w:pPr>
          </w:p>
        </w:tc>
        <w:tc>
          <w:tcPr>
            <w:tcW w:w="840" w:type="dxa"/>
            <w:vAlign w:val="bottom"/>
            <w:shd w:val="clear" w:color="auto" w:fill="D1EDF4"/>
          </w:tcPr>
          <w:p>
            <w:pPr>
              <w:spacing w:after="0"/>
              <w:rPr>
                <w:sz w:val="19"/>
                <w:szCs w:val="19"/>
                <w:color w:val="auto"/>
              </w:rPr>
            </w:pPr>
          </w:p>
        </w:tc>
        <w:tc>
          <w:tcPr>
            <w:tcW w:w="200" w:type="dxa"/>
            <w:vAlign w:val="bottom"/>
            <w:shd w:val="clear" w:color="auto" w:fill="D1EDF4"/>
          </w:tcPr>
          <w:p>
            <w:pPr>
              <w:spacing w:after="0"/>
              <w:rPr>
                <w:sz w:val="19"/>
                <w:szCs w:val="19"/>
                <w:color w:val="auto"/>
              </w:rPr>
            </w:pPr>
          </w:p>
        </w:tc>
        <w:tc>
          <w:tcPr>
            <w:tcW w:w="880" w:type="dxa"/>
            <w:vAlign w:val="bottom"/>
            <w:tcBorders>
              <w:right w:val="single" w:sz="8" w:color="D1EDF4"/>
            </w:tcBorders>
            <w:gridSpan w:val="2"/>
            <w:shd w:val="clear" w:color="auto" w:fill="D1EDF4"/>
          </w:tcPr>
          <w:p>
            <w:pPr>
              <w:spacing w:after="0"/>
              <w:rPr>
                <w:sz w:val="19"/>
                <w:szCs w:val="19"/>
                <w:color w:val="auto"/>
              </w:rPr>
            </w:pPr>
          </w:p>
        </w:tc>
        <w:tc>
          <w:tcPr>
            <w:tcW w:w="10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840" w:type="dxa"/>
            <w:vAlign w:val="bottom"/>
            <w:shd w:val="clear" w:color="auto" w:fill="D1EDF4"/>
          </w:tcPr>
          <w:p>
            <w:pPr>
              <w:spacing w:after="0"/>
              <w:rPr>
                <w:sz w:val="19"/>
                <w:szCs w:val="19"/>
                <w:color w:val="auto"/>
              </w:rPr>
            </w:pPr>
          </w:p>
        </w:tc>
        <w:tc>
          <w:tcPr>
            <w:tcW w:w="220" w:type="dxa"/>
            <w:vAlign w:val="bottom"/>
            <w:tcBorders>
              <w:right w:val="single" w:sz="8" w:color="D1EDF4"/>
            </w:tcBorders>
            <w:shd w:val="clear" w:color="auto" w:fill="D1EDF4"/>
          </w:tcPr>
          <w:p>
            <w:pPr>
              <w:spacing w:after="0"/>
              <w:rPr>
                <w:sz w:val="19"/>
                <w:szCs w:val="19"/>
                <w:color w:val="auto"/>
              </w:rPr>
            </w:pPr>
          </w:p>
        </w:tc>
        <w:tc>
          <w:tcPr>
            <w:tcW w:w="860" w:type="dxa"/>
            <w:vAlign w:val="bottom"/>
            <w:tcBorders>
              <w:right w:val="single" w:sz="8" w:color="D1EDF4"/>
            </w:tcBorders>
            <w:gridSpan w:val="2"/>
            <w:shd w:val="clear" w:color="auto" w:fill="D1EDF4"/>
          </w:tcPr>
          <w:p>
            <w:pPr>
              <w:spacing w:after="0"/>
              <w:rPr>
                <w:sz w:val="19"/>
                <w:szCs w:val="19"/>
                <w:color w:val="auto"/>
              </w:rPr>
            </w:pPr>
          </w:p>
        </w:tc>
        <w:tc>
          <w:tcPr>
            <w:tcW w:w="100" w:type="dxa"/>
            <w:vAlign w:val="bottom"/>
            <w:shd w:val="clear" w:color="auto" w:fill="D1EDF4"/>
          </w:tcPr>
          <w:p>
            <w:pPr>
              <w:spacing w:after="0"/>
              <w:rPr>
                <w:sz w:val="19"/>
                <w:szCs w:val="19"/>
                <w:color w:val="auto"/>
              </w:rPr>
            </w:pPr>
          </w:p>
        </w:tc>
        <w:tc>
          <w:tcPr>
            <w:tcW w:w="880" w:type="dxa"/>
            <w:vAlign w:val="bottom"/>
            <w:shd w:val="clear" w:color="auto" w:fill="D1EDF4"/>
          </w:tcPr>
          <w:p>
            <w:pPr>
              <w:spacing w:after="0"/>
              <w:rPr>
                <w:sz w:val="19"/>
                <w:szCs w:val="19"/>
                <w:color w:val="auto"/>
              </w:rPr>
            </w:pPr>
          </w:p>
        </w:tc>
        <w:tc>
          <w:tcPr>
            <w:tcW w:w="200" w:type="dxa"/>
            <w:vAlign w:val="bottom"/>
            <w:shd w:val="clear" w:color="auto" w:fill="D1EDF4"/>
          </w:tcPr>
          <w:p>
            <w:pPr>
              <w:spacing w:after="0"/>
              <w:rPr>
                <w:sz w:val="19"/>
                <w:szCs w:val="19"/>
                <w:color w:val="auto"/>
              </w:rPr>
            </w:pPr>
          </w:p>
        </w:tc>
        <w:tc>
          <w:tcPr>
            <w:tcW w:w="860" w:type="dxa"/>
            <w:vAlign w:val="bottom"/>
            <w:gridSpan w:val="2"/>
            <w:shd w:val="clear" w:color="auto" w:fill="D1EDF4"/>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660" w:type="dxa"/>
            <w:vAlign w:val="bottom"/>
          </w:tcPr>
          <w:p>
            <w:pPr>
              <w:spacing w:after="0"/>
              <w:rPr>
                <w:sz w:val="20"/>
                <w:szCs w:val="20"/>
                <w:color w:val="auto"/>
              </w:rPr>
            </w:pPr>
            <w:r>
              <w:rPr>
                <w:rFonts w:ascii="Arial" w:cs="Arial" w:eastAsia="Arial" w:hAnsi="Arial"/>
                <w:sz w:val="19"/>
                <w:szCs w:val="19"/>
                <w:color w:val="auto"/>
              </w:rPr>
              <w:t>Cost of sales (exclusive of depreciation)</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9"/>
                <w:szCs w:val="19"/>
                <w:color w:val="auto"/>
              </w:rPr>
              <w:t>(495,320)</w:t>
            </w:r>
          </w:p>
        </w:tc>
        <w:tc>
          <w:tcPr>
            <w:tcW w:w="880" w:type="dxa"/>
            <w:vAlign w:val="bottom"/>
            <w:gridSpan w:val="2"/>
          </w:tcPr>
          <w:p>
            <w:pPr>
              <w:jc w:val="right"/>
              <w:ind w:right="25"/>
              <w:spacing w:after="0"/>
              <w:rPr>
                <w:sz w:val="20"/>
                <w:szCs w:val="20"/>
                <w:color w:val="auto"/>
              </w:rPr>
            </w:pPr>
            <w:r>
              <w:rPr>
                <w:rFonts w:ascii="Arial" w:cs="Arial" w:eastAsia="Arial" w:hAnsi="Arial"/>
                <w:sz w:val="19"/>
                <w:szCs w:val="19"/>
                <w:color w:val="auto"/>
              </w:rPr>
              <w:t>(60.4)%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9"/>
                <w:szCs w:val="19"/>
                <w:color w:val="auto"/>
              </w:rPr>
              <w:t>(471,036)</w:t>
            </w:r>
          </w:p>
        </w:tc>
        <w:tc>
          <w:tcPr>
            <w:tcW w:w="860" w:type="dxa"/>
            <w:vAlign w:val="bottom"/>
            <w:gridSpan w:val="2"/>
          </w:tcPr>
          <w:p>
            <w:pPr>
              <w:jc w:val="right"/>
              <w:ind w:right="100"/>
              <w:spacing w:after="0"/>
              <w:rPr>
                <w:sz w:val="20"/>
                <w:szCs w:val="20"/>
                <w:color w:val="auto"/>
              </w:rPr>
            </w:pPr>
            <w:r>
              <w:rPr>
                <w:rFonts w:ascii="Arial" w:cs="Arial" w:eastAsia="Arial" w:hAnsi="Arial"/>
                <w:sz w:val="19"/>
                <w:szCs w:val="19"/>
                <w:color w:val="auto"/>
              </w:rPr>
              <w:t>(62.5)%</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(462,824)</w:t>
            </w:r>
          </w:p>
        </w:tc>
        <w:tc>
          <w:tcPr>
            <w:tcW w:w="2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9"/>
                <w:szCs w:val="19"/>
                <w:color w:val="auto"/>
              </w:rPr>
              <w:t>(61.9)%</w:t>
            </w:r>
          </w:p>
        </w:tc>
        <w:tc>
          <w:tcPr>
            <w:tcW w:w="0" w:type="dxa"/>
            <w:vAlign w:val="bottom"/>
          </w:tcPr>
          <w:p>
            <w:pPr>
              <w:spacing w:after="0"/>
              <w:rPr>
                <w:sz w:val="1"/>
                <w:szCs w:val="1"/>
                <w:color w:val="auto"/>
              </w:rPr>
            </w:pPr>
          </w:p>
        </w:tc>
      </w:tr>
      <w:tr>
        <w:trPr>
          <w:trHeight w:val="220"/>
        </w:trPr>
        <w:tc>
          <w:tcPr>
            <w:tcW w:w="4660" w:type="dxa"/>
            <w:vAlign w:val="bottom"/>
            <w:tcBorders>
              <w:right w:val="single" w:sz="8" w:color="D1EDF4"/>
            </w:tcBorders>
            <w:shd w:val="clear" w:color="auto" w:fill="D1EDF4"/>
          </w:tcPr>
          <w:p>
            <w:pPr>
              <w:spacing w:after="0"/>
              <w:rPr>
                <w:sz w:val="20"/>
                <w:szCs w:val="20"/>
                <w:color w:val="auto"/>
              </w:rPr>
            </w:pPr>
            <w:r>
              <w:rPr>
                <w:rFonts w:ascii="Arial" w:cs="Arial" w:eastAsia="Arial" w:hAnsi="Arial"/>
                <w:sz w:val="19"/>
                <w:szCs w:val="19"/>
                <w:color w:val="auto"/>
              </w:rPr>
              <w:t>Selling, general and administrative expenses</w:t>
            </w:r>
          </w:p>
        </w:tc>
        <w:tc>
          <w:tcPr>
            <w:tcW w:w="100" w:type="dxa"/>
            <w:vAlign w:val="bottom"/>
            <w:shd w:val="clear" w:color="auto" w:fill="D1EDF4"/>
          </w:tcPr>
          <w:p>
            <w:pPr>
              <w:spacing w:after="0"/>
              <w:rPr>
                <w:sz w:val="19"/>
                <w:szCs w:val="19"/>
                <w:color w:val="auto"/>
              </w:rPr>
            </w:pPr>
          </w:p>
        </w:tc>
        <w:tc>
          <w:tcPr>
            <w:tcW w:w="40" w:type="dxa"/>
            <w:vAlign w:val="bottom"/>
            <w:shd w:val="clear" w:color="auto" w:fill="D1EDF4"/>
          </w:tcPr>
          <w:p>
            <w:pPr>
              <w:spacing w:after="0"/>
              <w:rPr>
                <w:sz w:val="19"/>
                <w:szCs w:val="19"/>
                <w:color w:val="auto"/>
              </w:rPr>
            </w:pPr>
          </w:p>
        </w:tc>
        <w:tc>
          <w:tcPr>
            <w:tcW w:w="1040" w:type="dxa"/>
            <w:vAlign w:val="bottom"/>
            <w:gridSpan w:val="2"/>
            <w:shd w:val="clear" w:color="auto" w:fill="D1EDF4"/>
          </w:tcPr>
          <w:p>
            <w:pPr>
              <w:jc w:val="right"/>
              <w:ind w:right="200"/>
              <w:spacing w:after="0"/>
              <w:rPr>
                <w:sz w:val="20"/>
                <w:szCs w:val="20"/>
                <w:color w:val="auto"/>
              </w:rPr>
            </w:pPr>
            <w:r>
              <w:rPr>
                <w:rFonts w:ascii="Arial" w:cs="Arial" w:eastAsia="Arial" w:hAnsi="Arial"/>
                <w:sz w:val="19"/>
                <w:szCs w:val="19"/>
                <w:color w:val="auto"/>
              </w:rPr>
              <w:t>(313,171)</w:t>
            </w:r>
          </w:p>
        </w:tc>
        <w:tc>
          <w:tcPr>
            <w:tcW w:w="880" w:type="dxa"/>
            <w:vAlign w:val="bottom"/>
            <w:tcBorders>
              <w:right w:val="single" w:sz="8" w:color="D1EDF4"/>
            </w:tcBorders>
            <w:gridSpan w:val="2"/>
            <w:shd w:val="clear" w:color="auto" w:fill="D1EDF4"/>
          </w:tcPr>
          <w:p>
            <w:pPr>
              <w:jc w:val="right"/>
              <w:ind w:right="25"/>
              <w:spacing w:after="0"/>
              <w:rPr>
                <w:sz w:val="20"/>
                <w:szCs w:val="20"/>
                <w:color w:val="auto"/>
              </w:rPr>
            </w:pPr>
            <w:r>
              <w:rPr>
                <w:rFonts w:ascii="Arial" w:cs="Arial" w:eastAsia="Arial" w:hAnsi="Arial"/>
                <w:sz w:val="19"/>
                <w:szCs w:val="19"/>
                <w:color w:val="auto"/>
              </w:rPr>
              <w:t>(38.2)%</w:t>
            </w:r>
          </w:p>
        </w:tc>
        <w:tc>
          <w:tcPr>
            <w:tcW w:w="10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840" w:type="dxa"/>
            <w:vAlign w:val="bottom"/>
            <w:shd w:val="clear" w:color="auto" w:fill="D1EDF4"/>
          </w:tcPr>
          <w:p>
            <w:pPr>
              <w:jc w:val="right"/>
              <w:spacing w:after="0"/>
              <w:rPr>
                <w:sz w:val="20"/>
                <w:szCs w:val="20"/>
                <w:color w:val="auto"/>
              </w:rPr>
            </w:pPr>
            <w:r>
              <w:rPr>
                <w:rFonts w:ascii="Arial" w:cs="Arial" w:eastAsia="Arial" w:hAnsi="Arial"/>
                <w:sz w:val="19"/>
                <w:szCs w:val="19"/>
                <w:color w:val="auto"/>
              </w:rPr>
              <w:t>(300,173)</w:t>
            </w:r>
          </w:p>
        </w:tc>
        <w:tc>
          <w:tcPr>
            <w:tcW w:w="220" w:type="dxa"/>
            <w:vAlign w:val="bottom"/>
            <w:tcBorders>
              <w:right w:val="single" w:sz="8" w:color="D1EDF4"/>
            </w:tcBorders>
            <w:shd w:val="clear" w:color="auto" w:fill="D1EDF4"/>
          </w:tcPr>
          <w:p>
            <w:pPr>
              <w:spacing w:after="0"/>
              <w:rPr>
                <w:sz w:val="19"/>
                <w:szCs w:val="19"/>
                <w:color w:val="auto"/>
              </w:rPr>
            </w:pPr>
          </w:p>
        </w:tc>
        <w:tc>
          <w:tcPr>
            <w:tcW w:w="860" w:type="dxa"/>
            <w:vAlign w:val="bottom"/>
            <w:tcBorders>
              <w:right w:val="single" w:sz="8" w:color="D1EDF4"/>
            </w:tcBorders>
            <w:gridSpan w:val="2"/>
            <w:shd w:val="clear" w:color="auto" w:fill="D1EDF4"/>
          </w:tcPr>
          <w:p>
            <w:pPr>
              <w:jc w:val="right"/>
              <w:ind w:right="100"/>
              <w:spacing w:after="0"/>
              <w:rPr>
                <w:sz w:val="20"/>
                <w:szCs w:val="20"/>
                <w:color w:val="auto"/>
              </w:rPr>
            </w:pPr>
            <w:r>
              <w:rPr>
                <w:rFonts w:ascii="Arial" w:cs="Arial" w:eastAsia="Arial" w:hAnsi="Arial"/>
                <w:sz w:val="19"/>
                <w:szCs w:val="19"/>
                <w:color w:val="auto"/>
              </w:rPr>
              <w:t>(39.9)%</w:t>
            </w:r>
          </w:p>
        </w:tc>
        <w:tc>
          <w:tcPr>
            <w:tcW w:w="100" w:type="dxa"/>
            <w:vAlign w:val="bottom"/>
            <w:shd w:val="clear" w:color="auto" w:fill="D1EDF4"/>
          </w:tcPr>
          <w:p>
            <w:pPr>
              <w:spacing w:after="0"/>
              <w:rPr>
                <w:sz w:val="19"/>
                <w:szCs w:val="19"/>
                <w:color w:val="auto"/>
              </w:rPr>
            </w:pPr>
          </w:p>
        </w:tc>
        <w:tc>
          <w:tcPr>
            <w:tcW w:w="880" w:type="dxa"/>
            <w:vAlign w:val="bottom"/>
            <w:shd w:val="clear" w:color="auto" w:fill="D1EDF4"/>
          </w:tcPr>
          <w:p>
            <w:pPr>
              <w:jc w:val="right"/>
              <w:spacing w:after="0"/>
              <w:rPr>
                <w:sz w:val="20"/>
                <w:szCs w:val="20"/>
                <w:color w:val="auto"/>
              </w:rPr>
            </w:pPr>
            <w:r>
              <w:rPr>
                <w:rFonts w:ascii="Arial" w:cs="Arial" w:eastAsia="Arial" w:hAnsi="Arial"/>
                <w:sz w:val="19"/>
                <w:szCs w:val="19"/>
                <w:color w:val="auto"/>
              </w:rPr>
              <w:t>(284,530)</w:t>
            </w:r>
          </w:p>
        </w:tc>
        <w:tc>
          <w:tcPr>
            <w:tcW w:w="200" w:type="dxa"/>
            <w:vAlign w:val="bottom"/>
            <w:shd w:val="clear" w:color="auto" w:fill="D1EDF4"/>
          </w:tcPr>
          <w:p>
            <w:pPr>
              <w:spacing w:after="0"/>
              <w:rPr>
                <w:sz w:val="19"/>
                <w:szCs w:val="19"/>
                <w:color w:val="auto"/>
              </w:rPr>
            </w:pPr>
          </w:p>
        </w:tc>
        <w:tc>
          <w:tcPr>
            <w:tcW w:w="860" w:type="dxa"/>
            <w:vAlign w:val="bottom"/>
            <w:gridSpan w:val="2"/>
            <w:shd w:val="clear" w:color="auto" w:fill="D1EDF4"/>
          </w:tcPr>
          <w:p>
            <w:pPr>
              <w:jc w:val="right"/>
              <w:ind w:right="100"/>
              <w:spacing w:after="0"/>
              <w:rPr>
                <w:sz w:val="20"/>
                <w:szCs w:val="20"/>
                <w:color w:val="auto"/>
              </w:rPr>
            </w:pPr>
            <w:r>
              <w:rPr>
                <w:rFonts w:ascii="Arial" w:cs="Arial" w:eastAsia="Arial" w:hAnsi="Arial"/>
                <w:sz w:val="19"/>
                <w:szCs w:val="19"/>
                <w:color w:val="auto"/>
              </w:rPr>
              <w:t>(38.0)%</w:t>
            </w:r>
          </w:p>
        </w:tc>
        <w:tc>
          <w:tcPr>
            <w:tcW w:w="0" w:type="dxa"/>
            <w:vAlign w:val="bottom"/>
          </w:tcPr>
          <w:p>
            <w:pPr>
              <w:spacing w:after="0"/>
              <w:rPr>
                <w:sz w:val="1"/>
                <w:szCs w:val="1"/>
                <w:color w:val="auto"/>
              </w:rPr>
            </w:pPr>
          </w:p>
        </w:tc>
      </w:tr>
      <w:tr>
        <w:trPr>
          <w:trHeight w:val="220"/>
        </w:trPr>
        <w:tc>
          <w:tcPr>
            <w:tcW w:w="4660" w:type="dxa"/>
            <w:vAlign w:val="bottom"/>
          </w:tcPr>
          <w:p>
            <w:pPr>
              <w:spacing w:after="0"/>
              <w:rPr>
                <w:sz w:val="20"/>
                <w:szCs w:val="20"/>
                <w:color w:val="auto"/>
              </w:rPr>
            </w:pPr>
            <w:r>
              <w:rPr>
                <w:rFonts w:ascii="Arial" w:cs="Arial" w:eastAsia="Arial" w:hAnsi="Arial"/>
                <w:sz w:val="19"/>
                <w:szCs w:val="19"/>
                <w:color w:val="auto"/>
              </w:rPr>
              <w:t>Depreciation</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9"/>
                <w:szCs w:val="19"/>
                <w:color w:val="auto"/>
              </w:rPr>
              <w:t>(18,482)</w:t>
            </w:r>
          </w:p>
        </w:tc>
        <w:tc>
          <w:tcPr>
            <w:tcW w:w="880" w:type="dxa"/>
            <w:vAlign w:val="bottom"/>
            <w:gridSpan w:val="2"/>
          </w:tcPr>
          <w:p>
            <w:pPr>
              <w:jc w:val="right"/>
              <w:ind w:right="25"/>
              <w:spacing w:after="0"/>
              <w:rPr>
                <w:sz w:val="20"/>
                <w:szCs w:val="20"/>
                <w:color w:val="auto"/>
              </w:rPr>
            </w:pPr>
            <w:r>
              <w:rPr>
                <w:rFonts w:ascii="Arial" w:cs="Arial" w:eastAsia="Arial" w:hAnsi="Arial"/>
                <w:sz w:val="19"/>
                <w:szCs w:val="19"/>
                <w:color w:val="auto"/>
              </w:rPr>
              <w:t>(2.3)%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(18,822)</w:t>
            </w:r>
          </w:p>
        </w:tc>
        <w:tc>
          <w:tcPr>
            <w:tcW w:w="22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9"/>
                <w:szCs w:val="19"/>
                <w:color w:val="auto"/>
              </w:rPr>
              <w:t>(2.5)%</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(18,990)</w:t>
            </w:r>
          </w:p>
        </w:tc>
        <w:tc>
          <w:tcPr>
            <w:tcW w:w="2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9"/>
                <w:szCs w:val="19"/>
                <w:color w:val="auto"/>
              </w:rPr>
              <w:t>(2.5)%</w:t>
            </w:r>
          </w:p>
        </w:tc>
        <w:tc>
          <w:tcPr>
            <w:tcW w:w="0" w:type="dxa"/>
            <w:vAlign w:val="bottom"/>
          </w:tcPr>
          <w:p>
            <w:pPr>
              <w:spacing w:after="0"/>
              <w:rPr>
                <w:sz w:val="1"/>
                <w:szCs w:val="1"/>
                <w:color w:val="auto"/>
              </w:rPr>
            </w:pPr>
          </w:p>
        </w:tc>
      </w:tr>
      <w:tr>
        <w:trPr>
          <w:trHeight w:val="220"/>
        </w:trPr>
        <w:tc>
          <w:tcPr>
            <w:tcW w:w="4660" w:type="dxa"/>
            <w:vAlign w:val="bottom"/>
            <w:tcBorders>
              <w:right w:val="single" w:sz="8" w:color="D1EDF4"/>
            </w:tcBorders>
            <w:shd w:val="clear" w:color="auto" w:fill="D1EDF4"/>
          </w:tcPr>
          <w:p>
            <w:pPr>
              <w:spacing w:after="0"/>
              <w:rPr>
                <w:sz w:val="20"/>
                <w:szCs w:val="20"/>
                <w:color w:val="auto"/>
              </w:rPr>
            </w:pPr>
            <w:r>
              <w:rPr>
                <w:rFonts w:ascii="Arial" w:cs="Arial" w:eastAsia="Arial" w:hAnsi="Arial"/>
                <w:sz w:val="19"/>
                <w:szCs w:val="19"/>
                <w:color w:val="auto"/>
              </w:rPr>
              <w:t>Asset impairment</w:t>
            </w:r>
          </w:p>
        </w:tc>
        <w:tc>
          <w:tcPr>
            <w:tcW w:w="100" w:type="dxa"/>
            <w:vAlign w:val="bottom"/>
            <w:shd w:val="clear" w:color="auto" w:fill="D1EDF4"/>
          </w:tcPr>
          <w:p>
            <w:pPr>
              <w:spacing w:after="0"/>
              <w:rPr>
                <w:sz w:val="19"/>
                <w:szCs w:val="19"/>
                <w:color w:val="auto"/>
              </w:rPr>
            </w:pPr>
          </w:p>
        </w:tc>
        <w:tc>
          <w:tcPr>
            <w:tcW w:w="40" w:type="dxa"/>
            <w:vAlign w:val="bottom"/>
            <w:shd w:val="clear" w:color="auto" w:fill="D1EDF4"/>
          </w:tcPr>
          <w:p>
            <w:pPr>
              <w:spacing w:after="0"/>
              <w:rPr>
                <w:sz w:val="19"/>
                <w:szCs w:val="19"/>
                <w:color w:val="auto"/>
              </w:rPr>
            </w:pPr>
          </w:p>
        </w:tc>
        <w:tc>
          <w:tcPr>
            <w:tcW w:w="1040" w:type="dxa"/>
            <w:vAlign w:val="bottom"/>
            <w:gridSpan w:val="2"/>
            <w:shd w:val="clear" w:color="auto" w:fill="D1EDF4"/>
          </w:tcPr>
          <w:p>
            <w:pPr>
              <w:jc w:val="right"/>
              <w:ind w:right="200"/>
              <w:spacing w:after="0"/>
              <w:rPr>
                <w:sz w:val="20"/>
                <w:szCs w:val="20"/>
                <w:color w:val="auto"/>
              </w:rPr>
            </w:pPr>
            <w:r>
              <w:rPr>
                <w:rFonts w:ascii="Arial" w:cs="Arial" w:eastAsia="Arial" w:hAnsi="Arial"/>
                <w:sz w:val="19"/>
                <w:szCs w:val="19"/>
                <w:color w:val="auto"/>
              </w:rPr>
              <w:t>(579)</w:t>
            </w:r>
          </w:p>
        </w:tc>
        <w:tc>
          <w:tcPr>
            <w:tcW w:w="880" w:type="dxa"/>
            <w:vAlign w:val="bottom"/>
            <w:tcBorders>
              <w:right w:val="single" w:sz="8" w:color="D1EDF4"/>
            </w:tcBorders>
            <w:gridSpan w:val="2"/>
            <w:shd w:val="clear" w:color="auto" w:fill="D1EDF4"/>
          </w:tcPr>
          <w:p>
            <w:pPr>
              <w:jc w:val="right"/>
              <w:ind w:right="25"/>
              <w:spacing w:after="0"/>
              <w:rPr>
                <w:sz w:val="20"/>
                <w:szCs w:val="20"/>
                <w:color w:val="auto"/>
              </w:rPr>
            </w:pPr>
            <w:r>
              <w:rPr>
                <w:rFonts w:ascii="Arial" w:cs="Arial" w:eastAsia="Arial" w:hAnsi="Arial"/>
                <w:sz w:val="19"/>
                <w:szCs w:val="19"/>
                <w:color w:val="auto"/>
              </w:rPr>
              <w:t>(0.1)%</w:t>
            </w:r>
          </w:p>
        </w:tc>
        <w:tc>
          <w:tcPr>
            <w:tcW w:w="10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840" w:type="dxa"/>
            <w:vAlign w:val="bottom"/>
            <w:shd w:val="clear" w:color="auto" w:fill="D1EDF4"/>
          </w:tcPr>
          <w:p>
            <w:pPr>
              <w:jc w:val="right"/>
              <w:spacing w:after="0"/>
              <w:rPr>
                <w:sz w:val="20"/>
                <w:szCs w:val="20"/>
                <w:color w:val="auto"/>
              </w:rPr>
            </w:pPr>
            <w:r>
              <w:rPr>
                <w:rFonts w:ascii="Arial" w:cs="Arial" w:eastAsia="Arial" w:hAnsi="Arial"/>
                <w:sz w:val="19"/>
                <w:szCs w:val="19"/>
                <w:color w:val="auto"/>
              </w:rPr>
              <w:t>(2,536)</w:t>
            </w:r>
          </w:p>
        </w:tc>
        <w:tc>
          <w:tcPr>
            <w:tcW w:w="220" w:type="dxa"/>
            <w:vAlign w:val="bottom"/>
            <w:tcBorders>
              <w:right w:val="single" w:sz="8" w:color="D1EDF4"/>
            </w:tcBorders>
            <w:shd w:val="clear" w:color="auto" w:fill="D1EDF4"/>
          </w:tcPr>
          <w:p>
            <w:pPr>
              <w:spacing w:after="0"/>
              <w:rPr>
                <w:sz w:val="19"/>
                <w:szCs w:val="19"/>
                <w:color w:val="auto"/>
              </w:rPr>
            </w:pPr>
          </w:p>
        </w:tc>
        <w:tc>
          <w:tcPr>
            <w:tcW w:w="860" w:type="dxa"/>
            <w:vAlign w:val="bottom"/>
            <w:tcBorders>
              <w:right w:val="single" w:sz="8" w:color="D1EDF4"/>
            </w:tcBorders>
            <w:gridSpan w:val="2"/>
            <w:shd w:val="clear" w:color="auto" w:fill="D1EDF4"/>
          </w:tcPr>
          <w:p>
            <w:pPr>
              <w:jc w:val="right"/>
              <w:ind w:right="100"/>
              <w:spacing w:after="0"/>
              <w:rPr>
                <w:sz w:val="20"/>
                <w:szCs w:val="20"/>
                <w:color w:val="auto"/>
              </w:rPr>
            </w:pPr>
            <w:r>
              <w:rPr>
                <w:rFonts w:ascii="Arial" w:cs="Arial" w:eastAsia="Arial" w:hAnsi="Arial"/>
                <w:sz w:val="19"/>
                <w:szCs w:val="19"/>
                <w:color w:val="auto"/>
              </w:rPr>
              <w:t>(0.3)%</w:t>
            </w:r>
          </w:p>
        </w:tc>
        <w:tc>
          <w:tcPr>
            <w:tcW w:w="100" w:type="dxa"/>
            <w:vAlign w:val="bottom"/>
            <w:shd w:val="clear" w:color="auto" w:fill="D1EDF4"/>
          </w:tcPr>
          <w:p>
            <w:pPr>
              <w:spacing w:after="0"/>
              <w:rPr>
                <w:sz w:val="19"/>
                <w:szCs w:val="19"/>
                <w:color w:val="auto"/>
              </w:rPr>
            </w:pPr>
          </w:p>
        </w:tc>
        <w:tc>
          <w:tcPr>
            <w:tcW w:w="880" w:type="dxa"/>
            <w:vAlign w:val="bottom"/>
            <w:shd w:val="clear" w:color="auto" w:fill="D1EDF4"/>
          </w:tcPr>
          <w:p>
            <w:pPr>
              <w:jc w:val="right"/>
              <w:spacing w:after="0"/>
              <w:rPr>
                <w:sz w:val="20"/>
                <w:szCs w:val="20"/>
                <w:color w:val="auto"/>
              </w:rPr>
            </w:pPr>
            <w:r>
              <w:rPr>
                <w:rFonts w:ascii="Arial" w:cs="Arial" w:eastAsia="Arial" w:hAnsi="Arial"/>
                <w:sz w:val="19"/>
                <w:szCs w:val="19"/>
                <w:color w:val="auto"/>
              </w:rPr>
              <w:t>(1,051)</w:t>
            </w:r>
          </w:p>
        </w:tc>
        <w:tc>
          <w:tcPr>
            <w:tcW w:w="200" w:type="dxa"/>
            <w:vAlign w:val="bottom"/>
            <w:shd w:val="clear" w:color="auto" w:fill="D1EDF4"/>
          </w:tcPr>
          <w:p>
            <w:pPr>
              <w:spacing w:after="0"/>
              <w:rPr>
                <w:sz w:val="19"/>
                <w:szCs w:val="19"/>
                <w:color w:val="auto"/>
              </w:rPr>
            </w:pPr>
          </w:p>
        </w:tc>
        <w:tc>
          <w:tcPr>
            <w:tcW w:w="860" w:type="dxa"/>
            <w:vAlign w:val="bottom"/>
            <w:gridSpan w:val="2"/>
            <w:shd w:val="clear" w:color="auto" w:fill="D1EDF4"/>
          </w:tcPr>
          <w:p>
            <w:pPr>
              <w:jc w:val="right"/>
              <w:ind w:right="100"/>
              <w:spacing w:after="0"/>
              <w:rPr>
                <w:sz w:val="20"/>
                <w:szCs w:val="20"/>
                <w:color w:val="auto"/>
              </w:rPr>
            </w:pPr>
            <w:r>
              <w:rPr>
                <w:rFonts w:ascii="Arial" w:cs="Arial" w:eastAsia="Arial" w:hAnsi="Arial"/>
                <w:sz w:val="19"/>
                <w:szCs w:val="19"/>
                <w:color w:val="auto"/>
              </w:rPr>
              <w:t>(0.1)%</w:t>
            </w:r>
          </w:p>
        </w:tc>
        <w:tc>
          <w:tcPr>
            <w:tcW w:w="0" w:type="dxa"/>
            <w:vAlign w:val="bottom"/>
          </w:tcPr>
          <w:p>
            <w:pPr>
              <w:spacing w:after="0"/>
              <w:rPr>
                <w:sz w:val="1"/>
                <w:szCs w:val="1"/>
                <w:color w:val="auto"/>
              </w:rPr>
            </w:pPr>
          </w:p>
        </w:tc>
      </w:tr>
      <w:tr>
        <w:trPr>
          <w:trHeight w:val="220"/>
        </w:trPr>
        <w:tc>
          <w:tcPr>
            <w:tcW w:w="4660" w:type="dxa"/>
            <w:vAlign w:val="bottom"/>
          </w:tcPr>
          <w:p>
            <w:pPr>
              <w:spacing w:after="0"/>
              <w:rPr>
                <w:sz w:val="20"/>
                <w:szCs w:val="20"/>
                <w:color w:val="auto"/>
              </w:rPr>
            </w:pPr>
            <w:r>
              <w:rPr>
                <w:rFonts w:ascii="Arial" w:cs="Arial" w:eastAsia="Arial" w:hAnsi="Arial"/>
                <w:sz w:val="19"/>
                <w:szCs w:val="19"/>
                <w:color w:val="auto"/>
              </w:rPr>
              <w:t>Gain on sale of assets</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10,960</w:t>
            </w:r>
          </w:p>
        </w:tc>
        <w:tc>
          <w:tcPr>
            <w:tcW w:w="200" w:type="dxa"/>
            <w:vAlign w:val="bottom"/>
          </w:tcPr>
          <w:p>
            <w:pPr>
              <w:spacing w:after="0"/>
              <w:rPr>
                <w:sz w:val="19"/>
                <w:szCs w:val="19"/>
                <w:color w:val="auto"/>
              </w:rPr>
            </w:pPr>
          </w:p>
        </w:tc>
        <w:tc>
          <w:tcPr>
            <w:tcW w:w="880" w:type="dxa"/>
            <w:vAlign w:val="bottom"/>
            <w:gridSpan w:val="2"/>
          </w:tcPr>
          <w:p>
            <w:pPr>
              <w:jc w:val="right"/>
              <w:ind w:right="25"/>
              <w:spacing w:after="0"/>
              <w:rPr>
                <w:sz w:val="20"/>
                <w:szCs w:val="20"/>
                <w:color w:val="auto"/>
              </w:rPr>
            </w:pPr>
            <w:r>
              <w:rPr>
                <w:rFonts w:ascii="Arial" w:cs="Arial" w:eastAsia="Arial" w:hAnsi="Arial"/>
                <w:sz w:val="19"/>
                <w:szCs w:val="19"/>
                <w:color w:val="auto"/>
              </w:rPr>
              <w:t>1.3 %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9"/>
                <w:szCs w:val="19"/>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9"/>
                <w:szCs w:val="19"/>
                <w:color w:val="auto"/>
              </w:rPr>
              <w:t>0.0 %</w:t>
            </w:r>
          </w:p>
        </w:tc>
        <w:tc>
          <w:tcPr>
            <w:tcW w:w="10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9"/>
                <w:szCs w:val="19"/>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9"/>
                <w:szCs w:val="19"/>
                <w:color w:val="auto"/>
              </w:rPr>
              <w:t>0.0 %</w:t>
            </w:r>
          </w:p>
        </w:tc>
        <w:tc>
          <w:tcPr>
            <w:tcW w:w="0" w:type="dxa"/>
            <w:vAlign w:val="bottom"/>
          </w:tcPr>
          <w:p>
            <w:pPr>
              <w:spacing w:after="0"/>
              <w:rPr>
                <w:sz w:val="1"/>
                <w:szCs w:val="1"/>
                <w:color w:val="auto"/>
              </w:rPr>
            </w:pPr>
          </w:p>
        </w:tc>
      </w:tr>
      <w:tr>
        <w:trPr>
          <w:trHeight w:val="253"/>
        </w:trPr>
        <w:tc>
          <w:tcPr>
            <w:tcW w:w="4660" w:type="dxa"/>
            <w:vAlign w:val="bottom"/>
            <w:tcBorders>
              <w:right w:val="single" w:sz="8" w:color="D1EDF4"/>
            </w:tcBorders>
            <w:shd w:val="clear" w:color="auto" w:fill="D1EDF4"/>
          </w:tcPr>
          <w:p>
            <w:pPr>
              <w:spacing w:after="0"/>
              <w:rPr>
                <w:sz w:val="20"/>
                <w:szCs w:val="20"/>
                <w:color w:val="auto"/>
              </w:rPr>
            </w:pPr>
            <w:r>
              <w:rPr>
                <w:rFonts w:ascii="Arial" w:cs="Arial" w:eastAsia="Arial" w:hAnsi="Arial"/>
                <w:sz w:val="19"/>
                <w:szCs w:val="19"/>
                <w:color w:val="auto"/>
              </w:rPr>
              <w:t>Gain on insurance</w:t>
            </w:r>
          </w:p>
        </w:tc>
        <w:tc>
          <w:tcPr>
            <w:tcW w:w="100" w:type="dxa"/>
            <w:vAlign w:val="bottom"/>
            <w:shd w:val="clear" w:color="auto" w:fill="D1EDF4"/>
          </w:tcPr>
          <w:p>
            <w:pPr>
              <w:spacing w:after="0"/>
              <w:rPr>
                <w:sz w:val="22"/>
                <w:szCs w:val="22"/>
                <w:color w:val="auto"/>
              </w:rPr>
            </w:pPr>
          </w:p>
        </w:tc>
        <w:tc>
          <w:tcPr>
            <w:tcW w:w="40" w:type="dxa"/>
            <w:vAlign w:val="bottom"/>
            <w:shd w:val="clear" w:color="auto" w:fill="D1EDF4"/>
          </w:tcPr>
          <w:p>
            <w:pPr>
              <w:spacing w:after="0"/>
              <w:rPr>
                <w:sz w:val="22"/>
                <w:szCs w:val="22"/>
                <w:color w:val="auto"/>
              </w:rPr>
            </w:pPr>
          </w:p>
        </w:tc>
        <w:tc>
          <w:tcPr>
            <w:tcW w:w="840" w:type="dxa"/>
            <w:vAlign w:val="bottom"/>
            <w:shd w:val="clear" w:color="auto" w:fill="D1EDF4"/>
          </w:tcPr>
          <w:p>
            <w:pPr>
              <w:jc w:val="right"/>
              <w:spacing w:after="0"/>
              <w:rPr>
                <w:sz w:val="20"/>
                <w:szCs w:val="20"/>
                <w:color w:val="auto"/>
              </w:rPr>
            </w:pPr>
            <w:r>
              <w:rPr>
                <w:rFonts w:ascii="Arial" w:cs="Arial" w:eastAsia="Arial" w:hAnsi="Arial"/>
                <w:sz w:val="19"/>
                <w:szCs w:val="19"/>
                <w:color w:val="auto"/>
              </w:rPr>
              <w:t>482</w:t>
            </w:r>
          </w:p>
        </w:tc>
        <w:tc>
          <w:tcPr>
            <w:tcW w:w="200" w:type="dxa"/>
            <w:vAlign w:val="bottom"/>
            <w:shd w:val="clear" w:color="auto" w:fill="D1EDF4"/>
          </w:tcPr>
          <w:p>
            <w:pPr>
              <w:spacing w:after="0"/>
              <w:rPr>
                <w:sz w:val="22"/>
                <w:szCs w:val="22"/>
                <w:color w:val="auto"/>
              </w:rPr>
            </w:pPr>
          </w:p>
        </w:tc>
        <w:tc>
          <w:tcPr>
            <w:tcW w:w="880" w:type="dxa"/>
            <w:vAlign w:val="bottom"/>
            <w:tcBorders>
              <w:right w:val="single" w:sz="8" w:color="D1EDF4"/>
            </w:tcBorders>
            <w:gridSpan w:val="2"/>
            <w:shd w:val="clear" w:color="auto" w:fill="D1EDF4"/>
          </w:tcPr>
          <w:p>
            <w:pPr>
              <w:jc w:val="right"/>
              <w:ind w:right="25"/>
              <w:spacing w:after="0"/>
              <w:rPr>
                <w:sz w:val="20"/>
                <w:szCs w:val="20"/>
                <w:color w:val="auto"/>
              </w:rPr>
            </w:pPr>
            <w:r>
              <w:rPr>
                <w:rFonts w:ascii="Arial" w:cs="Arial" w:eastAsia="Arial" w:hAnsi="Arial"/>
                <w:sz w:val="19"/>
                <w:szCs w:val="19"/>
                <w:color w:val="auto"/>
              </w:rPr>
              <w:t>0.1 %</w:t>
            </w:r>
          </w:p>
        </w:tc>
        <w:tc>
          <w:tcPr>
            <w:tcW w:w="100" w:type="dxa"/>
            <w:vAlign w:val="bottom"/>
            <w:shd w:val="clear" w:color="auto" w:fill="D1EDF4"/>
          </w:tcPr>
          <w:p>
            <w:pPr>
              <w:spacing w:after="0"/>
              <w:rPr>
                <w:sz w:val="22"/>
                <w:szCs w:val="22"/>
                <w:color w:val="auto"/>
              </w:rPr>
            </w:pPr>
          </w:p>
        </w:tc>
        <w:tc>
          <w:tcPr>
            <w:tcW w:w="20" w:type="dxa"/>
            <w:vAlign w:val="bottom"/>
            <w:shd w:val="clear" w:color="auto" w:fill="D1EDF4"/>
          </w:tcPr>
          <w:p>
            <w:pPr>
              <w:spacing w:after="0"/>
              <w:rPr>
                <w:sz w:val="22"/>
                <w:szCs w:val="22"/>
                <w:color w:val="auto"/>
              </w:rPr>
            </w:pPr>
          </w:p>
        </w:tc>
        <w:tc>
          <w:tcPr>
            <w:tcW w:w="1060" w:type="dxa"/>
            <w:vAlign w:val="bottom"/>
            <w:tcBorders>
              <w:right w:val="single" w:sz="8" w:color="D1EDF4"/>
            </w:tcBorders>
            <w:gridSpan w:val="2"/>
            <w:shd w:val="clear" w:color="auto" w:fill="D1EDF4"/>
          </w:tcPr>
          <w:p>
            <w:pPr>
              <w:jc w:val="right"/>
              <w:ind w:right="280"/>
              <w:spacing w:after="0"/>
              <w:rPr>
                <w:sz w:val="20"/>
                <w:szCs w:val="20"/>
                <w:color w:val="auto"/>
              </w:rPr>
            </w:pPr>
            <w:r>
              <w:rPr>
                <w:rFonts w:ascii="Arial" w:cs="Arial" w:eastAsia="Arial" w:hAnsi="Arial"/>
                <w:sz w:val="19"/>
                <w:szCs w:val="19"/>
                <w:color w:val="auto"/>
              </w:rPr>
              <w:t>—</w:t>
            </w:r>
          </w:p>
        </w:tc>
        <w:tc>
          <w:tcPr>
            <w:tcW w:w="860" w:type="dxa"/>
            <w:vAlign w:val="bottom"/>
            <w:tcBorders>
              <w:right w:val="single" w:sz="8" w:color="D1EDF4"/>
            </w:tcBorders>
            <w:gridSpan w:val="2"/>
            <w:shd w:val="clear" w:color="auto" w:fill="D1EDF4"/>
          </w:tcPr>
          <w:p>
            <w:pPr>
              <w:jc w:val="right"/>
              <w:ind w:right="100"/>
              <w:spacing w:after="0"/>
              <w:rPr>
                <w:sz w:val="20"/>
                <w:szCs w:val="20"/>
                <w:color w:val="auto"/>
              </w:rPr>
            </w:pPr>
            <w:r>
              <w:rPr>
                <w:rFonts w:ascii="Arial" w:cs="Arial" w:eastAsia="Arial" w:hAnsi="Arial"/>
                <w:sz w:val="19"/>
                <w:szCs w:val="19"/>
                <w:color w:val="auto"/>
              </w:rPr>
              <w:t>0.0 %</w:t>
            </w:r>
          </w:p>
        </w:tc>
        <w:tc>
          <w:tcPr>
            <w:tcW w:w="100" w:type="dxa"/>
            <w:vAlign w:val="bottom"/>
            <w:shd w:val="clear" w:color="auto" w:fill="D1EDF4"/>
          </w:tcPr>
          <w:p>
            <w:pPr>
              <w:spacing w:after="0"/>
              <w:rPr>
                <w:sz w:val="22"/>
                <w:szCs w:val="22"/>
                <w:color w:val="auto"/>
              </w:rPr>
            </w:pPr>
          </w:p>
        </w:tc>
        <w:tc>
          <w:tcPr>
            <w:tcW w:w="1080" w:type="dxa"/>
            <w:vAlign w:val="bottom"/>
            <w:gridSpan w:val="2"/>
            <w:shd w:val="clear" w:color="auto" w:fill="D1EDF4"/>
          </w:tcPr>
          <w:p>
            <w:pPr>
              <w:jc w:val="right"/>
              <w:ind w:right="260"/>
              <w:spacing w:after="0"/>
              <w:rPr>
                <w:sz w:val="20"/>
                <w:szCs w:val="20"/>
                <w:color w:val="auto"/>
              </w:rPr>
            </w:pPr>
            <w:r>
              <w:rPr>
                <w:rFonts w:ascii="Arial" w:cs="Arial" w:eastAsia="Arial" w:hAnsi="Arial"/>
                <w:sz w:val="19"/>
                <w:szCs w:val="19"/>
                <w:color w:val="auto"/>
              </w:rPr>
              <w:t>—</w:t>
            </w:r>
          </w:p>
        </w:tc>
        <w:tc>
          <w:tcPr>
            <w:tcW w:w="860" w:type="dxa"/>
            <w:vAlign w:val="bottom"/>
            <w:gridSpan w:val="2"/>
            <w:shd w:val="clear" w:color="auto" w:fill="D1EDF4"/>
          </w:tcPr>
          <w:p>
            <w:pPr>
              <w:jc w:val="right"/>
              <w:ind w:right="100"/>
              <w:spacing w:after="0"/>
              <w:rPr>
                <w:sz w:val="20"/>
                <w:szCs w:val="20"/>
                <w:color w:val="auto"/>
              </w:rPr>
            </w:pPr>
            <w:r>
              <w:rPr>
                <w:rFonts w:ascii="Arial" w:cs="Arial" w:eastAsia="Arial" w:hAnsi="Arial"/>
                <w:sz w:val="19"/>
                <w:szCs w:val="19"/>
                <w:color w:val="auto"/>
              </w:rPr>
              <w:t>0.0 %</w:t>
            </w:r>
          </w:p>
        </w:tc>
        <w:tc>
          <w:tcPr>
            <w:tcW w:w="0" w:type="dxa"/>
            <w:vAlign w:val="bottom"/>
          </w:tcPr>
          <w:p>
            <w:pPr>
              <w:spacing w:after="0"/>
              <w:rPr>
                <w:sz w:val="1"/>
                <w:szCs w:val="1"/>
                <w:color w:val="auto"/>
              </w:rPr>
            </w:pPr>
          </w:p>
        </w:tc>
      </w:tr>
      <w:tr>
        <w:trPr>
          <w:trHeight w:val="244"/>
        </w:trPr>
        <w:tc>
          <w:tcPr>
            <w:tcW w:w="4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660" w:type="dxa"/>
            <w:vAlign w:val="bottom"/>
            <w:tcBorders>
              <w:right w:val="single" w:sz="8" w:color="D1EDF4"/>
            </w:tcBorders>
            <w:shd w:val="clear" w:color="auto" w:fill="D1EDF4"/>
          </w:tcPr>
          <w:p>
            <w:pPr>
              <w:spacing w:after="0"/>
              <w:rPr>
                <w:sz w:val="20"/>
                <w:szCs w:val="20"/>
                <w:color w:val="auto"/>
              </w:rPr>
            </w:pPr>
            <w:r>
              <w:rPr>
                <w:rFonts w:ascii="Arial" w:cs="Arial" w:eastAsia="Arial" w:hAnsi="Arial"/>
                <w:sz w:val="19"/>
                <w:szCs w:val="19"/>
                <w:color w:val="auto"/>
              </w:rPr>
              <w:t>Income (loss) from operations</w:t>
            </w:r>
          </w:p>
        </w:tc>
        <w:tc>
          <w:tcPr>
            <w:tcW w:w="100" w:type="dxa"/>
            <w:vAlign w:val="bottom"/>
            <w:shd w:val="clear" w:color="auto" w:fill="D1EDF4"/>
          </w:tcPr>
          <w:p>
            <w:pPr>
              <w:spacing w:after="0"/>
              <w:rPr>
                <w:sz w:val="19"/>
                <w:szCs w:val="19"/>
                <w:color w:val="auto"/>
              </w:rPr>
            </w:pPr>
          </w:p>
        </w:tc>
        <w:tc>
          <w:tcPr>
            <w:tcW w:w="40" w:type="dxa"/>
            <w:vAlign w:val="bottom"/>
            <w:shd w:val="clear" w:color="auto" w:fill="D1EDF4"/>
          </w:tcPr>
          <w:p>
            <w:pPr>
              <w:spacing w:after="0"/>
              <w:rPr>
                <w:sz w:val="19"/>
                <w:szCs w:val="19"/>
                <w:color w:val="auto"/>
              </w:rPr>
            </w:pPr>
          </w:p>
        </w:tc>
        <w:tc>
          <w:tcPr>
            <w:tcW w:w="840" w:type="dxa"/>
            <w:vAlign w:val="bottom"/>
            <w:shd w:val="clear" w:color="auto" w:fill="D1EDF4"/>
          </w:tcPr>
          <w:p>
            <w:pPr>
              <w:jc w:val="right"/>
              <w:spacing w:after="0"/>
              <w:rPr>
                <w:sz w:val="20"/>
                <w:szCs w:val="20"/>
                <w:color w:val="auto"/>
              </w:rPr>
            </w:pPr>
            <w:r>
              <w:rPr>
                <w:rFonts w:ascii="Arial" w:cs="Arial" w:eastAsia="Arial" w:hAnsi="Arial"/>
                <w:sz w:val="19"/>
                <w:szCs w:val="19"/>
                <w:color w:val="auto"/>
              </w:rPr>
              <w:t>3,852</w:t>
            </w:r>
          </w:p>
        </w:tc>
        <w:tc>
          <w:tcPr>
            <w:tcW w:w="200" w:type="dxa"/>
            <w:vAlign w:val="bottom"/>
            <w:shd w:val="clear" w:color="auto" w:fill="D1EDF4"/>
          </w:tcPr>
          <w:p>
            <w:pPr>
              <w:spacing w:after="0"/>
              <w:rPr>
                <w:sz w:val="19"/>
                <w:szCs w:val="19"/>
                <w:color w:val="auto"/>
              </w:rPr>
            </w:pPr>
          </w:p>
        </w:tc>
        <w:tc>
          <w:tcPr>
            <w:tcW w:w="880" w:type="dxa"/>
            <w:vAlign w:val="bottom"/>
            <w:tcBorders>
              <w:right w:val="single" w:sz="8" w:color="D1EDF4"/>
            </w:tcBorders>
            <w:gridSpan w:val="2"/>
            <w:shd w:val="clear" w:color="auto" w:fill="D1EDF4"/>
          </w:tcPr>
          <w:p>
            <w:pPr>
              <w:jc w:val="right"/>
              <w:ind w:right="25"/>
              <w:spacing w:after="0"/>
              <w:rPr>
                <w:sz w:val="20"/>
                <w:szCs w:val="20"/>
                <w:color w:val="auto"/>
              </w:rPr>
            </w:pPr>
            <w:r>
              <w:rPr>
                <w:rFonts w:ascii="Arial" w:cs="Arial" w:eastAsia="Arial" w:hAnsi="Arial"/>
                <w:sz w:val="19"/>
                <w:szCs w:val="19"/>
                <w:color w:val="auto"/>
              </w:rPr>
              <w:t>0.5 %</w:t>
            </w:r>
          </w:p>
        </w:tc>
        <w:tc>
          <w:tcPr>
            <w:tcW w:w="10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840" w:type="dxa"/>
            <w:vAlign w:val="bottom"/>
            <w:shd w:val="clear" w:color="auto" w:fill="D1EDF4"/>
          </w:tcPr>
          <w:p>
            <w:pPr>
              <w:jc w:val="right"/>
              <w:spacing w:after="0"/>
              <w:rPr>
                <w:sz w:val="20"/>
                <w:szCs w:val="20"/>
                <w:color w:val="auto"/>
              </w:rPr>
            </w:pPr>
            <w:r>
              <w:rPr>
                <w:rFonts w:ascii="Arial" w:cs="Arial" w:eastAsia="Arial" w:hAnsi="Arial"/>
                <w:sz w:val="19"/>
                <w:szCs w:val="19"/>
                <w:color w:val="auto"/>
              </w:rPr>
              <w:t>(39,488)</w:t>
            </w:r>
          </w:p>
        </w:tc>
        <w:tc>
          <w:tcPr>
            <w:tcW w:w="220" w:type="dxa"/>
            <w:vAlign w:val="bottom"/>
            <w:tcBorders>
              <w:right w:val="single" w:sz="8" w:color="D1EDF4"/>
            </w:tcBorders>
            <w:shd w:val="clear" w:color="auto" w:fill="D1EDF4"/>
          </w:tcPr>
          <w:p>
            <w:pPr>
              <w:spacing w:after="0"/>
              <w:rPr>
                <w:sz w:val="19"/>
                <w:szCs w:val="19"/>
                <w:color w:val="auto"/>
              </w:rPr>
            </w:pPr>
          </w:p>
        </w:tc>
        <w:tc>
          <w:tcPr>
            <w:tcW w:w="860" w:type="dxa"/>
            <w:vAlign w:val="bottom"/>
            <w:tcBorders>
              <w:right w:val="single" w:sz="8" w:color="D1EDF4"/>
            </w:tcBorders>
            <w:gridSpan w:val="2"/>
            <w:shd w:val="clear" w:color="auto" w:fill="D1EDF4"/>
          </w:tcPr>
          <w:p>
            <w:pPr>
              <w:jc w:val="right"/>
              <w:ind w:right="100"/>
              <w:spacing w:after="0"/>
              <w:rPr>
                <w:sz w:val="20"/>
                <w:szCs w:val="20"/>
                <w:color w:val="auto"/>
              </w:rPr>
            </w:pPr>
            <w:r>
              <w:rPr>
                <w:rFonts w:ascii="Arial" w:cs="Arial" w:eastAsia="Arial" w:hAnsi="Arial"/>
                <w:sz w:val="19"/>
                <w:szCs w:val="19"/>
                <w:color w:val="auto"/>
              </w:rPr>
              <w:t>(5.2)%</w:t>
            </w:r>
          </w:p>
        </w:tc>
        <w:tc>
          <w:tcPr>
            <w:tcW w:w="100" w:type="dxa"/>
            <w:vAlign w:val="bottom"/>
            <w:shd w:val="clear" w:color="auto" w:fill="D1EDF4"/>
          </w:tcPr>
          <w:p>
            <w:pPr>
              <w:spacing w:after="0"/>
              <w:rPr>
                <w:sz w:val="19"/>
                <w:szCs w:val="19"/>
                <w:color w:val="auto"/>
              </w:rPr>
            </w:pPr>
          </w:p>
        </w:tc>
        <w:tc>
          <w:tcPr>
            <w:tcW w:w="880" w:type="dxa"/>
            <w:vAlign w:val="bottom"/>
            <w:shd w:val="clear" w:color="auto" w:fill="D1EDF4"/>
          </w:tcPr>
          <w:p>
            <w:pPr>
              <w:jc w:val="right"/>
              <w:spacing w:after="0"/>
              <w:rPr>
                <w:sz w:val="20"/>
                <w:szCs w:val="20"/>
                <w:color w:val="auto"/>
              </w:rPr>
            </w:pPr>
            <w:r>
              <w:rPr>
                <w:rFonts w:ascii="Arial" w:cs="Arial" w:eastAsia="Arial" w:hAnsi="Arial"/>
                <w:sz w:val="19"/>
                <w:szCs w:val="19"/>
                <w:color w:val="auto"/>
              </w:rPr>
              <w:t>(19,454)</w:t>
            </w:r>
          </w:p>
        </w:tc>
        <w:tc>
          <w:tcPr>
            <w:tcW w:w="200" w:type="dxa"/>
            <w:vAlign w:val="bottom"/>
            <w:shd w:val="clear" w:color="auto" w:fill="D1EDF4"/>
          </w:tcPr>
          <w:p>
            <w:pPr>
              <w:spacing w:after="0"/>
              <w:rPr>
                <w:sz w:val="19"/>
                <w:szCs w:val="19"/>
                <w:color w:val="auto"/>
              </w:rPr>
            </w:pPr>
          </w:p>
        </w:tc>
        <w:tc>
          <w:tcPr>
            <w:tcW w:w="860" w:type="dxa"/>
            <w:vAlign w:val="bottom"/>
            <w:gridSpan w:val="2"/>
            <w:shd w:val="clear" w:color="auto" w:fill="D1EDF4"/>
          </w:tcPr>
          <w:p>
            <w:pPr>
              <w:jc w:val="right"/>
              <w:ind w:right="100"/>
              <w:spacing w:after="0"/>
              <w:rPr>
                <w:sz w:val="20"/>
                <w:szCs w:val="20"/>
                <w:color w:val="auto"/>
              </w:rPr>
            </w:pPr>
            <w:r>
              <w:rPr>
                <w:rFonts w:ascii="Arial" w:cs="Arial" w:eastAsia="Arial" w:hAnsi="Arial"/>
                <w:sz w:val="19"/>
                <w:szCs w:val="19"/>
                <w:color w:val="auto"/>
              </w:rPr>
              <w:t>(2.6)%</w:t>
            </w:r>
          </w:p>
        </w:tc>
        <w:tc>
          <w:tcPr>
            <w:tcW w:w="0" w:type="dxa"/>
            <w:vAlign w:val="bottom"/>
          </w:tcPr>
          <w:p>
            <w:pPr>
              <w:spacing w:after="0"/>
              <w:rPr>
                <w:sz w:val="1"/>
                <w:szCs w:val="1"/>
                <w:color w:val="auto"/>
              </w:rPr>
            </w:pPr>
          </w:p>
        </w:tc>
      </w:tr>
      <w:tr>
        <w:trPr>
          <w:trHeight w:val="220"/>
        </w:trPr>
        <w:tc>
          <w:tcPr>
            <w:tcW w:w="4660" w:type="dxa"/>
            <w:vAlign w:val="bottom"/>
          </w:tcPr>
          <w:p>
            <w:pPr>
              <w:spacing w:after="0"/>
              <w:rPr>
                <w:sz w:val="20"/>
                <w:szCs w:val="20"/>
                <w:color w:val="auto"/>
              </w:rPr>
            </w:pPr>
            <w:r>
              <w:rPr>
                <w:rFonts w:ascii="Arial" w:cs="Arial" w:eastAsia="Arial" w:hAnsi="Arial"/>
                <w:sz w:val="19"/>
                <w:szCs w:val="19"/>
                <w:color w:val="auto"/>
              </w:rPr>
              <w:t>Interest income</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1,993</w:t>
            </w:r>
          </w:p>
        </w:tc>
        <w:tc>
          <w:tcPr>
            <w:tcW w:w="200" w:type="dxa"/>
            <w:vAlign w:val="bottom"/>
          </w:tcPr>
          <w:p>
            <w:pPr>
              <w:spacing w:after="0"/>
              <w:rPr>
                <w:sz w:val="19"/>
                <w:szCs w:val="19"/>
                <w:color w:val="auto"/>
              </w:rPr>
            </w:pPr>
          </w:p>
        </w:tc>
        <w:tc>
          <w:tcPr>
            <w:tcW w:w="880" w:type="dxa"/>
            <w:vAlign w:val="bottom"/>
            <w:gridSpan w:val="2"/>
          </w:tcPr>
          <w:p>
            <w:pPr>
              <w:jc w:val="right"/>
              <w:ind w:right="25"/>
              <w:spacing w:after="0"/>
              <w:rPr>
                <w:sz w:val="20"/>
                <w:szCs w:val="20"/>
                <w:color w:val="auto"/>
              </w:rPr>
            </w:pPr>
            <w:r>
              <w:rPr>
                <w:rFonts w:ascii="Arial" w:cs="Arial" w:eastAsia="Arial" w:hAnsi="Arial"/>
                <w:sz w:val="19"/>
                <w:szCs w:val="19"/>
                <w:color w:val="auto"/>
              </w:rPr>
              <w:t>0.2 %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2,473</w:t>
            </w:r>
          </w:p>
        </w:tc>
        <w:tc>
          <w:tcPr>
            <w:tcW w:w="22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9"/>
                <w:szCs w:val="19"/>
                <w:color w:val="auto"/>
              </w:rPr>
              <w:t>0.3 %</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3,874</w:t>
            </w:r>
          </w:p>
        </w:tc>
        <w:tc>
          <w:tcPr>
            <w:tcW w:w="2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9"/>
                <w:szCs w:val="19"/>
                <w:color w:val="auto"/>
              </w:rPr>
              <w:t>0.5 %</w:t>
            </w:r>
          </w:p>
        </w:tc>
        <w:tc>
          <w:tcPr>
            <w:tcW w:w="0" w:type="dxa"/>
            <w:vAlign w:val="bottom"/>
          </w:tcPr>
          <w:p>
            <w:pPr>
              <w:spacing w:after="0"/>
              <w:rPr>
                <w:sz w:val="1"/>
                <w:szCs w:val="1"/>
                <w:color w:val="auto"/>
              </w:rPr>
            </w:pPr>
          </w:p>
        </w:tc>
      </w:tr>
      <w:tr>
        <w:trPr>
          <w:trHeight w:val="220"/>
        </w:trPr>
        <w:tc>
          <w:tcPr>
            <w:tcW w:w="4660" w:type="dxa"/>
            <w:vAlign w:val="bottom"/>
            <w:tcBorders>
              <w:right w:val="single" w:sz="8" w:color="D1EDF4"/>
            </w:tcBorders>
            <w:shd w:val="clear" w:color="auto" w:fill="D1EDF4"/>
          </w:tcPr>
          <w:p>
            <w:pPr>
              <w:spacing w:after="0"/>
              <w:rPr>
                <w:sz w:val="20"/>
                <w:szCs w:val="20"/>
                <w:color w:val="auto"/>
              </w:rPr>
            </w:pPr>
            <w:r>
              <w:rPr>
                <w:rFonts w:ascii="Arial" w:cs="Arial" w:eastAsia="Arial" w:hAnsi="Arial"/>
                <w:sz w:val="19"/>
                <w:szCs w:val="19"/>
                <w:color w:val="auto"/>
              </w:rPr>
              <w:t>Interest expense</w:t>
            </w:r>
          </w:p>
        </w:tc>
        <w:tc>
          <w:tcPr>
            <w:tcW w:w="100" w:type="dxa"/>
            <w:vAlign w:val="bottom"/>
            <w:shd w:val="clear" w:color="auto" w:fill="D1EDF4"/>
          </w:tcPr>
          <w:p>
            <w:pPr>
              <w:spacing w:after="0"/>
              <w:rPr>
                <w:sz w:val="19"/>
                <w:szCs w:val="19"/>
                <w:color w:val="auto"/>
              </w:rPr>
            </w:pPr>
          </w:p>
        </w:tc>
        <w:tc>
          <w:tcPr>
            <w:tcW w:w="40" w:type="dxa"/>
            <w:vAlign w:val="bottom"/>
            <w:shd w:val="clear" w:color="auto" w:fill="D1EDF4"/>
          </w:tcPr>
          <w:p>
            <w:pPr>
              <w:spacing w:after="0"/>
              <w:rPr>
                <w:sz w:val="19"/>
                <w:szCs w:val="19"/>
                <w:color w:val="auto"/>
              </w:rPr>
            </w:pPr>
          </w:p>
        </w:tc>
        <w:tc>
          <w:tcPr>
            <w:tcW w:w="840" w:type="dxa"/>
            <w:vAlign w:val="bottom"/>
            <w:shd w:val="clear" w:color="auto" w:fill="D1EDF4"/>
          </w:tcPr>
          <w:p>
            <w:pPr>
              <w:jc w:val="right"/>
              <w:spacing w:after="0"/>
              <w:rPr>
                <w:sz w:val="20"/>
                <w:szCs w:val="20"/>
                <w:color w:val="auto"/>
              </w:rPr>
            </w:pPr>
            <w:r>
              <w:rPr>
                <w:rFonts w:ascii="Arial" w:cs="Arial" w:eastAsia="Arial" w:hAnsi="Arial"/>
                <w:sz w:val="19"/>
                <w:szCs w:val="19"/>
                <w:color w:val="auto"/>
              </w:rPr>
              <w:t>(342)</w:t>
            </w:r>
          </w:p>
        </w:tc>
        <w:tc>
          <w:tcPr>
            <w:tcW w:w="200" w:type="dxa"/>
            <w:vAlign w:val="bottom"/>
            <w:shd w:val="clear" w:color="auto" w:fill="D1EDF4"/>
          </w:tcPr>
          <w:p>
            <w:pPr>
              <w:spacing w:after="0"/>
              <w:rPr>
                <w:sz w:val="19"/>
                <w:szCs w:val="19"/>
                <w:color w:val="auto"/>
              </w:rPr>
            </w:pPr>
          </w:p>
        </w:tc>
        <w:tc>
          <w:tcPr>
            <w:tcW w:w="880" w:type="dxa"/>
            <w:vAlign w:val="bottom"/>
            <w:tcBorders>
              <w:right w:val="single" w:sz="8" w:color="D1EDF4"/>
            </w:tcBorders>
            <w:gridSpan w:val="2"/>
            <w:shd w:val="clear" w:color="auto" w:fill="D1EDF4"/>
          </w:tcPr>
          <w:p>
            <w:pPr>
              <w:jc w:val="right"/>
              <w:ind w:right="25"/>
              <w:spacing w:after="0"/>
              <w:rPr>
                <w:sz w:val="20"/>
                <w:szCs w:val="20"/>
                <w:color w:val="auto"/>
              </w:rPr>
            </w:pPr>
            <w:r>
              <w:rPr>
                <w:rFonts w:ascii="Arial" w:cs="Arial" w:eastAsia="Arial" w:hAnsi="Arial"/>
                <w:sz w:val="19"/>
                <w:szCs w:val="19"/>
                <w:color w:val="auto"/>
              </w:rPr>
              <w:t>(0.0)%</w:t>
            </w:r>
          </w:p>
        </w:tc>
        <w:tc>
          <w:tcPr>
            <w:tcW w:w="10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840" w:type="dxa"/>
            <w:vAlign w:val="bottom"/>
            <w:shd w:val="clear" w:color="auto" w:fill="D1EDF4"/>
          </w:tcPr>
          <w:p>
            <w:pPr>
              <w:jc w:val="right"/>
              <w:spacing w:after="0"/>
              <w:rPr>
                <w:sz w:val="20"/>
                <w:szCs w:val="20"/>
                <w:color w:val="auto"/>
              </w:rPr>
            </w:pPr>
            <w:r>
              <w:rPr>
                <w:rFonts w:ascii="Arial" w:cs="Arial" w:eastAsia="Arial" w:hAnsi="Arial"/>
                <w:sz w:val="19"/>
                <w:szCs w:val="19"/>
                <w:color w:val="auto"/>
              </w:rPr>
              <w:t>(319)</w:t>
            </w:r>
          </w:p>
        </w:tc>
        <w:tc>
          <w:tcPr>
            <w:tcW w:w="220" w:type="dxa"/>
            <w:vAlign w:val="bottom"/>
            <w:tcBorders>
              <w:right w:val="single" w:sz="8" w:color="D1EDF4"/>
            </w:tcBorders>
            <w:shd w:val="clear" w:color="auto" w:fill="D1EDF4"/>
          </w:tcPr>
          <w:p>
            <w:pPr>
              <w:spacing w:after="0"/>
              <w:rPr>
                <w:sz w:val="19"/>
                <w:szCs w:val="19"/>
                <w:color w:val="auto"/>
              </w:rPr>
            </w:pPr>
          </w:p>
        </w:tc>
        <w:tc>
          <w:tcPr>
            <w:tcW w:w="860" w:type="dxa"/>
            <w:vAlign w:val="bottom"/>
            <w:tcBorders>
              <w:right w:val="single" w:sz="8" w:color="D1EDF4"/>
            </w:tcBorders>
            <w:gridSpan w:val="2"/>
            <w:shd w:val="clear" w:color="auto" w:fill="D1EDF4"/>
          </w:tcPr>
          <w:p>
            <w:pPr>
              <w:jc w:val="right"/>
              <w:ind w:right="100"/>
              <w:spacing w:after="0"/>
              <w:rPr>
                <w:sz w:val="20"/>
                <w:szCs w:val="20"/>
                <w:color w:val="auto"/>
              </w:rPr>
            </w:pPr>
            <w:r>
              <w:rPr>
                <w:rFonts w:ascii="Arial" w:cs="Arial" w:eastAsia="Arial" w:hAnsi="Arial"/>
                <w:sz w:val="19"/>
                <w:szCs w:val="19"/>
                <w:color w:val="auto"/>
              </w:rPr>
              <w:t>(0.0)%</w:t>
            </w:r>
          </w:p>
        </w:tc>
        <w:tc>
          <w:tcPr>
            <w:tcW w:w="100" w:type="dxa"/>
            <w:vAlign w:val="bottom"/>
            <w:shd w:val="clear" w:color="auto" w:fill="D1EDF4"/>
          </w:tcPr>
          <w:p>
            <w:pPr>
              <w:spacing w:after="0"/>
              <w:rPr>
                <w:sz w:val="19"/>
                <w:szCs w:val="19"/>
                <w:color w:val="auto"/>
              </w:rPr>
            </w:pPr>
          </w:p>
        </w:tc>
        <w:tc>
          <w:tcPr>
            <w:tcW w:w="880" w:type="dxa"/>
            <w:vAlign w:val="bottom"/>
            <w:shd w:val="clear" w:color="auto" w:fill="D1EDF4"/>
          </w:tcPr>
          <w:p>
            <w:pPr>
              <w:jc w:val="right"/>
              <w:spacing w:after="0"/>
              <w:rPr>
                <w:sz w:val="20"/>
                <w:szCs w:val="20"/>
                <w:color w:val="auto"/>
              </w:rPr>
            </w:pPr>
            <w:r>
              <w:rPr>
                <w:rFonts w:ascii="Arial" w:cs="Arial" w:eastAsia="Arial" w:hAnsi="Arial"/>
                <w:sz w:val="19"/>
                <w:szCs w:val="19"/>
                <w:color w:val="auto"/>
              </w:rPr>
              <w:t>(306)</w:t>
            </w:r>
          </w:p>
        </w:tc>
        <w:tc>
          <w:tcPr>
            <w:tcW w:w="200" w:type="dxa"/>
            <w:vAlign w:val="bottom"/>
            <w:shd w:val="clear" w:color="auto" w:fill="D1EDF4"/>
          </w:tcPr>
          <w:p>
            <w:pPr>
              <w:spacing w:after="0"/>
              <w:rPr>
                <w:sz w:val="19"/>
                <w:szCs w:val="19"/>
                <w:color w:val="auto"/>
              </w:rPr>
            </w:pPr>
          </w:p>
        </w:tc>
        <w:tc>
          <w:tcPr>
            <w:tcW w:w="860" w:type="dxa"/>
            <w:vAlign w:val="bottom"/>
            <w:gridSpan w:val="2"/>
            <w:shd w:val="clear" w:color="auto" w:fill="D1EDF4"/>
          </w:tcPr>
          <w:p>
            <w:pPr>
              <w:jc w:val="right"/>
              <w:ind w:right="100"/>
              <w:spacing w:after="0"/>
              <w:rPr>
                <w:sz w:val="20"/>
                <w:szCs w:val="20"/>
                <w:color w:val="auto"/>
              </w:rPr>
            </w:pPr>
            <w:r>
              <w:rPr>
                <w:rFonts w:ascii="Arial" w:cs="Arial" w:eastAsia="Arial" w:hAnsi="Arial"/>
                <w:sz w:val="19"/>
                <w:szCs w:val="19"/>
                <w:color w:val="auto"/>
              </w:rPr>
              <w:t>(0.0)%</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9"/>
                <w:szCs w:val="19"/>
                <w:color w:val="auto"/>
              </w:rPr>
              <w:t>Income (loss) before income taxes</w:t>
            </w: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vMerge w:val="restart"/>
          </w:tcPr>
          <w:p>
            <w:pPr>
              <w:jc w:val="right"/>
              <w:ind w:right="25"/>
              <w:spacing w:after="0"/>
              <w:rPr>
                <w:sz w:val="20"/>
                <w:szCs w:val="20"/>
                <w:color w:val="auto"/>
              </w:rPr>
            </w:pPr>
            <w:r>
              <w:rPr>
                <w:rFonts w:ascii="Arial" w:cs="Arial" w:eastAsia="Arial" w:hAnsi="Arial"/>
                <w:sz w:val="19"/>
                <w:szCs w:val="19"/>
                <w:color w:val="auto"/>
                <w:w w:val="82"/>
              </w:rPr>
              <w:t>%</w:t>
            </w: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jc w:val="right"/>
              <w:spacing w:after="0" w:line="209" w:lineRule="exact"/>
              <w:rPr>
                <w:sz w:val="20"/>
                <w:szCs w:val="20"/>
                <w:color w:val="auto"/>
              </w:rPr>
            </w:pPr>
            <w:r>
              <w:rPr>
                <w:rFonts w:ascii="Arial" w:cs="Arial" w:eastAsia="Arial" w:hAnsi="Arial"/>
                <w:sz w:val="19"/>
                <w:szCs w:val="19"/>
                <w:color w:val="auto"/>
              </w:rPr>
              <w:t>5,503</w:t>
            </w:r>
          </w:p>
        </w:tc>
        <w:tc>
          <w:tcPr>
            <w:tcW w:w="200" w:type="dxa"/>
            <w:vAlign w:val="bottom"/>
          </w:tcPr>
          <w:p>
            <w:pPr>
              <w:spacing w:after="0"/>
              <w:rPr>
                <w:sz w:val="18"/>
                <w:szCs w:val="18"/>
                <w:color w:val="auto"/>
              </w:rPr>
            </w:pPr>
          </w:p>
        </w:tc>
        <w:tc>
          <w:tcPr>
            <w:tcW w:w="600" w:type="dxa"/>
            <w:vAlign w:val="bottom"/>
          </w:tcPr>
          <w:p>
            <w:pPr>
              <w:jc w:val="right"/>
              <w:spacing w:after="0" w:line="209" w:lineRule="exact"/>
              <w:rPr>
                <w:sz w:val="20"/>
                <w:szCs w:val="20"/>
                <w:color w:val="auto"/>
              </w:rPr>
            </w:pPr>
            <w:r>
              <w:rPr>
                <w:rFonts w:ascii="Arial" w:cs="Arial" w:eastAsia="Arial" w:hAnsi="Arial"/>
                <w:sz w:val="19"/>
                <w:szCs w:val="19"/>
                <w:color w:val="auto"/>
              </w:rPr>
              <w:t>0.7</w:t>
            </w:r>
          </w:p>
        </w:tc>
        <w:tc>
          <w:tcPr>
            <w:tcW w:w="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jc w:val="right"/>
              <w:spacing w:after="0" w:line="209" w:lineRule="exact"/>
              <w:rPr>
                <w:sz w:val="20"/>
                <w:szCs w:val="20"/>
                <w:color w:val="auto"/>
              </w:rPr>
            </w:pPr>
            <w:r>
              <w:rPr>
                <w:rFonts w:ascii="Arial" w:cs="Arial" w:eastAsia="Arial" w:hAnsi="Arial"/>
                <w:sz w:val="19"/>
                <w:szCs w:val="19"/>
                <w:color w:val="auto"/>
              </w:rPr>
              <w:t>(37,334)</w:t>
            </w:r>
          </w:p>
        </w:tc>
        <w:tc>
          <w:tcPr>
            <w:tcW w:w="220" w:type="dxa"/>
            <w:vAlign w:val="bottom"/>
          </w:tcPr>
          <w:p>
            <w:pPr>
              <w:spacing w:after="0"/>
              <w:rPr>
                <w:sz w:val="18"/>
                <w:szCs w:val="18"/>
                <w:color w:val="auto"/>
              </w:rPr>
            </w:pPr>
          </w:p>
        </w:tc>
        <w:tc>
          <w:tcPr>
            <w:tcW w:w="860" w:type="dxa"/>
            <w:vAlign w:val="bottom"/>
            <w:gridSpan w:val="2"/>
          </w:tcPr>
          <w:p>
            <w:pPr>
              <w:jc w:val="right"/>
              <w:ind w:right="100"/>
              <w:spacing w:after="0" w:line="209" w:lineRule="exact"/>
              <w:rPr>
                <w:sz w:val="20"/>
                <w:szCs w:val="20"/>
                <w:color w:val="auto"/>
              </w:rPr>
            </w:pPr>
            <w:r>
              <w:rPr>
                <w:rFonts w:ascii="Arial" w:cs="Arial" w:eastAsia="Arial" w:hAnsi="Arial"/>
                <w:sz w:val="19"/>
                <w:szCs w:val="19"/>
                <w:color w:val="auto"/>
              </w:rPr>
              <w:t>(5.0)%</w:t>
            </w:r>
          </w:p>
        </w:tc>
        <w:tc>
          <w:tcPr>
            <w:tcW w:w="100" w:type="dxa"/>
            <w:vAlign w:val="bottom"/>
          </w:tcPr>
          <w:p>
            <w:pPr>
              <w:spacing w:after="0"/>
              <w:rPr>
                <w:sz w:val="18"/>
                <w:szCs w:val="18"/>
                <w:color w:val="auto"/>
              </w:rPr>
            </w:pPr>
          </w:p>
        </w:tc>
        <w:tc>
          <w:tcPr>
            <w:tcW w:w="880" w:type="dxa"/>
            <w:vAlign w:val="bottom"/>
          </w:tcPr>
          <w:p>
            <w:pPr>
              <w:jc w:val="right"/>
              <w:spacing w:after="0" w:line="209" w:lineRule="exact"/>
              <w:rPr>
                <w:sz w:val="20"/>
                <w:szCs w:val="20"/>
                <w:color w:val="auto"/>
              </w:rPr>
            </w:pPr>
            <w:r>
              <w:rPr>
                <w:rFonts w:ascii="Arial" w:cs="Arial" w:eastAsia="Arial" w:hAnsi="Arial"/>
                <w:sz w:val="19"/>
                <w:szCs w:val="19"/>
                <w:color w:val="auto"/>
              </w:rPr>
              <w:t>(15,886)</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line="209" w:lineRule="exact"/>
              <w:rPr>
                <w:sz w:val="20"/>
                <w:szCs w:val="20"/>
                <w:color w:val="auto"/>
              </w:rPr>
            </w:pPr>
            <w:r>
              <w:rPr>
                <w:rFonts w:ascii="Arial" w:cs="Arial" w:eastAsia="Arial" w:hAnsi="Arial"/>
                <w:sz w:val="19"/>
                <w:szCs w:val="19"/>
                <w:color w:val="auto"/>
              </w:rPr>
              <w:t>(2.1)%</w:t>
            </w:r>
          </w:p>
        </w:tc>
        <w:tc>
          <w:tcPr>
            <w:tcW w:w="0" w:type="dxa"/>
            <w:vAlign w:val="bottom"/>
          </w:tcPr>
          <w:p>
            <w:pPr>
              <w:spacing w:after="0"/>
              <w:rPr>
                <w:sz w:val="1"/>
                <w:szCs w:val="1"/>
                <w:color w:val="auto"/>
              </w:rPr>
            </w:pPr>
          </w:p>
        </w:tc>
      </w:tr>
      <w:tr>
        <w:trPr>
          <w:trHeight w:val="220"/>
        </w:trPr>
        <w:tc>
          <w:tcPr>
            <w:tcW w:w="4660" w:type="dxa"/>
            <w:vAlign w:val="bottom"/>
            <w:tcBorders>
              <w:right w:val="single" w:sz="8" w:color="D1EDF4"/>
            </w:tcBorders>
            <w:shd w:val="clear" w:color="auto" w:fill="D1EDF4"/>
          </w:tcPr>
          <w:p>
            <w:pPr>
              <w:spacing w:after="0"/>
              <w:rPr>
                <w:sz w:val="20"/>
                <w:szCs w:val="20"/>
                <w:color w:val="auto"/>
              </w:rPr>
            </w:pPr>
            <w:r>
              <w:rPr>
                <w:rFonts w:ascii="Arial" w:cs="Arial" w:eastAsia="Arial" w:hAnsi="Arial"/>
                <w:sz w:val="19"/>
                <w:szCs w:val="19"/>
                <w:color w:val="auto"/>
              </w:rPr>
              <w:t>Income tax (expense) benefit</w:t>
            </w:r>
          </w:p>
        </w:tc>
        <w:tc>
          <w:tcPr>
            <w:tcW w:w="100" w:type="dxa"/>
            <w:vAlign w:val="bottom"/>
            <w:shd w:val="clear" w:color="auto" w:fill="D1EDF4"/>
          </w:tcPr>
          <w:p>
            <w:pPr>
              <w:spacing w:after="0"/>
              <w:rPr>
                <w:sz w:val="19"/>
                <w:szCs w:val="19"/>
                <w:color w:val="auto"/>
              </w:rPr>
            </w:pPr>
          </w:p>
        </w:tc>
        <w:tc>
          <w:tcPr>
            <w:tcW w:w="40" w:type="dxa"/>
            <w:vAlign w:val="bottom"/>
            <w:shd w:val="clear" w:color="auto" w:fill="D1EDF4"/>
          </w:tcPr>
          <w:p>
            <w:pPr>
              <w:spacing w:after="0"/>
              <w:rPr>
                <w:sz w:val="19"/>
                <w:szCs w:val="19"/>
                <w:color w:val="auto"/>
              </w:rPr>
            </w:pPr>
          </w:p>
        </w:tc>
        <w:tc>
          <w:tcPr>
            <w:tcW w:w="840" w:type="dxa"/>
            <w:vAlign w:val="bottom"/>
            <w:shd w:val="clear" w:color="auto" w:fill="D1EDF4"/>
          </w:tcPr>
          <w:p>
            <w:pPr>
              <w:jc w:val="right"/>
              <w:spacing w:after="0"/>
              <w:rPr>
                <w:sz w:val="20"/>
                <w:szCs w:val="20"/>
                <w:color w:val="auto"/>
              </w:rPr>
            </w:pPr>
            <w:r>
              <w:rPr>
                <w:rFonts w:ascii="Arial" w:cs="Arial" w:eastAsia="Arial" w:hAnsi="Arial"/>
                <w:sz w:val="19"/>
                <w:szCs w:val="19"/>
                <w:color w:val="auto"/>
              </w:rPr>
              <w:t>(296)</w:t>
            </w:r>
          </w:p>
        </w:tc>
        <w:tc>
          <w:tcPr>
            <w:tcW w:w="200" w:type="dxa"/>
            <w:vAlign w:val="bottom"/>
            <w:shd w:val="clear" w:color="auto" w:fill="D1EDF4"/>
          </w:tcPr>
          <w:p>
            <w:pPr>
              <w:spacing w:after="0"/>
              <w:rPr>
                <w:sz w:val="19"/>
                <w:szCs w:val="19"/>
                <w:color w:val="auto"/>
              </w:rPr>
            </w:pPr>
          </w:p>
        </w:tc>
        <w:tc>
          <w:tcPr>
            <w:tcW w:w="880" w:type="dxa"/>
            <w:vAlign w:val="bottom"/>
            <w:tcBorders>
              <w:right w:val="single" w:sz="8" w:color="D1EDF4"/>
            </w:tcBorders>
            <w:gridSpan w:val="2"/>
            <w:shd w:val="clear" w:color="auto" w:fill="D1EDF4"/>
          </w:tcPr>
          <w:p>
            <w:pPr>
              <w:jc w:val="right"/>
              <w:ind w:right="25"/>
              <w:spacing w:after="0"/>
              <w:rPr>
                <w:sz w:val="20"/>
                <w:szCs w:val="20"/>
                <w:color w:val="auto"/>
              </w:rPr>
            </w:pPr>
            <w:r>
              <w:rPr>
                <w:rFonts w:ascii="Arial" w:cs="Arial" w:eastAsia="Arial" w:hAnsi="Arial"/>
                <w:sz w:val="19"/>
                <w:szCs w:val="19"/>
                <w:color w:val="auto"/>
              </w:rPr>
              <w:t>0.0 %</w:t>
            </w:r>
          </w:p>
        </w:tc>
        <w:tc>
          <w:tcPr>
            <w:tcW w:w="10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840" w:type="dxa"/>
            <w:vAlign w:val="bottom"/>
            <w:shd w:val="clear" w:color="auto" w:fill="D1EDF4"/>
          </w:tcPr>
          <w:p>
            <w:pPr>
              <w:jc w:val="right"/>
              <w:spacing w:after="0"/>
              <w:rPr>
                <w:sz w:val="20"/>
                <w:szCs w:val="20"/>
                <w:color w:val="auto"/>
              </w:rPr>
            </w:pPr>
            <w:r>
              <w:rPr>
                <w:rFonts w:ascii="Arial" w:cs="Arial" w:eastAsia="Arial" w:hAnsi="Arial"/>
                <w:sz w:val="19"/>
                <w:szCs w:val="19"/>
                <w:color w:val="auto"/>
              </w:rPr>
              <w:t>(5,836)</w:t>
            </w:r>
          </w:p>
        </w:tc>
        <w:tc>
          <w:tcPr>
            <w:tcW w:w="220" w:type="dxa"/>
            <w:vAlign w:val="bottom"/>
            <w:tcBorders>
              <w:right w:val="single" w:sz="8" w:color="D1EDF4"/>
            </w:tcBorders>
            <w:shd w:val="clear" w:color="auto" w:fill="D1EDF4"/>
          </w:tcPr>
          <w:p>
            <w:pPr>
              <w:spacing w:after="0"/>
              <w:rPr>
                <w:sz w:val="19"/>
                <w:szCs w:val="19"/>
                <w:color w:val="auto"/>
              </w:rPr>
            </w:pPr>
          </w:p>
        </w:tc>
        <w:tc>
          <w:tcPr>
            <w:tcW w:w="860" w:type="dxa"/>
            <w:vAlign w:val="bottom"/>
            <w:tcBorders>
              <w:right w:val="single" w:sz="8" w:color="D1EDF4"/>
            </w:tcBorders>
            <w:gridSpan w:val="2"/>
            <w:shd w:val="clear" w:color="auto" w:fill="D1EDF4"/>
          </w:tcPr>
          <w:p>
            <w:pPr>
              <w:jc w:val="right"/>
              <w:ind w:right="100"/>
              <w:spacing w:after="0"/>
              <w:rPr>
                <w:sz w:val="20"/>
                <w:szCs w:val="20"/>
                <w:color w:val="auto"/>
              </w:rPr>
            </w:pPr>
            <w:r>
              <w:rPr>
                <w:rFonts w:ascii="Arial" w:cs="Arial" w:eastAsia="Arial" w:hAnsi="Arial"/>
                <w:sz w:val="19"/>
                <w:szCs w:val="19"/>
                <w:color w:val="auto"/>
              </w:rPr>
              <w:t>(0.8)%</w:t>
            </w:r>
          </w:p>
        </w:tc>
        <w:tc>
          <w:tcPr>
            <w:tcW w:w="100" w:type="dxa"/>
            <w:vAlign w:val="bottom"/>
            <w:shd w:val="clear" w:color="auto" w:fill="D1EDF4"/>
          </w:tcPr>
          <w:p>
            <w:pPr>
              <w:spacing w:after="0"/>
              <w:rPr>
                <w:sz w:val="19"/>
                <w:szCs w:val="19"/>
                <w:color w:val="auto"/>
              </w:rPr>
            </w:pPr>
          </w:p>
        </w:tc>
        <w:tc>
          <w:tcPr>
            <w:tcW w:w="880" w:type="dxa"/>
            <w:vAlign w:val="bottom"/>
            <w:shd w:val="clear" w:color="auto" w:fill="D1EDF4"/>
          </w:tcPr>
          <w:p>
            <w:pPr>
              <w:jc w:val="right"/>
              <w:spacing w:after="0"/>
              <w:rPr>
                <w:sz w:val="20"/>
                <w:szCs w:val="20"/>
                <w:color w:val="auto"/>
              </w:rPr>
            </w:pPr>
            <w:r>
              <w:rPr>
                <w:rFonts w:ascii="Arial" w:cs="Arial" w:eastAsia="Arial" w:hAnsi="Arial"/>
                <w:sz w:val="19"/>
                <w:szCs w:val="19"/>
                <w:color w:val="auto"/>
              </w:rPr>
              <w:t>3,907</w:t>
            </w:r>
          </w:p>
        </w:tc>
        <w:tc>
          <w:tcPr>
            <w:tcW w:w="200" w:type="dxa"/>
            <w:vAlign w:val="bottom"/>
            <w:shd w:val="clear" w:color="auto" w:fill="D1EDF4"/>
          </w:tcPr>
          <w:p>
            <w:pPr>
              <w:spacing w:after="0"/>
              <w:rPr>
                <w:sz w:val="19"/>
                <w:szCs w:val="19"/>
                <w:color w:val="auto"/>
              </w:rPr>
            </w:pPr>
          </w:p>
        </w:tc>
        <w:tc>
          <w:tcPr>
            <w:tcW w:w="860" w:type="dxa"/>
            <w:vAlign w:val="bottom"/>
            <w:gridSpan w:val="2"/>
            <w:shd w:val="clear" w:color="auto" w:fill="D1EDF4"/>
          </w:tcPr>
          <w:p>
            <w:pPr>
              <w:jc w:val="right"/>
              <w:ind w:right="100"/>
              <w:spacing w:after="0"/>
              <w:rPr>
                <w:sz w:val="20"/>
                <w:szCs w:val="20"/>
                <w:color w:val="auto"/>
              </w:rPr>
            </w:pPr>
            <w:r>
              <w:rPr>
                <w:rFonts w:ascii="Arial" w:cs="Arial" w:eastAsia="Arial" w:hAnsi="Arial"/>
                <w:sz w:val="19"/>
                <w:szCs w:val="19"/>
                <w:color w:val="auto"/>
              </w:rPr>
              <w:t>0.5 %</w:t>
            </w:r>
          </w:p>
        </w:tc>
        <w:tc>
          <w:tcPr>
            <w:tcW w:w="0" w:type="dxa"/>
            <w:vAlign w:val="bottom"/>
          </w:tcPr>
          <w:p>
            <w:pPr>
              <w:spacing w:after="0"/>
              <w:rPr>
                <w:sz w:val="1"/>
                <w:szCs w:val="1"/>
                <w:color w:val="auto"/>
              </w:rPr>
            </w:pPr>
          </w:p>
        </w:tc>
      </w:tr>
      <w:tr>
        <w:trPr>
          <w:trHeight w:val="209"/>
        </w:trPr>
        <w:tc>
          <w:tcPr>
            <w:tcW w:w="46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660" w:type="dxa"/>
            <w:vAlign w:val="bottom"/>
            <w:tcBorders>
              <w:right w:val="single" w:sz="8" w:color="D1EDF4"/>
            </w:tcBorders>
            <w:shd w:val="clear" w:color="auto" w:fill="D1EDF4"/>
          </w:tcPr>
          <w:p>
            <w:pPr>
              <w:spacing w:after="0"/>
              <w:rPr>
                <w:sz w:val="20"/>
                <w:szCs w:val="20"/>
                <w:color w:val="auto"/>
              </w:rPr>
            </w:pPr>
            <w:r>
              <w:rPr>
                <w:rFonts w:ascii="Arial" w:cs="Arial" w:eastAsia="Arial" w:hAnsi="Arial"/>
                <w:sz w:val="19"/>
                <w:szCs w:val="19"/>
                <w:color w:val="auto"/>
              </w:rPr>
              <w:t>Net income (loss)</w:t>
            </w:r>
          </w:p>
        </w:tc>
        <w:tc>
          <w:tcPr>
            <w:tcW w:w="100" w:type="dxa"/>
            <w:vAlign w:val="bottom"/>
            <w:shd w:val="clear" w:color="auto" w:fill="D1EDF4"/>
          </w:tcPr>
          <w:p>
            <w:pPr>
              <w:spacing w:after="0"/>
              <w:rPr>
                <w:sz w:val="20"/>
                <w:szCs w:val="20"/>
                <w:color w:val="auto"/>
              </w:rPr>
            </w:pPr>
            <w:r>
              <w:rPr>
                <w:rFonts w:ascii="Arial" w:cs="Arial" w:eastAsia="Arial" w:hAnsi="Arial"/>
                <w:sz w:val="19"/>
                <w:szCs w:val="19"/>
                <w:color w:val="auto"/>
                <w:w w:val="75"/>
              </w:rPr>
              <w:t>$</w:t>
            </w:r>
          </w:p>
        </w:tc>
        <w:tc>
          <w:tcPr>
            <w:tcW w:w="40" w:type="dxa"/>
            <w:vAlign w:val="bottom"/>
            <w:shd w:val="clear" w:color="auto" w:fill="D1EDF4"/>
          </w:tcPr>
          <w:p>
            <w:pPr>
              <w:spacing w:after="0"/>
              <w:rPr>
                <w:sz w:val="19"/>
                <w:szCs w:val="19"/>
                <w:color w:val="auto"/>
              </w:rPr>
            </w:pPr>
          </w:p>
        </w:tc>
        <w:tc>
          <w:tcPr>
            <w:tcW w:w="840" w:type="dxa"/>
            <w:vAlign w:val="bottom"/>
            <w:shd w:val="clear" w:color="auto" w:fill="D1EDF4"/>
          </w:tcPr>
          <w:p>
            <w:pPr>
              <w:jc w:val="right"/>
              <w:spacing w:after="0"/>
              <w:rPr>
                <w:sz w:val="20"/>
                <w:szCs w:val="20"/>
                <w:color w:val="auto"/>
              </w:rPr>
            </w:pPr>
            <w:r>
              <w:rPr>
                <w:rFonts w:ascii="Arial" w:cs="Arial" w:eastAsia="Arial" w:hAnsi="Arial"/>
                <w:sz w:val="19"/>
                <w:szCs w:val="19"/>
                <w:color w:val="auto"/>
              </w:rPr>
              <w:t>5,207</w:t>
            </w:r>
          </w:p>
        </w:tc>
        <w:tc>
          <w:tcPr>
            <w:tcW w:w="200" w:type="dxa"/>
            <w:vAlign w:val="bottom"/>
            <w:shd w:val="clear" w:color="auto" w:fill="D1EDF4"/>
          </w:tcPr>
          <w:p>
            <w:pPr>
              <w:spacing w:after="0"/>
              <w:rPr>
                <w:sz w:val="19"/>
                <w:szCs w:val="19"/>
                <w:color w:val="auto"/>
              </w:rPr>
            </w:pPr>
          </w:p>
        </w:tc>
        <w:tc>
          <w:tcPr>
            <w:tcW w:w="980" w:type="dxa"/>
            <w:vAlign w:val="bottom"/>
            <w:gridSpan w:val="3"/>
            <w:shd w:val="clear" w:color="auto" w:fill="D1EDF4"/>
          </w:tcPr>
          <w:p>
            <w:pPr>
              <w:jc w:val="right"/>
              <w:spacing w:after="0"/>
              <w:rPr>
                <w:sz w:val="20"/>
                <w:szCs w:val="20"/>
                <w:color w:val="auto"/>
              </w:rPr>
            </w:pPr>
            <w:r>
              <w:rPr>
                <w:rFonts w:ascii="Arial" w:cs="Arial" w:eastAsia="Arial" w:hAnsi="Arial"/>
                <w:sz w:val="19"/>
                <w:szCs w:val="19"/>
                <w:color w:val="auto"/>
              </w:rPr>
              <w:t>0.6 % $</w:t>
            </w:r>
          </w:p>
        </w:tc>
        <w:tc>
          <w:tcPr>
            <w:tcW w:w="20" w:type="dxa"/>
            <w:vAlign w:val="bottom"/>
            <w:shd w:val="clear" w:color="auto" w:fill="D1EDF4"/>
          </w:tcPr>
          <w:p>
            <w:pPr>
              <w:spacing w:after="0"/>
              <w:rPr>
                <w:sz w:val="19"/>
                <w:szCs w:val="19"/>
                <w:color w:val="auto"/>
              </w:rPr>
            </w:pPr>
          </w:p>
        </w:tc>
        <w:tc>
          <w:tcPr>
            <w:tcW w:w="840" w:type="dxa"/>
            <w:vAlign w:val="bottom"/>
            <w:shd w:val="clear" w:color="auto" w:fill="D1EDF4"/>
          </w:tcPr>
          <w:p>
            <w:pPr>
              <w:jc w:val="right"/>
              <w:spacing w:after="0"/>
              <w:rPr>
                <w:sz w:val="20"/>
                <w:szCs w:val="20"/>
                <w:color w:val="auto"/>
              </w:rPr>
            </w:pPr>
            <w:r>
              <w:rPr>
                <w:rFonts w:ascii="Arial" w:cs="Arial" w:eastAsia="Arial" w:hAnsi="Arial"/>
                <w:sz w:val="19"/>
                <w:szCs w:val="19"/>
                <w:color w:val="auto"/>
              </w:rPr>
              <w:t>(43,170)</w:t>
            </w:r>
          </w:p>
        </w:tc>
        <w:tc>
          <w:tcPr>
            <w:tcW w:w="220" w:type="dxa"/>
            <w:vAlign w:val="bottom"/>
            <w:tcBorders>
              <w:right w:val="single" w:sz="8" w:color="D1EDF4"/>
            </w:tcBorders>
            <w:shd w:val="clear" w:color="auto" w:fill="D1EDF4"/>
          </w:tcPr>
          <w:p>
            <w:pPr>
              <w:spacing w:after="0"/>
              <w:rPr>
                <w:sz w:val="19"/>
                <w:szCs w:val="19"/>
                <w:color w:val="auto"/>
              </w:rPr>
            </w:pPr>
          </w:p>
        </w:tc>
        <w:tc>
          <w:tcPr>
            <w:tcW w:w="860" w:type="dxa"/>
            <w:vAlign w:val="bottom"/>
            <w:tcBorders>
              <w:right w:val="single" w:sz="8" w:color="D1EDF4"/>
            </w:tcBorders>
            <w:gridSpan w:val="2"/>
            <w:shd w:val="clear" w:color="auto" w:fill="D1EDF4"/>
          </w:tcPr>
          <w:p>
            <w:pPr>
              <w:jc w:val="right"/>
              <w:ind w:right="100"/>
              <w:spacing w:after="0"/>
              <w:rPr>
                <w:sz w:val="20"/>
                <w:szCs w:val="20"/>
                <w:color w:val="auto"/>
              </w:rPr>
            </w:pPr>
            <w:r>
              <w:rPr>
                <w:rFonts w:ascii="Arial" w:cs="Arial" w:eastAsia="Arial" w:hAnsi="Arial"/>
                <w:sz w:val="19"/>
                <w:szCs w:val="19"/>
                <w:color w:val="auto"/>
              </w:rPr>
              <w:t>(5.7)%</w:t>
            </w:r>
          </w:p>
        </w:tc>
        <w:tc>
          <w:tcPr>
            <w:tcW w:w="100" w:type="dxa"/>
            <w:vAlign w:val="bottom"/>
            <w:shd w:val="clear" w:color="auto" w:fill="D1EDF4"/>
          </w:tcPr>
          <w:p>
            <w:pPr>
              <w:jc w:val="right"/>
              <w:spacing w:after="0"/>
              <w:rPr>
                <w:sz w:val="20"/>
                <w:szCs w:val="20"/>
                <w:color w:val="auto"/>
              </w:rPr>
            </w:pPr>
            <w:r>
              <w:rPr>
                <w:rFonts w:ascii="Arial" w:cs="Arial" w:eastAsia="Arial" w:hAnsi="Arial"/>
                <w:sz w:val="19"/>
                <w:szCs w:val="19"/>
                <w:color w:val="auto"/>
                <w:w w:val="75"/>
              </w:rPr>
              <w:t>$</w:t>
            </w:r>
          </w:p>
        </w:tc>
        <w:tc>
          <w:tcPr>
            <w:tcW w:w="880" w:type="dxa"/>
            <w:vAlign w:val="bottom"/>
            <w:shd w:val="clear" w:color="auto" w:fill="D1EDF4"/>
          </w:tcPr>
          <w:p>
            <w:pPr>
              <w:jc w:val="right"/>
              <w:spacing w:after="0"/>
              <w:rPr>
                <w:sz w:val="20"/>
                <w:szCs w:val="20"/>
                <w:color w:val="auto"/>
              </w:rPr>
            </w:pPr>
            <w:r>
              <w:rPr>
                <w:rFonts w:ascii="Arial" w:cs="Arial" w:eastAsia="Arial" w:hAnsi="Arial"/>
                <w:sz w:val="19"/>
                <w:szCs w:val="19"/>
                <w:color w:val="auto"/>
              </w:rPr>
              <w:t>(11,979)</w:t>
            </w:r>
          </w:p>
        </w:tc>
        <w:tc>
          <w:tcPr>
            <w:tcW w:w="200" w:type="dxa"/>
            <w:vAlign w:val="bottom"/>
            <w:shd w:val="clear" w:color="auto" w:fill="D1EDF4"/>
          </w:tcPr>
          <w:p>
            <w:pPr>
              <w:spacing w:after="0"/>
              <w:rPr>
                <w:sz w:val="19"/>
                <w:szCs w:val="19"/>
                <w:color w:val="auto"/>
              </w:rPr>
            </w:pPr>
          </w:p>
        </w:tc>
        <w:tc>
          <w:tcPr>
            <w:tcW w:w="860" w:type="dxa"/>
            <w:vAlign w:val="bottom"/>
            <w:gridSpan w:val="2"/>
            <w:shd w:val="clear" w:color="auto" w:fill="D1EDF4"/>
          </w:tcPr>
          <w:p>
            <w:pPr>
              <w:jc w:val="right"/>
              <w:ind w:right="100"/>
              <w:spacing w:after="0"/>
              <w:rPr>
                <w:sz w:val="20"/>
                <w:szCs w:val="20"/>
                <w:color w:val="auto"/>
              </w:rPr>
            </w:pPr>
            <w:r>
              <w:rPr>
                <w:rFonts w:ascii="Arial" w:cs="Arial" w:eastAsia="Arial" w:hAnsi="Arial"/>
                <w:sz w:val="19"/>
                <w:szCs w:val="19"/>
                <w:color w:val="auto"/>
              </w:rPr>
              <w:t>(1.6)%</w:t>
            </w:r>
          </w:p>
        </w:tc>
        <w:tc>
          <w:tcPr>
            <w:tcW w:w="0" w:type="dxa"/>
            <w:vAlign w:val="bottom"/>
          </w:tcPr>
          <w:p>
            <w:pPr>
              <w:spacing w:after="0"/>
              <w:rPr>
                <w:sz w:val="1"/>
                <w:szCs w:val="1"/>
                <w:color w:val="auto"/>
              </w:rPr>
            </w:pPr>
          </w:p>
        </w:tc>
      </w:tr>
      <w:tr>
        <w:trPr>
          <w:trHeight w:val="29"/>
        </w:trPr>
        <w:tc>
          <w:tcPr>
            <w:tcW w:w="46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62"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provides information about store activity and the change in comparable store sales for each fiscal year:</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6"/>
                <w:szCs w:val="16"/>
                <w:b w:val="1"/>
                <w:bCs w:val="1"/>
                <w:color w:val="auto"/>
                <w:w w:val="96"/>
              </w:rPr>
              <w:t>Fiscal Year</w:t>
            </w:r>
          </w:p>
        </w:tc>
        <w:tc>
          <w:tcPr>
            <w:tcW w:w="6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r>
      <w:tr>
        <w:trPr>
          <w:trHeight w:val="176"/>
        </w:trPr>
        <w:tc>
          <w:tcPr>
            <w:tcW w:w="4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800" w:type="dxa"/>
            <w:vAlign w:val="bottom"/>
            <w:tcBorders>
              <w:bottom w:val="single" w:sz="8" w:color="auto"/>
            </w:tcBorders>
          </w:tcPr>
          <w:p>
            <w:pPr>
              <w:jc w:val="right"/>
              <w:ind w:right="128"/>
              <w:spacing w:after="0" w:line="176" w:lineRule="exact"/>
              <w:rPr>
                <w:sz w:val="20"/>
                <w:szCs w:val="20"/>
                <w:color w:val="auto"/>
              </w:rPr>
            </w:pPr>
            <w:r>
              <w:rPr>
                <w:rFonts w:ascii="Arial" w:cs="Arial" w:eastAsia="Arial" w:hAnsi="Arial"/>
                <w:sz w:val="16"/>
                <w:szCs w:val="16"/>
                <w:b w:val="1"/>
                <w:bCs w:val="1"/>
                <w:color w:val="auto"/>
              </w:rPr>
              <w:t>2025</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Borders>
              <w:bottom w:val="single" w:sz="8" w:color="auto"/>
            </w:tcBorders>
          </w:tcPr>
          <w:p>
            <w:pPr>
              <w:jc w:val="right"/>
              <w:ind w:right="153"/>
              <w:spacing w:after="0" w:line="176" w:lineRule="exact"/>
              <w:rPr>
                <w:sz w:val="20"/>
                <w:szCs w:val="20"/>
                <w:color w:val="auto"/>
              </w:rPr>
            </w:pPr>
            <w:r>
              <w:rPr>
                <w:rFonts w:ascii="Arial" w:cs="Arial" w:eastAsia="Arial" w:hAnsi="Arial"/>
                <w:sz w:val="16"/>
                <w:szCs w:val="16"/>
                <w:b w:val="1"/>
                <w:bCs w:val="1"/>
                <w:color w:val="auto"/>
              </w:rPr>
              <w:t>2024</w:t>
            </w:r>
          </w:p>
        </w:tc>
        <w:tc>
          <w:tcPr>
            <w:tcW w:w="300" w:type="dxa"/>
            <w:vAlign w:val="bottom"/>
          </w:tcPr>
          <w:p>
            <w:pPr>
              <w:spacing w:after="0"/>
              <w:rPr>
                <w:sz w:val="15"/>
                <w:szCs w:val="15"/>
                <w:color w:val="auto"/>
              </w:rPr>
            </w:pPr>
          </w:p>
        </w:tc>
        <w:tc>
          <w:tcPr>
            <w:tcW w:w="660" w:type="dxa"/>
            <w:vAlign w:val="bottom"/>
            <w:tcBorders>
              <w:bottom w:val="single" w:sz="8" w:color="auto"/>
            </w:tcBorders>
          </w:tcPr>
          <w:p>
            <w:pPr>
              <w:jc w:val="right"/>
              <w:ind w:right="68"/>
              <w:spacing w:after="0" w:line="176" w:lineRule="exact"/>
              <w:rPr>
                <w:sz w:val="20"/>
                <w:szCs w:val="20"/>
                <w:color w:val="auto"/>
              </w:rPr>
            </w:pPr>
            <w:r>
              <w:rPr>
                <w:rFonts w:ascii="Arial" w:cs="Arial" w:eastAsia="Arial" w:hAnsi="Arial"/>
                <w:sz w:val="16"/>
                <w:szCs w:val="16"/>
                <w:b w:val="1"/>
                <w:bCs w:val="1"/>
                <w:color w:val="auto"/>
              </w:rPr>
              <w:t>2023</w:t>
            </w:r>
          </w:p>
        </w:tc>
        <w:tc>
          <w:tcPr>
            <w:tcW w:w="220" w:type="dxa"/>
            <w:vAlign w:val="bottom"/>
          </w:tcPr>
          <w:p>
            <w:pPr>
              <w:spacing w:after="0"/>
              <w:rPr>
                <w:sz w:val="15"/>
                <w:szCs w:val="15"/>
                <w:color w:val="auto"/>
              </w:rPr>
            </w:pPr>
          </w:p>
        </w:tc>
      </w:tr>
      <w:tr>
        <w:trPr>
          <w:trHeight w:val="209"/>
        </w:trPr>
        <w:tc>
          <w:tcPr>
            <w:tcW w:w="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20"/>
        </w:trPr>
        <w:tc>
          <w:tcPr>
            <w:tcW w:w="40" w:type="dxa"/>
            <w:vAlign w:val="bottom"/>
          </w:tcPr>
          <w:p>
            <w:pPr>
              <w:spacing w:after="0"/>
              <w:rPr>
                <w:sz w:val="19"/>
                <w:szCs w:val="19"/>
                <w:color w:val="auto"/>
              </w:rPr>
            </w:pPr>
          </w:p>
        </w:tc>
        <w:tc>
          <w:tcPr>
            <w:tcW w:w="7680" w:type="dxa"/>
            <w:vAlign w:val="bottom"/>
            <w:gridSpan w:val="2"/>
            <w:shd w:val="clear" w:color="auto" w:fill="D1EDF4"/>
          </w:tcPr>
          <w:p>
            <w:pPr>
              <w:spacing w:after="0"/>
              <w:rPr>
                <w:sz w:val="20"/>
                <w:szCs w:val="20"/>
                <w:color w:val="auto"/>
              </w:rPr>
            </w:pPr>
            <w:r>
              <w:rPr>
                <w:rFonts w:ascii="Arial" w:cs="Arial" w:eastAsia="Arial" w:hAnsi="Arial"/>
                <w:sz w:val="19"/>
                <w:szCs w:val="19"/>
                <w:color w:val="auto"/>
              </w:rPr>
              <w:t>Total stores open, beginning of year</w:t>
            </w:r>
          </w:p>
        </w:tc>
        <w:tc>
          <w:tcPr>
            <w:tcW w:w="800" w:type="dxa"/>
            <w:vAlign w:val="bottom"/>
            <w:shd w:val="clear" w:color="auto" w:fill="D1EDF4"/>
          </w:tcPr>
          <w:p>
            <w:pPr>
              <w:jc w:val="right"/>
              <w:spacing w:after="0"/>
              <w:rPr>
                <w:sz w:val="20"/>
                <w:szCs w:val="20"/>
                <w:color w:val="auto"/>
              </w:rPr>
            </w:pPr>
            <w:r>
              <w:rPr>
                <w:rFonts w:ascii="Arial" w:cs="Arial" w:eastAsia="Arial" w:hAnsi="Arial"/>
                <w:sz w:val="19"/>
                <w:szCs w:val="19"/>
                <w:color w:val="auto"/>
              </w:rPr>
              <w:t>591</w:t>
            </w:r>
          </w:p>
        </w:tc>
        <w:tc>
          <w:tcPr>
            <w:tcW w:w="180" w:type="dxa"/>
            <w:vAlign w:val="bottom"/>
            <w:shd w:val="clear" w:color="auto" w:fill="D1EDF4"/>
          </w:tcPr>
          <w:p>
            <w:pPr>
              <w:spacing w:after="0"/>
              <w:rPr>
                <w:sz w:val="19"/>
                <w:szCs w:val="19"/>
                <w:color w:val="auto"/>
              </w:rPr>
            </w:pPr>
          </w:p>
        </w:tc>
        <w:tc>
          <w:tcPr>
            <w:tcW w:w="880" w:type="dxa"/>
            <w:vAlign w:val="bottom"/>
            <w:gridSpan w:val="2"/>
            <w:shd w:val="clear" w:color="auto" w:fill="D1EDF4"/>
          </w:tcPr>
          <w:p>
            <w:pPr>
              <w:jc w:val="right"/>
              <w:spacing w:after="0"/>
              <w:rPr>
                <w:sz w:val="20"/>
                <w:szCs w:val="20"/>
                <w:color w:val="auto"/>
              </w:rPr>
            </w:pPr>
            <w:r>
              <w:rPr>
                <w:rFonts w:ascii="Arial" w:cs="Arial" w:eastAsia="Arial" w:hAnsi="Arial"/>
                <w:sz w:val="19"/>
                <w:szCs w:val="19"/>
                <w:color w:val="auto"/>
              </w:rPr>
              <w:t>602</w:t>
            </w:r>
          </w:p>
        </w:tc>
        <w:tc>
          <w:tcPr>
            <w:tcW w:w="300" w:type="dxa"/>
            <w:vAlign w:val="bottom"/>
            <w:shd w:val="clear" w:color="auto" w:fill="D1EDF4"/>
          </w:tcPr>
          <w:p>
            <w:pPr>
              <w:spacing w:after="0"/>
              <w:rPr>
                <w:sz w:val="19"/>
                <w:szCs w:val="19"/>
                <w:color w:val="auto"/>
              </w:rPr>
            </w:pPr>
          </w:p>
        </w:tc>
        <w:tc>
          <w:tcPr>
            <w:tcW w:w="660" w:type="dxa"/>
            <w:vAlign w:val="bottom"/>
            <w:shd w:val="clear" w:color="auto" w:fill="D1EDF4"/>
          </w:tcPr>
          <w:p>
            <w:pPr>
              <w:jc w:val="right"/>
              <w:spacing w:after="0"/>
              <w:rPr>
                <w:sz w:val="20"/>
                <w:szCs w:val="20"/>
                <w:color w:val="auto"/>
              </w:rPr>
            </w:pPr>
            <w:r>
              <w:rPr>
                <w:rFonts w:ascii="Arial" w:cs="Arial" w:eastAsia="Arial" w:hAnsi="Arial"/>
                <w:sz w:val="19"/>
                <w:szCs w:val="19"/>
                <w:color w:val="auto"/>
              </w:rPr>
              <w:t>611</w:t>
            </w:r>
          </w:p>
        </w:tc>
        <w:tc>
          <w:tcPr>
            <w:tcW w:w="220" w:type="dxa"/>
            <w:vAlign w:val="bottom"/>
            <w:shd w:val="clear" w:color="auto" w:fill="D1EDF4"/>
          </w:tcPr>
          <w:p>
            <w:pPr>
              <w:spacing w:after="0"/>
              <w:rPr>
                <w:sz w:val="19"/>
                <w:szCs w:val="19"/>
                <w:color w:val="auto"/>
              </w:rPr>
            </w:pPr>
          </w:p>
        </w:tc>
      </w:tr>
      <w:tr>
        <w:trPr>
          <w:trHeight w:val="220"/>
        </w:trPr>
        <w:tc>
          <w:tcPr>
            <w:tcW w:w="40" w:type="dxa"/>
            <w:vAlign w:val="bottom"/>
          </w:tcPr>
          <w:p>
            <w:pPr>
              <w:spacing w:after="0"/>
              <w:rPr>
                <w:sz w:val="19"/>
                <w:szCs w:val="19"/>
                <w:color w:val="auto"/>
              </w:rPr>
            </w:pPr>
          </w:p>
        </w:tc>
        <w:tc>
          <w:tcPr>
            <w:tcW w:w="7680" w:type="dxa"/>
            <w:vAlign w:val="bottom"/>
            <w:gridSpan w:val="2"/>
          </w:tcPr>
          <w:p>
            <w:pPr>
              <w:spacing w:after="0"/>
              <w:rPr>
                <w:sz w:val="20"/>
                <w:szCs w:val="20"/>
                <w:color w:val="auto"/>
              </w:rPr>
            </w:pPr>
            <w:r>
              <w:rPr>
                <w:rFonts w:ascii="Arial" w:cs="Arial" w:eastAsia="Arial" w:hAnsi="Arial"/>
                <w:sz w:val="19"/>
                <w:szCs w:val="19"/>
                <w:color w:val="auto"/>
              </w:rPr>
              <w:t>New stores</w:t>
            </w:r>
          </w:p>
        </w:tc>
        <w:tc>
          <w:tcPr>
            <w:tcW w:w="800" w:type="dxa"/>
            <w:vAlign w:val="bottom"/>
          </w:tcPr>
          <w:p>
            <w:pPr>
              <w:jc w:val="right"/>
              <w:spacing w:after="0"/>
              <w:rPr>
                <w:sz w:val="20"/>
                <w:szCs w:val="20"/>
                <w:color w:val="auto"/>
              </w:rPr>
            </w:pPr>
            <w:r>
              <w:rPr>
                <w:rFonts w:ascii="Arial" w:cs="Arial" w:eastAsia="Arial" w:hAnsi="Arial"/>
                <w:sz w:val="19"/>
                <w:szCs w:val="19"/>
                <w:color w:val="auto"/>
              </w:rPr>
              <w:t>3</w:t>
            </w:r>
          </w:p>
        </w:tc>
        <w:tc>
          <w:tcPr>
            <w:tcW w:w="1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9"/>
                <w:szCs w:val="19"/>
                <w:color w:val="auto"/>
              </w:rPr>
              <w:t>1</w:t>
            </w: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5</w:t>
            </w:r>
          </w:p>
        </w:tc>
        <w:tc>
          <w:tcPr>
            <w:tcW w:w="220" w:type="dxa"/>
            <w:vAlign w:val="bottom"/>
          </w:tcPr>
          <w:p>
            <w:pPr>
              <w:spacing w:after="0"/>
              <w:rPr>
                <w:sz w:val="19"/>
                <w:szCs w:val="19"/>
                <w:color w:val="auto"/>
              </w:rPr>
            </w:pPr>
          </w:p>
        </w:tc>
      </w:tr>
      <w:tr>
        <w:trPr>
          <w:trHeight w:val="218"/>
        </w:trPr>
        <w:tc>
          <w:tcPr>
            <w:tcW w:w="40" w:type="dxa"/>
            <w:vAlign w:val="bottom"/>
          </w:tcPr>
          <w:p>
            <w:pPr>
              <w:spacing w:after="0"/>
              <w:rPr>
                <w:sz w:val="18"/>
                <w:szCs w:val="18"/>
                <w:color w:val="auto"/>
              </w:rPr>
            </w:pPr>
          </w:p>
        </w:tc>
        <w:tc>
          <w:tcPr>
            <w:tcW w:w="7680" w:type="dxa"/>
            <w:vAlign w:val="bottom"/>
            <w:gridSpan w:val="2"/>
            <w:shd w:val="clear" w:color="auto" w:fill="D1EDF4"/>
          </w:tcPr>
          <w:p>
            <w:pPr>
              <w:spacing w:after="0"/>
              <w:rPr>
                <w:sz w:val="20"/>
                <w:szCs w:val="20"/>
                <w:color w:val="auto"/>
              </w:rPr>
            </w:pPr>
            <w:r>
              <w:rPr>
                <w:rFonts w:ascii="Arial" w:cs="Arial" w:eastAsia="Arial" w:hAnsi="Arial"/>
                <w:sz w:val="19"/>
                <w:szCs w:val="19"/>
                <w:color w:val="auto"/>
              </w:rPr>
              <w:t>Closed stores</w:t>
            </w:r>
          </w:p>
        </w:tc>
        <w:tc>
          <w:tcPr>
            <w:tcW w:w="980" w:type="dxa"/>
            <w:vAlign w:val="bottom"/>
            <w:gridSpan w:val="2"/>
            <w:shd w:val="clear" w:color="auto" w:fill="D1EDF4"/>
          </w:tcPr>
          <w:p>
            <w:pPr>
              <w:jc w:val="right"/>
              <w:ind w:right="160"/>
              <w:spacing w:after="0"/>
              <w:rPr>
                <w:sz w:val="20"/>
                <w:szCs w:val="20"/>
                <w:color w:val="auto"/>
              </w:rPr>
            </w:pPr>
            <w:r>
              <w:rPr>
                <w:rFonts w:ascii="Arial" w:cs="Arial" w:eastAsia="Arial" w:hAnsi="Arial"/>
                <w:sz w:val="19"/>
                <w:szCs w:val="19"/>
                <w:color w:val="auto"/>
              </w:rPr>
              <w:t>(4)</w:t>
            </w:r>
          </w:p>
        </w:tc>
        <w:tc>
          <w:tcPr>
            <w:tcW w:w="1180" w:type="dxa"/>
            <w:vAlign w:val="bottom"/>
            <w:gridSpan w:val="3"/>
            <w:shd w:val="clear" w:color="auto" w:fill="D1EDF4"/>
          </w:tcPr>
          <w:p>
            <w:pPr>
              <w:jc w:val="right"/>
              <w:ind w:right="300"/>
              <w:spacing w:after="0"/>
              <w:rPr>
                <w:sz w:val="20"/>
                <w:szCs w:val="20"/>
                <w:color w:val="auto"/>
              </w:rPr>
            </w:pPr>
            <w:r>
              <w:rPr>
                <w:rFonts w:ascii="Arial" w:cs="Arial" w:eastAsia="Arial" w:hAnsi="Arial"/>
                <w:sz w:val="19"/>
                <w:szCs w:val="19"/>
                <w:color w:val="auto"/>
              </w:rPr>
              <w:t>(12)</w:t>
            </w:r>
          </w:p>
        </w:tc>
        <w:tc>
          <w:tcPr>
            <w:tcW w:w="660" w:type="dxa"/>
            <w:vAlign w:val="bottom"/>
            <w:shd w:val="clear" w:color="auto" w:fill="D1EDF4"/>
          </w:tcPr>
          <w:p>
            <w:pPr>
              <w:jc w:val="right"/>
              <w:spacing w:after="0"/>
              <w:rPr>
                <w:sz w:val="20"/>
                <w:szCs w:val="20"/>
                <w:color w:val="auto"/>
              </w:rPr>
            </w:pPr>
            <w:r>
              <w:rPr>
                <w:rFonts w:ascii="Arial" w:cs="Arial" w:eastAsia="Arial" w:hAnsi="Arial"/>
                <w:sz w:val="19"/>
                <w:szCs w:val="19"/>
                <w:color w:val="auto"/>
              </w:rPr>
              <w:t>(14)</w:t>
            </w:r>
          </w:p>
        </w:tc>
        <w:tc>
          <w:tcPr>
            <w:tcW w:w="220" w:type="dxa"/>
            <w:vAlign w:val="bottom"/>
            <w:shd w:val="clear" w:color="auto" w:fill="D1EDF4"/>
          </w:tcPr>
          <w:p>
            <w:pPr>
              <w:spacing w:after="0"/>
              <w:rPr>
                <w:sz w:val="18"/>
                <w:szCs w:val="18"/>
                <w:color w:val="auto"/>
              </w:rPr>
            </w:pPr>
          </w:p>
        </w:tc>
      </w:tr>
      <w:tr>
        <w:trPr>
          <w:trHeight w:val="220"/>
        </w:trPr>
        <w:tc>
          <w:tcPr>
            <w:tcW w:w="40" w:type="dxa"/>
            <w:vAlign w:val="bottom"/>
          </w:tcPr>
          <w:p>
            <w:pPr>
              <w:spacing w:after="0"/>
              <w:rPr>
                <w:sz w:val="19"/>
                <w:szCs w:val="19"/>
                <w:color w:val="auto"/>
              </w:rPr>
            </w:pPr>
          </w:p>
        </w:tc>
        <w:tc>
          <w:tcPr>
            <w:tcW w:w="7680" w:type="dxa"/>
            <w:vAlign w:val="bottom"/>
            <w:tcBorders>
              <w:bottom w:val="single" w:sz="8" w:color="D1EDF4"/>
            </w:tcBorders>
            <w:gridSpan w:val="2"/>
          </w:tcPr>
          <w:p>
            <w:pPr>
              <w:spacing w:after="0" w:line="211" w:lineRule="exact"/>
              <w:rPr>
                <w:sz w:val="20"/>
                <w:szCs w:val="20"/>
                <w:color w:val="auto"/>
              </w:rPr>
            </w:pPr>
            <w:r>
              <w:rPr>
                <w:rFonts w:ascii="Arial" w:cs="Arial" w:eastAsia="Arial" w:hAnsi="Arial"/>
                <w:sz w:val="19"/>
                <w:szCs w:val="19"/>
                <w:color w:val="auto"/>
              </w:rPr>
              <w:t>Total stores open, end of year</w:t>
            </w:r>
          </w:p>
        </w:tc>
        <w:tc>
          <w:tcPr>
            <w:tcW w:w="800" w:type="dxa"/>
            <w:vAlign w:val="bottom"/>
            <w:tcBorders>
              <w:top w:val="single" w:sz="8" w:color="auto"/>
              <w:bottom w:val="single" w:sz="8" w:color="auto"/>
            </w:tcBorders>
          </w:tcPr>
          <w:p>
            <w:pPr>
              <w:jc w:val="right"/>
              <w:spacing w:after="0" w:line="211" w:lineRule="exact"/>
              <w:rPr>
                <w:sz w:val="20"/>
                <w:szCs w:val="20"/>
                <w:color w:val="auto"/>
              </w:rPr>
            </w:pPr>
            <w:r>
              <w:rPr>
                <w:rFonts w:ascii="Arial" w:cs="Arial" w:eastAsia="Arial" w:hAnsi="Arial"/>
                <w:sz w:val="19"/>
                <w:szCs w:val="19"/>
                <w:color w:val="auto"/>
              </w:rPr>
              <w:t>590</w:t>
            </w:r>
          </w:p>
        </w:tc>
        <w:tc>
          <w:tcPr>
            <w:tcW w:w="180" w:type="dxa"/>
            <w:vAlign w:val="bottom"/>
            <w:tcBorders>
              <w:bottom w:val="single" w:sz="8" w:color="D1EDF4"/>
            </w:tcBorders>
          </w:tcPr>
          <w:p>
            <w:pPr>
              <w:spacing w:after="0"/>
              <w:rPr>
                <w:sz w:val="19"/>
                <w:szCs w:val="19"/>
                <w:color w:val="auto"/>
              </w:rPr>
            </w:pPr>
          </w:p>
        </w:tc>
        <w:tc>
          <w:tcPr>
            <w:tcW w:w="60" w:type="dxa"/>
            <w:vAlign w:val="bottom"/>
            <w:tcBorders>
              <w:bottom w:val="single" w:sz="8" w:color="D1EDF4"/>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line="211" w:lineRule="exact"/>
              <w:rPr>
                <w:sz w:val="20"/>
                <w:szCs w:val="20"/>
                <w:color w:val="auto"/>
              </w:rPr>
            </w:pPr>
            <w:r>
              <w:rPr>
                <w:rFonts w:ascii="Arial" w:cs="Arial" w:eastAsia="Arial" w:hAnsi="Arial"/>
                <w:sz w:val="19"/>
                <w:szCs w:val="19"/>
                <w:color w:val="auto"/>
              </w:rPr>
              <w:t>591</w:t>
            </w:r>
          </w:p>
        </w:tc>
        <w:tc>
          <w:tcPr>
            <w:tcW w:w="300" w:type="dxa"/>
            <w:vAlign w:val="bottom"/>
            <w:tcBorders>
              <w:bottom w:val="single" w:sz="8" w:color="D1EDF4"/>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line="211" w:lineRule="exact"/>
              <w:rPr>
                <w:sz w:val="20"/>
                <w:szCs w:val="20"/>
                <w:color w:val="auto"/>
              </w:rPr>
            </w:pPr>
            <w:r>
              <w:rPr>
                <w:rFonts w:ascii="Arial" w:cs="Arial" w:eastAsia="Arial" w:hAnsi="Arial"/>
                <w:sz w:val="19"/>
                <w:szCs w:val="19"/>
                <w:color w:val="auto"/>
              </w:rPr>
              <w:t>602</w:t>
            </w:r>
          </w:p>
        </w:tc>
        <w:tc>
          <w:tcPr>
            <w:tcW w:w="220" w:type="dxa"/>
            <w:vAlign w:val="bottom"/>
            <w:tcBorders>
              <w:bottom w:val="single" w:sz="8" w:color="D1EDF4"/>
            </w:tcBorders>
          </w:tcPr>
          <w:p>
            <w:pPr>
              <w:spacing w:after="0"/>
              <w:rPr>
                <w:sz w:val="19"/>
                <w:szCs w:val="19"/>
                <w:color w:val="auto"/>
              </w:rPr>
            </w:pPr>
          </w:p>
        </w:tc>
      </w:tr>
      <w:tr>
        <w:trPr>
          <w:trHeight w:val="220"/>
        </w:trPr>
        <w:tc>
          <w:tcPr>
            <w:tcW w:w="40" w:type="dxa"/>
            <w:vAlign w:val="bottom"/>
          </w:tcPr>
          <w:p>
            <w:pPr>
              <w:spacing w:after="0"/>
              <w:rPr>
                <w:sz w:val="19"/>
                <w:szCs w:val="19"/>
                <w:color w:val="auto"/>
              </w:rPr>
            </w:pPr>
          </w:p>
        </w:tc>
        <w:tc>
          <w:tcPr>
            <w:tcW w:w="2660" w:type="dxa"/>
            <w:vAlign w:val="bottom"/>
            <w:shd w:val="clear" w:color="auto" w:fill="D1EDF4"/>
          </w:tcPr>
          <w:p>
            <w:pPr>
              <w:spacing w:after="0"/>
              <w:rPr>
                <w:sz w:val="19"/>
                <w:szCs w:val="19"/>
                <w:color w:val="auto"/>
              </w:rPr>
            </w:pPr>
          </w:p>
        </w:tc>
        <w:tc>
          <w:tcPr>
            <w:tcW w:w="5020" w:type="dxa"/>
            <w:vAlign w:val="bottom"/>
            <w:shd w:val="clear" w:color="auto" w:fill="D1EDF4"/>
          </w:tcPr>
          <w:p>
            <w:pPr>
              <w:spacing w:after="0"/>
              <w:rPr>
                <w:sz w:val="19"/>
                <w:szCs w:val="19"/>
                <w:color w:val="auto"/>
              </w:rPr>
            </w:pPr>
          </w:p>
        </w:tc>
        <w:tc>
          <w:tcPr>
            <w:tcW w:w="980" w:type="dxa"/>
            <w:vAlign w:val="bottom"/>
            <w:gridSpan w:val="2"/>
            <w:shd w:val="clear" w:color="auto" w:fill="D1EDF4"/>
          </w:tcPr>
          <w:p>
            <w:pPr>
              <w:spacing w:after="0"/>
              <w:rPr>
                <w:sz w:val="19"/>
                <w:szCs w:val="19"/>
                <w:color w:val="auto"/>
              </w:rPr>
            </w:pPr>
          </w:p>
        </w:tc>
        <w:tc>
          <w:tcPr>
            <w:tcW w:w="1180" w:type="dxa"/>
            <w:vAlign w:val="bottom"/>
            <w:gridSpan w:val="3"/>
            <w:shd w:val="clear" w:color="auto" w:fill="D1EDF4"/>
          </w:tcPr>
          <w:p>
            <w:pPr>
              <w:spacing w:after="0"/>
              <w:rPr>
                <w:sz w:val="19"/>
                <w:szCs w:val="19"/>
                <w:color w:val="auto"/>
              </w:rPr>
            </w:pPr>
          </w:p>
        </w:tc>
        <w:tc>
          <w:tcPr>
            <w:tcW w:w="880" w:type="dxa"/>
            <w:vAlign w:val="bottom"/>
            <w:gridSpan w:val="2"/>
            <w:shd w:val="clear" w:color="auto" w:fill="D1EDF4"/>
          </w:tcPr>
          <w:p>
            <w:pPr>
              <w:spacing w:after="0"/>
              <w:rPr>
                <w:sz w:val="19"/>
                <w:szCs w:val="19"/>
                <w:color w:val="auto"/>
              </w:rPr>
            </w:pPr>
          </w:p>
        </w:tc>
      </w:tr>
      <w:tr>
        <w:trPr>
          <w:trHeight w:val="266"/>
        </w:trPr>
        <w:tc>
          <w:tcPr>
            <w:tcW w:w="40" w:type="dxa"/>
            <w:vAlign w:val="bottom"/>
          </w:tcPr>
          <w:p>
            <w:pPr>
              <w:spacing w:after="0"/>
              <w:rPr>
                <w:sz w:val="23"/>
                <w:szCs w:val="23"/>
                <w:color w:val="auto"/>
              </w:rPr>
            </w:pPr>
          </w:p>
        </w:tc>
        <w:tc>
          <w:tcPr>
            <w:tcW w:w="7680" w:type="dxa"/>
            <w:vAlign w:val="bottom"/>
            <w:gridSpan w:val="2"/>
          </w:tcPr>
          <w:p>
            <w:pPr>
              <w:spacing w:after="0" w:line="266" w:lineRule="exact"/>
              <w:rPr>
                <w:sz w:val="20"/>
                <w:szCs w:val="20"/>
                <w:color w:val="auto"/>
              </w:rPr>
            </w:pPr>
            <w:r>
              <w:rPr>
                <w:rFonts w:ascii="Arial" w:cs="Arial" w:eastAsia="Arial" w:hAnsi="Arial"/>
                <w:sz w:val="19"/>
                <w:szCs w:val="19"/>
                <w:color w:val="auto"/>
              </w:rPr>
              <w:t xml:space="preserve">Comparable store sales increase (decrease) </w:t>
            </w:r>
            <w:r>
              <w:rPr>
                <w:rFonts w:ascii="Arial" w:cs="Arial" w:eastAsia="Arial" w:hAnsi="Arial"/>
                <w:sz w:val="24"/>
                <w:szCs w:val="24"/>
                <w:color w:val="auto"/>
                <w:vertAlign w:val="superscript"/>
              </w:rPr>
              <w:t>(1)</w:t>
            </w:r>
          </w:p>
        </w:tc>
        <w:tc>
          <w:tcPr>
            <w:tcW w:w="980" w:type="dxa"/>
            <w:vAlign w:val="bottom"/>
            <w:gridSpan w:val="2"/>
          </w:tcPr>
          <w:p>
            <w:pPr>
              <w:jc w:val="right"/>
              <w:spacing w:after="0"/>
              <w:rPr>
                <w:sz w:val="20"/>
                <w:szCs w:val="20"/>
                <w:color w:val="auto"/>
              </w:rPr>
            </w:pPr>
            <w:r>
              <w:rPr>
                <w:rFonts w:ascii="Arial" w:cs="Arial" w:eastAsia="Arial" w:hAnsi="Arial"/>
                <w:sz w:val="19"/>
                <w:szCs w:val="19"/>
                <w:color w:val="auto"/>
              </w:rPr>
              <w:t>9.7 %</w:t>
            </w:r>
          </w:p>
        </w:tc>
        <w:tc>
          <w:tcPr>
            <w:tcW w:w="1180" w:type="dxa"/>
            <w:vAlign w:val="bottom"/>
            <w:gridSpan w:val="3"/>
          </w:tcPr>
          <w:p>
            <w:pPr>
              <w:jc w:val="right"/>
              <w:ind w:right="140"/>
              <w:spacing w:after="0"/>
              <w:rPr>
                <w:sz w:val="20"/>
                <w:szCs w:val="20"/>
                <w:color w:val="auto"/>
              </w:rPr>
            </w:pPr>
            <w:r>
              <w:rPr>
                <w:rFonts w:ascii="Arial" w:cs="Arial" w:eastAsia="Arial" w:hAnsi="Arial"/>
                <w:sz w:val="19"/>
                <w:szCs w:val="19"/>
                <w:color w:val="auto"/>
              </w:rPr>
              <w:t>3.4 %</w:t>
            </w:r>
          </w:p>
        </w:tc>
        <w:tc>
          <w:tcPr>
            <w:tcW w:w="880" w:type="dxa"/>
            <w:vAlign w:val="bottom"/>
            <w:gridSpan w:val="2"/>
          </w:tcPr>
          <w:p>
            <w:pPr>
              <w:jc w:val="right"/>
              <w:ind w:right="60"/>
              <w:spacing w:after="0"/>
              <w:rPr>
                <w:sz w:val="20"/>
                <w:szCs w:val="20"/>
                <w:color w:val="auto"/>
              </w:rPr>
            </w:pPr>
            <w:r>
              <w:rPr>
                <w:rFonts w:ascii="Arial" w:cs="Arial" w:eastAsia="Arial" w:hAnsi="Arial"/>
                <w:sz w:val="19"/>
                <w:szCs w:val="19"/>
                <w:color w:val="auto"/>
              </w:rPr>
              <w:t>(6.8) %</w:t>
            </w:r>
          </w:p>
        </w:tc>
      </w:tr>
      <w:tr>
        <w:trPr>
          <w:trHeight w:val="20"/>
        </w:trPr>
        <w:tc>
          <w:tcPr>
            <w:tcW w:w="40" w:type="dxa"/>
            <w:vAlign w:val="bottom"/>
            <w:shd w:val="clear" w:color="auto" w:fill="000000"/>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4" w:lineRule="exact"/>
        <w:rPr>
          <w:sz w:val="20"/>
          <w:szCs w:val="20"/>
          <w:color w:val="auto"/>
        </w:rPr>
      </w:pPr>
    </w:p>
    <w:p>
      <w:pPr>
        <w:ind w:left="440" w:right="60" w:hanging="440"/>
        <w:spacing w:after="0" w:line="235" w:lineRule="auto"/>
        <w:tabs>
          <w:tab w:leader="none" w:pos="440" w:val="left"/>
        </w:tabs>
        <w:numPr>
          <w:ilvl w:val="0"/>
          <w:numId w:val="11"/>
        </w:numPr>
        <w:rPr>
          <w:rFonts w:ascii="Arial" w:cs="Arial" w:eastAsia="Arial" w:hAnsi="Arial"/>
          <w:sz w:val="24"/>
          <w:szCs w:val="24"/>
          <w:color w:val="auto"/>
          <w:vertAlign w:val="superscript"/>
        </w:rPr>
      </w:pPr>
      <w:r>
        <w:rPr>
          <w:rFonts w:ascii="Arial" w:cs="Arial" w:eastAsia="Arial" w:hAnsi="Arial"/>
          <w:sz w:val="19"/>
          <w:szCs w:val="19"/>
          <w:color w:val="auto"/>
        </w:rPr>
        <w:t>Stores included in the comparable store sales calculation for any year are those stores that were open for at least 14 full consecutive months without closure for more than seven days within the same fiscal month. Remodeled and relocated stores are included in the comparable store sales results if the selling square footage is not changed significantly, the store is not closed for more than five days in any fiscal month and the store remains in the same trade area, while stores that are closed permanently or for an extended period are excluded from the comparable store sales results.</w:t>
      </w:r>
    </w:p>
    <w:p>
      <w:pPr>
        <w:sectPr>
          <w:pgSz w:w="11880" w:h="15480" w:orient="portrait"/>
          <w:cols w:equalWidth="0" w:num="1">
            <w:col w:w="10800"/>
          </w:cols>
          <w:pgMar w:left="540" w:top="812" w:right="540" w:bottom="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ectPr>
          <w:pgSz w:w="11880" w:h="15480" w:orient="portrait"/>
          <w:cols w:equalWidth="0" w:num="1">
            <w:col w:w="10800"/>
          </w:cols>
          <w:pgMar w:left="540" w:top="812" w:right="540" w:bottom="16" w:gutter="0" w:footer="0" w:header="0"/>
          <w:type w:val="continuous"/>
        </w:sectPr>
      </w:pPr>
    </w:p>
    <w:bookmarkStart w:id="26" w:name="page27"/>
    <w:bookmarkEnd w:id="26"/>
    <w:p>
      <w:pPr>
        <w:spacing w:after="0"/>
        <w:rPr>
          <w:sz w:val="20"/>
          <w:szCs w:val="20"/>
          <w:color w:val="auto"/>
        </w:rPr>
      </w:pPr>
      <w:r>
        <w:rPr>
          <w:rFonts w:ascii="Arial" w:cs="Arial" w:eastAsia="Arial" w:hAnsi="Arial"/>
          <w:sz w:val="19"/>
          <w:szCs w:val="19"/>
          <w:b w:val="1"/>
          <w:bCs w:val="1"/>
          <w:i w:val="1"/>
          <w:iCs w:val="1"/>
          <w:color w:val="auto"/>
        </w:rPr>
        <w:t>Key Operating Statistics</w:t>
      </w:r>
    </w:p>
    <w:p>
      <w:pPr>
        <w:spacing w:after="0" w:line="154" w:lineRule="exact"/>
        <w:rPr>
          <w:sz w:val="20"/>
          <w:szCs w:val="20"/>
          <w:color w:val="auto"/>
        </w:rPr>
      </w:pPr>
    </w:p>
    <w:p>
      <w:pPr>
        <w:ind w:right="40"/>
        <w:spacing w:after="0" w:line="244" w:lineRule="auto"/>
        <w:rPr>
          <w:sz w:val="20"/>
          <w:szCs w:val="20"/>
          <w:color w:val="auto"/>
        </w:rPr>
      </w:pPr>
      <w:r>
        <w:rPr>
          <w:rFonts w:ascii="Arial" w:cs="Arial" w:eastAsia="Arial" w:hAnsi="Arial"/>
          <w:sz w:val="19"/>
          <w:szCs w:val="19"/>
          <w:color w:val="auto"/>
        </w:rPr>
        <w:t>We measure performance using key operating statistics. One of the main performance measures we use is comparable store sales growth. We define a comparable store as a store that has been open for at least 14 full consecutive months without closure for more than seven days within the same fiscal month. Remodeled and relocated stores are included in the comparable store sales results if the selling square footage is not changed significantly, the store is not closed for more than five days in any fiscal month and the store remains in the same trade area. We also use other operating statistics, most notably average sales per store, to measure our performance. As we typically occupy existing space in established shopping centers rather than sites built specifically for our stores, store square footage (and therefore sales per square foot) varies by store. We focus on overall store sales volume as the critical driver of profitability. In addition to sales, we measure cost of sales as a percentage of sales and store operating expenses, with a particular focus on labor, as a percentage of sales. These results translate into store level contribution, which we use to evaluate overall performance of each individual store. Finally, we monitor corporate and distribution center expenses against budgeted amounts.</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Fiscal 2025 Compared to Fiscal 2024</w:t>
      </w:r>
    </w:p>
    <w:p>
      <w:pPr>
        <w:spacing w:after="0" w:line="156" w:lineRule="exact"/>
        <w:rPr>
          <w:sz w:val="20"/>
          <w:szCs w:val="20"/>
          <w:color w:val="auto"/>
        </w:rPr>
      </w:pPr>
    </w:p>
    <w:p>
      <w:pPr>
        <w:jc w:val="both"/>
        <w:ind w:right="380"/>
        <w:spacing w:after="0" w:line="253" w:lineRule="auto"/>
        <w:rPr>
          <w:sz w:val="20"/>
          <w:szCs w:val="20"/>
          <w:color w:val="auto"/>
        </w:rPr>
      </w:pPr>
      <w:r>
        <w:rPr>
          <w:rFonts w:ascii="Arial" w:cs="Arial" w:eastAsia="Arial" w:hAnsi="Arial"/>
          <w:sz w:val="19"/>
          <w:szCs w:val="19"/>
          <w:i w:val="1"/>
          <w:iCs w:val="1"/>
          <w:color w:val="auto"/>
        </w:rPr>
        <w:t xml:space="preserve">Net Sales. </w:t>
      </w:r>
      <w:r>
        <w:rPr>
          <w:rFonts w:ascii="Arial" w:cs="Arial" w:eastAsia="Arial" w:hAnsi="Arial"/>
          <w:sz w:val="19"/>
          <w:szCs w:val="19"/>
          <w:color w:val="auto"/>
        </w:rPr>
        <w:t>Net sales increased $66.9 million, or 8.9%, to $820.0 million in fiscal 2025 from $753.1 million in fiscal 2024. The</w:t>
      </w:r>
      <w:r>
        <w:rPr>
          <w:rFonts w:ascii="Arial" w:cs="Arial" w:eastAsia="Arial" w:hAnsi="Arial"/>
          <w:sz w:val="19"/>
          <w:szCs w:val="19"/>
          <w:i w:val="1"/>
          <w:iCs w:val="1"/>
          <w:color w:val="auto"/>
        </w:rPr>
        <w:t xml:space="preserve"> </w:t>
      </w:r>
      <w:r>
        <w:rPr>
          <w:rFonts w:ascii="Arial" w:cs="Arial" w:eastAsia="Arial" w:hAnsi="Arial"/>
          <w:sz w:val="19"/>
          <w:szCs w:val="19"/>
          <w:color w:val="auto"/>
        </w:rPr>
        <w:t>increase in sales was due to a 9.7% increase in comparable store sales, as well as a decrease of $5.4 million from net store opening and closing activity. The increase in comparable store sales was the result of increased transactions with increased average basket contributing to the balance.</w:t>
      </w:r>
    </w:p>
    <w:p>
      <w:pPr>
        <w:spacing w:after="0" w:line="112"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Cost of Sales (exclusive of depreciation). </w:t>
      </w:r>
      <w:r>
        <w:rPr>
          <w:rFonts w:ascii="Arial" w:cs="Arial" w:eastAsia="Arial" w:hAnsi="Arial"/>
          <w:sz w:val="19"/>
          <w:szCs w:val="19"/>
          <w:color w:val="auto"/>
        </w:rPr>
        <w:t>Cost of sales increased $24.3 million, or 5.2%, to $495.3 million in fiscal 2025 from</w:t>
      </w:r>
    </w:p>
    <w:p>
      <w:pPr>
        <w:spacing w:after="0" w:line="24" w:lineRule="exact"/>
        <w:rPr>
          <w:sz w:val="20"/>
          <w:szCs w:val="20"/>
          <w:color w:val="auto"/>
        </w:rPr>
      </w:pPr>
    </w:p>
    <w:p>
      <w:pPr>
        <w:spacing w:after="0" w:line="248" w:lineRule="auto"/>
        <w:rPr>
          <w:sz w:val="20"/>
          <w:szCs w:val="20"/>
          <w:color w:val="auto"/>
        </w:rPr>
      </w:pPr>
      <w:r>
        <w:rPr>
          <w:rFonts w:ascii="Arial" w:cs="Arial" w:eastAsia="Arial" w:hAnsi="Arial"/>
          <w:sz w:val="19"/>
          <w:szCs w:val="19"/>
          <w:color w:val="auto"/>
        </w:rPr>
        <w:t>$471.0 million in fiscal 2024. As a percentage of net sales, cost of sales decreased 210 basis points to 60.4% in fiscal 2025 from 62.5% in fiscal 2024 driven by lower markdowns and lower shrink expenses since the strategic inventory reset in fiscal 2024, and lower freight expense compared to fiscal 2024.</w:t>
      </w:r>
    </w:p>
    <w:p>
      <w:pPr>
        <w:spacing w:after="0" w:line="115" w:lineRule="exact"/>
        <w:rPr>
          <w:sz w:val="20"/>
          <w:szCs w:val="20"/>
          <w:color w:val="auto"/>
        </w:rPr>
      </w:pPr>
    </w:p>
    <w:p>
      <w:pPr>
        <w:ind w:right="140"/>
        <w:spacing w:after="0" w:line="253" w:lineRule="auto"/>
        <w:rPr>
          <w:sz w:val="20"/>
          <w:szCs w:val="20"/>
          <w:color w:val="auto"/>
        </w:rPr>
      </w:pPr>
      <w:r>
        <w:rPr>
          <w:rFonts w:ascii="Arial" w:cs="Arial" w:eastAsia="Arial" w:hAnsi="Arial"/>
          <w:sz w:val="19"/>
          <w:szCs w:val="19"/>
          <w:i w:val="1"/>
          <w:iCs w:val="1"/>
          <w:color w:val="auto"/>
        </w:rPr>
        <w:t xml:space="preserve">Selling, General and Administrative (“SG&amp;A”) Expenses. </w:t>
      </w:r>
      <w:r>
        <w:rPr>
          <w:rFonts w:ascii="Arial" w:cs="Arial" w:eastAsia="Arial" w:hAnsi="Arial"/>
          <w:sz w:val="19"/>
          <w:szCs w:val="19"/>
          <w:color w:val="auto"/>
        </w:rPr>
        <w:t>SG&amp;A expenses increased $13.0 million, or 4.3%, to $313.2 million in</w:t>
      </w:r>
      <w:r>
        <w:rPr>
          <w:rFonts w:ascii="Arial" w:cs="Arial" w:eastAsia="Arial" w:hAnsi="Arial"/>
          <w:sz w:val="19"/>
          <w:szCs w:val="19"/>
          <w:i w:val="1"/>
          <w:iCs w:val="1"/>
          <w:color w:val="auto"/>
        </w:rPr>
        <w:t xml:space="preserve"> </w:t>
      </w:r>
      <w:r>
        <w:rPr>
          <w:rFonts w:ascii="Arial" w:cs="Arial" w:eastAsia="Arial" w:hAnsi="Arial"/>
          <w:sz w:val="19"/>
          <w:szCs w:val="19"/>
          <w:color w:val="auto"/>
        </w:rPr>
        <w:t>fiscal 2025 from $300.2 million in fiscal 2024. The increase was primarily due to $9.7 million of incremental bonus and equity expense and store and distribution center expense to support $66.9 million of incremental sales. As a percentage of sales, SG&amp;A expenses leveraged 170 basis points to 38.2% in fiscal 2025 from 39.9% in fiscal 2024.</w:t>
      </w:r>
    </w:p>
    <w:p>
      <w:pPr>
        <w:spacing w:after="0" w:line="114"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Depreciation. </w:t>
      </w:r>
      <w:r>
        <w:rPr>
          <w:rFonts w:ascii="Arial" w:cs="Arial" w:eastAsia="Arial" w:hAnsi="Arial"/>
          <w:sz w:val="19"/>
          <w:szCs w:val="19"/>
          <w:color w:val="auto"/>
        </w:rPr>
        <w:t>Depreciation expense decreased $0.3 million to $18.5 million in fiscal 2025 from $18.8 million in fiscal 2024.</w:t>
      </w:r>
    </w:p>
    <w:p>
      <w:pPr>
        <w:spacing w:after="0" w:line="158" w:lineRule="exact"/>
        <w:rPr>
          <w:sz w:val="20"/>
          <w:szCs w:val="20"/>
          <w:color w:val="auto"/>
        </w:rPr>
      </w:pPr>
    </w:p>
    <w:p>
      <w:pPr>
        <w:ind w:right="20"/>
        <w:spacing w:after="0" w:line="253" w:lineRule="auto"/>
        <w:rPr>
          <w:sz w:val="20"/>
          <w:szCs w:val="20"/>
          <w:color w:val="auto"/>
        </w:rPr>
      </w:pPr>
      <w:r>
        <w:rPr>
          <w:rFonts w:ascii="Arial" w:cs="Arial" w:eastAsia="Arial" w:hAnsi="Arial"/>
          <w:sz w:val="19"/>
          <w:szCs w:val="19"/>
          <w:i w:val="1"/>
          <w:iCs w:val="1"/>
          <w:color w:val="auto"/>
        </w:rPr>
        <w:t>Asset Impairment</w:t>
      </w:r>
      <w:r>
        <w:rPr>
          <w:rFonts w:ascii="Arial" w:cs="Arial" w:eastAsia="Arial" w:hAnsi="Arial"/>
          <w:sz w:val="19"/>
          <w:szCs w:val="19"/>
          <w:color w:val="auto"/>
        </w:rPr>
        <w:t>. Impairment charges for fiscal 2025 related to underperforming stores totaled $ 0.6 million, comprised of $0.3</w:t>
      </w:r>
      <w:r>
        <w:rPr>
          <w:rFonts w:ascii="Arial" w:cs="Arial" w:eastAsia="Arial" w:hAnsi="Arial"/>
          <w:sz w:val="19"/>
          <w:szCs w:val="19"/>
          <w:i w:val="1"/>
          <w:iCs w:val="1"/>
          <w:color w:val="auto"/>
        </w:rPr>
        <w:t xml:space="preserve"> </w:t>
      </w:r>
      <w:r>
        <w:rPr>
          <w:rFonts w:ascii="Arial" w:cs="Arial" w:eastAsia="Arial" w:hAnsi="Arial"/>
          <w:sz w:val="19"/>
          <w:szCs w:val="19"/>
          <w:color w:val="auto"/>
        </w:rPr>
        <w:t>million for leasehold improvements and fixtures and equipment, and $0.3 million for an operating lease right-of-use asset. Impairment charges for fiscal 2024 related to underperforming stores totaled $2.5 million, comprised of $1.2 million for leasehold improvements and fixtures and equipment, and $1.3 million for an operating right of use asset.</w:t>
      </w:r>
    </w:p>
    <w:p>
      <w:pPr>
        <w:spacing w:after="0" w:line="114"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Gain on sale of building</w:t>
      </w:r>
      <w:r>
        <w:rPr>
          <w:rFonts w:ascii="Arial" w:cs="Arial" w:eastAsia="Arial" w:hAnsi="Arial"/>
          <w:sz w:val="18"/>
          <w:szCs w:val="18"/>
          <w:i w:val="1"/>
          <w:iCs w:val="1"/>
          <w:color w:val="auto"/>
        </w:rPr>
        <w:t>.</w:t>
      </w:r>
      <w:r>
        <w:rPr>
          <w:rFonts w:ascii="Arial" w:cs="Arial" w:eastAsia="Arial" w:hAnsi="Arial"/>
          <w:sz w:val="19"/>
          <w:szCs w:val="19"/>
          <w:i w:val="1"/>
          <w:iCs w:val="1"/>
          <w:color w:val="auto"/>
        </w:rPr>
        <w:t xml:space="preserve"> </w:t>
      </w:r>
      <w:r>
        <w:rPr>
          <w:rFonts w:ascii="Arial" w:cs="Arial" w:eastAsia="Arial" w:hAnsi="Arial"/>
          <w:sz w:val="19"/>
          <w:szCs w:val="19"/>
          <w:color w:val="auto"/>
        </w:rPr>
        <w:t>Gain on sale of the corporate office building was $11.0 million for fiscal 2025.</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Gain on insurance</w:t>
      </w:r>
      <w:r>
        <w:rPr>
          <w:rFonts w:ascii="Arial" w:cs="Arial" w:eastAsia="Arial" w:hAnsi="Arial"/>
          <w:sz w:val="19"/>
          <w:szCs w:val="19"/>
          <w:color w:val="auto"/>
        </w:rPr>
        <w:t>. Gain on insurance was $0.4 million for fiscal 2025.</w:t>
      </w:r>
    </w:p>
    <w:p>
      <w:pPr>
        <w:spacing w:after="0" w:line="158" w:lineRule="exact"/>
        <w:rPr>
          <w:sz w:val="20"/>
          <w:szCs w:val="20"/>
          <w:color w:val="auto"/>
        </w:rPr>
      </w:pPr>
    </w:p>
    <w:p>
      <w:pPr>
        <w:ind w:right="40"/>
        <w:spacing w:after="0" w:line="250" w:lineRule="auto"/>
        <w:rPr>
          <w:sz w:val="20"/>
          <w:szCs w:val="20"/>
          <w:color w:val="auto"/>
        </w:rPr>
      </w:pPr>
      <w:r>
        <w:rPr>
          <w:rFonts w:ascii="Arial" w:cs="Arial" w:eastAsia="Arial" w:hAnsi="Arial"/>
          <w:sz w:val="19"/>
          <w:szCs w:val="19"/>
          <w:i w:val="1"/>
          <w:iCs w:val="1"/>
          <w:color w:val="auto"/>
        </w:rPr>
        <w:t xml:space="preserve">Income Tax (Expense) Benefit. </w:t>
      </w:r>
      <w:r>
        <w:rPr>
          <w:rFonts w:ascii="Arial" w:cs="Arial" w:eastAsia="Arial" w:hAnsi="Arial"/>
          <w:sz w:val="19"/>
          <w:szCs w:val="19"/>
          <w:color w:val="auto"/>
        </w:rPr>
        <w:t>Income tax expense was $0.3 million in fiscal 2025 compared to income tax expense of $ 5.8</w:t>
      </w:r>
      <w:r>
        <w:rPr>
          <w:rFonts w:ascii="Arial" w:cs="Arial" w:eastAsia="Arial" w:hAnsi="Arial"/>
          <w:sz w:val="19"/>
          <w:szCs w:val="19"/>
          <w:i w:val="1"/>
          <w:iCs w:val="1"/>
          <w:color w:val="auto"/>
        </w:rPr>
        <w:t xml:space="preserve"> </w:t>
      </w:r>
      <w:r>
        <w:rPr>
          <w:rFonts w:ascii="Arial" w:cs="Arial" w:eastAsia="Arial" w:hAnsi="Arial"/>
          <w:sz w:val="19"/>
          <w:szCs w:val="19"/>
          <w:color w:val="auto"/>
        </w:rPr>
        <w:t>million in fiscal 2024. The difference is attributable to the $16.5 million valuation allowance related to deferred tax assets, primarily associated with net operating loss carryforward generated in fiscal years 2023 and 2024. The cumulative losses during recent years represents sufficient negative evidence to require a valuation allowance, which will be maintained until sufficient positive evidence exists to support its reversal.</w:t>
      </w:r>
    </w:p>
    <w:p>
      <w:pPr>
        <w:spacing w:after="0" w:line="115" w:lineRule="exact"/>
        <w:rPr>
          <w:sz w:val="20"/>
          <w:szCs w:val="20"/>
          <w:color w:val="auto"/>
        </w:rPr>
      </w:pPr>
    </w:p>
    <w:p>
      <w:pPr>
        <w:ind w:right="340"/>
        <w:spacing w:after="0" w:line="281" w:lineRule="auto"/>
        <w:rPr>
          <w:sz w:val="20"/>
          <w:szCs w:val="20"/>
          <w:color w:val="auto"/>
        </w:rPr>
      </w:pPr>
      <w:r>
        <w:rPr>
          <w:rFonts w:ascii="Arial" w:cs="Arial" w:eastAsia="Arial" w:hAnsi="Arial"/>
          <w:sz w:val="19"/>
          <w:szCs w:val="19"/>
          <w:i w:val="1"/>
          <w:iCs w:val="1"/>
          <w:color w:val="auto"/>
        </w:rPr>
        <w:t xml:space="preserve">Net Income (Loss). </w:t>
      </w:r>
      <w:r>
        <w:rPr>
          <w:rFonts w:ascii="Arial" w:cs="Arial" w:eastAsia="Arial" w:hAnsi="Arial"/>
          <w:sz w:val="19"/>
          <w:szCs w:val="19"/>
          <w:color w:val="auto"/>
        </w:rPr>
        <w:t>Net income was $5.2 million in fiscal 2025 compared to net loss of $43.2 million in fiscal 2024, due to the</w:t>
      </w:r>
      <w:r>
        <w:rPr>
          <w:rFonts w:ascii="Arial" w:cs="Arial" w:eastAsia="Arial" w:hAnsi="Arial"/>
          <w:sz w:val="19"/>
          <w:szCs w:val="19"/>
          <w:i w:val="1"/>
          <w:iCs w:val="1"/>
          <w:color w:val="auto"/>
        </w:rPr>
        <w:t xml:space="preserve"> </w:t>
      </w:r>
      <w:r>
        <w:rPr>
          <w:rFonts w:ascii="Arial" w:cs="Arial" w:eastAsia="Arial" w:hAnsi="Arial"/>
          <w:sz w:val="19"/>
          <w:szCs w:val="19"/>
          <w:color w:val="auto"/>
        </w:rPr>
        <w:t>factors discussed above.</w:t>
      </w:r>
    </w:p>
    <w:p>
      <w:pPr>
        <w:spacing w:after="0" w:line="8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Liquidity and Capital Resources</w:t>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Capital Allocation</w:t>
      </w:r>
    </w:p>
    <w:p>
      <w:pPr>
        <w:spacing w:after="0" w:line="154" w:lineRule="exact"/>
        <w:rPr>
          <w:sz w:val="20"/>
          <w:szCs w:val="20"/>
          <w:color w:val="auto"/>
        </w:rPr>
      </w:pPr>
    </w:p>
    <w:p>
      <w:pPr>
        <w:ind w:right="100"/>
        <w:spacing w:after="0" w:line="250" w:lineRule="auto"/>
        <w:rPr>
          <w:sz w:val="20"/>
          <w:szCs w:val="20"/>
          <w:color w:val="auto"/>
        </w:rPr>
      </w:pPr>
      <w:r>
        <w:rPr>
          <w:rFonts w:ascii="Arial" w:cs="Arial" w:eastAsia="Arial" w:hAnsi="Arial"/>
          <w:sz w:val="19"/>
          <w:szCs w:val="19"/>
          <w:color w:val="auto"/>
        </w:rPr>
        <w:t>Our capital allocation strategy is to maintain adequate liquidity to support current operations while investing in opportunities to profitably grow our business, including opportunities to accelerate growth through strategic roll-ups and synergistic acquisitions. At the discretion of our board of directors, we may also choose to return excess cash to shareholders. Our year-end cash and cash equivalents balance was $66.1 million compared to $61.1 million at the end of last year. Until required for other purposes, we maintain cash and cash equivalents in deposit or money market accounts.</w:t>
      </w:r>
    </w:p>
    <w:p>
      <w:pPr>
        <w:spacing w:after="0" w:line="115" w:lineRule="exact"/>
        <w:rPr>
          <w:sz w:val="20"/>
          <w:szCs w:val="20"/>
          <w:color w:val="auto"/>
        </w:rPr>
      </w:pPr>
    </w:p>
    <w:p>
      <w:pPr>
        <w:ind w:right="200"/>
        <w:spacing w:after="0" w:line="260" w:lineRule="auto"/>
        <w:rPr>
          <w:sz w:val="20"/>
          <w:szCs w:val="20"/>
          <w:color w:val="auto"/>
        </w:rPr>
      </w:pPr>
      <w:r>
        <w:rPr>
          <w:rFonts w:ascii="Arial" w:cs="Arial" w:eastAsia="Arial" w:hAnsi="Arial"/>
          <w:sz w:val="19"/>
          <w:szCs w:val="19"/>
          <w:color w:val="auto"/>
        </w:rPr>
        <w:t>Our principal sources of liquidity consist of (i) cash and cash equivalents on hand; (ii) short-term trade credit arising from customary payment terms and trade practices with our vendors; (iii) cash generated from operations on an ongoing basis; and (iv) a revolving credit facility with a $75 million credit commitment.</w:t>
      </w:r>
    </w:p>
    <w:p>
      <w:pPr>
        <w:sectPr>
          <w:pgSz w:w="11880" w:h="15480" w:orient="portrait"/>
          <w:cols w:equalWidth="0" w:num="1">
            <w:col w:w="10780"/>
          </w:cols>
          <w:pgMar w:left="540" w:top="812" w:right="560" w:bottom="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ectPr>
          <w:pgSz w:w="11880" w:h="15480" w:orient="portrait"/>
          <w:cols w:equalWidth="0" w:num="1">
            <w:col w:w="10780"/>
          </w:cols>
          <w:pgMar w:left="540" w:top="812" w:right="560" w:bottom="16" w:gutter="0" w:footer="0" w:header="0"/>
          <w:type w:val="continuous"/>
        </w:sectPr>
      </w:pPr>
    </w:p>
    <w:bookmarkStart w:id="27" w:name="page28"/>
    <w:bookmarkEnd w:id="27"/>
    <w:p>
      <w:pPr>
        <w:spacing w:after="0"/>
        <w:rPr>
          <w:sz w:val="20"/>
          <w:szCs w:val="20"/>
          <w:color w:val="auto"/>
        </w:rPr>
      </w:pPr>
      <w:r>
        <w:rPr>
          <w:rFonts w:ascii="Arial" w:cs="Arial" w:eastAsia="Arial" w:hAnsi="Arial"/>
          <w:sz w:val="19"/>
          <w:szCs w:val="19"/>
          <w:b w:val="1"/>
          <w:bCs w:val="1"/>
          <w:i w:val="1"/>
          <w:iCs w:val="1"/>
          <w:color w:val="auto"/>
        </w:rPr>
        <w:t>Inventory</w:t>
      </w:r>
    </w:p>
    <w:p>
      <w:pPr>
        <w:spacing w:after="0" w:line="154" w:lineRule="exact"/>
        <w:rPr>
          <w:sz w:val="20"/>
          <w:szCs w:val="20"/>
          <w:color w:val="auto"/>
        </w:rPr>
      </w:pPr>
    </w:p>
    <w:p>
      <w:pPr>
        <w:ind w:right="60"/>
        <w:spacing w:after="0" w:line="260" w:lineRule="auto"/>
        <w:rPr>
          <w:sz w:val="20"/>
          <w:szCs w:val="20"/>
          <w:color w:val="auto"/>
        </w:rPr>
      </w:pPr>
      <w:r>
        <w:rPr>
          <w:rFonts w:ascii="Arial" w:cs="Arial" w:eastAsia="Arial" w:hAnsi="Arial"/>
          <w:sz w:val="19"/>
          <w:szCs w:val="19"/>
          <w:color w:val="auto"/>
        </w:rPr>
        <w:t>Our year- end inventory balance was $113.5 million, compared with $122.6 million at the end of fiscal 2024. The decrease was the result of our strategic decrease in our average in-store inventory due to our ongoing inventory efficiency initiatives and lower pack-and-hold inventory.</w:t>
      </w:r>
    </w:p>
    <w:p>
      <w:pPr>
        <w:spacing w:after="0" w:line="11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Capital Expenditures</w:t>
      </w:r>
    </w:p>
    <w:p>
      <w:pPr>
        <w:spacing w:after="0" w:line="154" w:lineRule="exact"/>
        <w:rPr>
          <w:sz w:val="20"/>
          <w:szCs w:val="20"/>
          <w:color w:val="auto"/>
        </w:rPr>
      </w:pPr>
    </w:p>
    <w:p>
      <w:pPr>
        <w:ind w:right="160"/>
        <w:spacing w:after="0" w:line="260" w:lineRule="auto"/>
        <w:rPr>
          <w:sz w:val="20"/>
          <w:szCs w:val="20"/>
          <w:color w:val="auto"/>
        </w:rPr>
      </w:pPr>
      <w:r>
        <w:rPr>
          <w:rFonts w:ascii="Arial" w:cs="Arial" w:eastAsia="Arial" w:hAnsi="Arial"/>
          <w:sz w:val="19"/>
          <w:szCs w:val="19"/>
          <w:color w:val="auto"/>
        </w:rPr>
        <w:t>Capital expenditures in fiscal 2025 were $22.7 million, an increase of $10.6 million from the prior year, primarily due to new stores being opened and more stores being remodeled in fiscal 2025. We anticipate capital expenditures in fiscal 2026 in the range of $35 million to $40 million, primarily for opening approximately 25 new stores and remodeling approximately 50 stores.</w:t>
      </w:r>
    </w:p>
    <w:p>
      <w:pPr>
        <w:spacing w:after="0" w:line="11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Share Repurchases</w:t>
      </w:r>
    </w:p>
    <w:p>
      <w:pPr>
        <w:spacing w:after="0" w:line="154" w:lineRule="exact"/>
        <w:rPr>
          <w:sz w:val="20"/>
          <w:szCs w:val="20"/>
          <w:color w:val="auto"/>
        </w:rPr>
      </w:pPr>
    </w:p>
    <w:p>
      <w:pPr>
        <w:ind w:right="100"/>
        <w:spacing w:after="0" w:line="281" w:lineRule="auto"/>
        <w:rPr>
          <w:sz w:val="20"/>
          <w:szCs w:val="20"/>
          <w:color w:val="auto"/>
        </w:rPr>
      </w:pPr>
      <w:r>
        <w:rPr>
          <w:rFonts w:ascii="Arial" w:cs="Arial" w:eastAsia="Arial" w:hAnsi="Arial"/>
          <w:sz w:val="19"/>
          <w:szCs w:val="19"/>
          <w:color w:val="auto"/>
        </w:rPr>
        <w:t>In fiscal 2025 we returned $ 6.3 million to shareholders through share repurchases. See Part II, Item 5 of this Report and Note 6 to the Financial Statements for more information.</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Revolving Credit Facility</w:t>
      </w:r>
    </w:p>
    <w:p>
      <w:pPr>
        <w:spacing w:after="0" w:line="154" w:lineRule="exact"/>
        <w:rPr>
          <w:sz w:val="20"/>
          <w:szCs w:val="20"/>
          <w:color w:val="auto"/>
        </w:rPr>
      </w:pPr>
    </w:p>
    <w:p>
      <w:pPr>
        <w:ind w:right="200"/>
        <w:spacing w:after="0" w:line="260" w:lineRule="auto"/>
        <w:rPr>
          <w:sz w:val="20"/>
          <w:szCs w:val="20"/>
          <w:color w:val="auto"/>
        </w:rPr>
      </w:pPr>
      <w:r>
        <w:rPr>
          <w:rFonts w:ascii="Arial" w:cs="Arial" w:eastAsia="Arial" w:hAnsi="Arial"/>
          <w:sz w:val="19"/>
          <w:szCs w:val="19"/>
          <w:color w:val="auto"/>
        </w:rPr>
        <w:t>We have a revolving credit facility that matures in April 2030 and provides a $75 million credit commitment and a $25 million uncommitted “accordion” feature. Additional details of the credit facility are in Note 4 to the Financial Statements. At the end of fiscal 2025, we had no borrowings under the credit facility and $2.2 million in letters of credit outstanding.</w:t>
      </w:r>
    </w:p>
    <w:p>
      <w:pPr>
        <w:spacing w:after="0" w:line="10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Cash Flows</w:t>
      </w:r>
    </w:p>
    <w:p>
      <w:pPr>
        <w:spacing w:after="0" w:line="162" w:lineRule="exact"/>
        <w:rPr>
          <w:sz w:val="20"/>
          <w:szCs w:val="20"/>
          <w:color w:val="auto"/>
        </w:rPr>
      </w:pPr>
    </w:p>
    <w:p>
      <w:pPr>
        <w:ind w:right="120"/>
        <w:spacing w:after="0" w:line="253" w:lineRule="auto"/>
        <w:rPr>
          <w:sz w:val="20"/>
          <w:szCs w:val="20"/>
          <w:color w:val="auto"/>
        </w:rPr>
      </w:pPr>
      <w:r>
        <w:rPr>
          <w:rFonts w:ascii="Arial" w:cs="Arial" w:eastAsia="Arial" w:hAnsi="Arial"/>
          <w:sz w:val="19"/>
          <w:szCs w:val="19"/>
          <w:i w:val="1"/>
          <w:iCs w:val="1"/>
          <w:color w:val="auto"/>
        </w:rPr>
        <w:t xml:space="preserve">Cash Flows From Operating Activities. </w:t>
      </w:r>
      <w:r>
        <w:rPr>
          <w:rFonts w:ascii="Arial" w:cs="Arial" w:eastAsia="Arial" w:hAnsi="Arial"/>
          <w:sz w:val="19"/>
          <w:szCs w:val="19"/>
          <w:color w:val="auto"/>
        </w:rPr>
        <w:t>Cash provided by operating activities was $21.0 million in fiscal 2025 compared with</w:t>
      </w:r>
      <w:r>
        <w:rPr>
          <w:rFonts w:ascii="Arial" w:cs="Arial" w:eastAsia="Arial" w:hAnsi="Arial"/>
          <w:sz w:val="19"/>
          <w:szCs w:val="19"/>
          <w:i w:val="1"/>
          <w:iCs w:val="1"/>
          <w:color w:val="auto"/>
        </w:rPr>
        <w:t xml:space="preserve"> </w:t>
      </w:r>
      <w:r>
        <w:rPr>
          <w:rFonts w:ascii="Arial" w:cs="Arial" w:eastAsia="Arial" w:hAnsi="Arial"/>
          <w:sz w:val="19"/>
          <w:szCs w:val="19"/>
          <w:color w:val="auto"/>
        </w:rPr>
        <w:t>cash used of $ 3.8 million in fiscal 2024. For fiscal 2025, significant sources of cash included increase in net income, as well as an $8.8 million reduction in inventory. Significant uses of cash include a $55.2 million decrease in accrued expenses and other-long-term liabilities due primarily to payments of operating lease liabilities.</w:t>
      </w:r>
    </w:p>
    <w:p>
      <w:pPr>
        <w:spacing w:after="0" w:line="113" w:lineRule="exact"/>
        <w:rPr>
          <w:sz w:val="20"/>
          <w:szCs w:val="20"/>
          <w:color w:val="auto"/>
        </w:rPr>
      </w:pPr>
    </w:p>
    <w:p>
      <w:pPr>
        <w:ind w:right="80"/>
        <w:spacing w:after="0" w:line="260" w:lineRule="auto"/>
        <w:rPr>
          <w:sz w:val="20"/>
          <w:szCs w:val="20"/>
          <w:color w:val="auto"/>
        </w:rPr>
      </w:pPr>
      <w:r>
        <w:rPr>
          <w:rFonts w:ascii="Arial" w:cs="Arial" w:eastAsia="Arial" w:hAnsi="Arial"/>
          <w:sz w:val="19"/>
          <w:szCs w:val="19"/>
          <w:color w:val="auto"/>
        </w:rPr>
        <w:t>For fiscal 2024, significant sources of cash included a $7.8 million reduction in inventory and a $0.1 million increase in accounts payable. Significant uses of cash include a $49.5 million decrease in accrued expenses and other-long-term liabilities due primarily to payments of operating lease liabilities.</w:t>
      </w:r>
    </w:p>
    <w:p>
      <w:pPr>
        <w:spacing w:after="0" w:line="105" w:lineRule="exact"/>
        <w:rPr>
          <w:sz w:val="20"/>
          <w:szCs w:val="20"/>
          <w:color w:val="auto"/>
        </w:rPr>
      </w:pPr>
    </w:p>
    <w:p>
      <w:pPr>
        <w:jc w:val="both"/>
        <w:spacing w:after="0" w:line="260" w:lineRule="auto"/>
        <w:rPr>
          <w:sz w:val="20"/>
          <w:szCs w:val="20"/>
          <w:color w:val="auto"/>
        </w:rPr>
      </w:pPr>
      <w:r>
        <w:rPr>
          <w:rFonts w:ascii="Arial" w:cs="Arial" w:eastAsia="Arial" w:hAnsi="Arial"/>
          <w:sz w:val="19"/>
          <w:szCs w:val="19"/>
          <w:i w:val="1"/>
          <w:iCs w:val="1"/>
          <w:color w:val="auto"/>
        </w:rPr>
        <w:t xml:space="preserve">Cash Flows From Investing Activities. </w:t>
      </w:r>
      <w:r>
        <w:rPr>
          <w:rFonts w:ascii="Arial" w:cs="Arial" w:eastAsia="Arial" w:hAnsi="Arial"/>
          <w:sz w:val="19"/>
          <w:szCs w:val="19"/>
          <w:color w:val="auto"/>
        </w:rPr>
        <w:t>Cash used in investing activities was $8.5 million in fiscal 2025 compared to cash used of</w:t>
      </w:r>
      <w:r>
        <w:rPr>
          <w:rFonts w:ascii="Arial" w:cs="Arial" w:eastAsia="Arial" w:hAnsi="Arial"/>
          <w:sz w:val="19"/>
          <w:szCs w:val="19"/>
          <w:i w:val="1"/>
          <w:iCs w:val="1"/>
          <w:color w:val="auto"/>
        </w:rPr>
        <w:t xml:space="preserve"> </w:t>
      </w:r>
      <w:r>
        <w:rPr>
          <w:rFonts w:ascii="Arial" w:cs="Arial" w:eastAsia="Arial" w:hAnsi="Arial"/>
          <w:sz w:val="19"/>
          <w:szCs w:val="19"/>
          <w:color w:val="auto"/>
        </w:rPr>
        <w:t>$10.1 million in fiscal 2024. Sources of cash in fiscal 2025 included $11.2 million from the sale of a building and $0.6 million from insurance proceeds. Cash used in fiscal 2024 consisted entirely of purchases of property and equipment.</w:t>
      </w:r>
    </w:p>
    <w:p>
      <w:pPr>
        <w:spacing w:after="0" w:line="106" w:lineRule="exact"/>
        <w:rPr>
          <w:sz w:val="20"/>
          <w:szCs w:val="20"/>
          <w:color w:val="auto"/>
        </w:rPr>
      </w:pPr>
    </w:p>
    <w:p>
      <w:pPr>
        <w:ind w:right="100"/>
        <w:spacing w:after="0" w:line="253" w:lineRule="auto"/>
        <w:rPr>
          <w:sz w:val="20"/>
          <w:szCs w:val="20"/>
          <w:color w:val="auto"/>
        </w:rPr>
      </w:pPr>
      <w:r>
        <w:rPr>
          <w:rFonts w:ascii="Arial" w:cs="Arial" w:eastAsia="Arial" w:hAnsi="Arial"/>
          <w:sz w:val="19"/>
          <w:szCs w:val="19"/>
          <w:i w:val="1"/>
          <w:iCs w:val="1"/>
          <w:color w:val="auto"/>
        </w:rPr>
        <w:t xml:space="preserve">Cash Flows From Financing Activities. </w:t>
      </w:r>
      <w:r>
        <w:rPr>
          <w:rFonts w:ascii="Arial" w:cs="Arial" w:eastAsia="Arial" w:hAnsi="Arial"/>
          <w:sz w:val="19"/>
          <w:szCs w:val="19"/>
          <w:color w:val="auto"/>
        </w:rPr>
        <w:t>Cash used in financing activities was $7.5 million in fiscal 2025 compared with $4.7</w:t>
      </w:r>
      <w:r>
        <w:rPr>
          <w:rFonts w:ascii="Arial" w:cs="Arial" w:eastAsia="Arial" w:hAnsi="Arial"/>
          <w:sz w:val="19"/>
          <w:szCs w:val="19"/>
          <w:i w:val="1"/>
          <w:iCs w:val="1"/>
          <w:color w:val="auto"/>
        </w:rPr>
        <w:t xml:space="preserve"> </w:t>
      </w:r>
      <w:r>
        <w:rPr>
          <w:rFonts w:ascii="Arial" w:cs="Arial" w:eastAsia="Arial" w:hAnsi="Arial"/>
          <w:sz w:val="19"/>
          <w:szCs w:val="19"/>
          <w:color w:val="auto"/>
        </w:rPr>
        <w:t>million in fiscal 2024. Cash used in fiscal 2025 included $6.3 million for share repurchases and $1.1 million to settle withholding taxes on the vesting of restricted stock. Cash used in fiscal 2024 included $3.8 million for share repurchases and $0.9 million to settle withholding taxes on the vesting of restricted stock.</w:t>
      </w:r>
    </w:p>
    <w:p>
      <w:pPr>
        <w:spacing w:after="0" w:line="10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Cash Requirements and Commitments</w:t>
      </w:r>
    </w:p>
    <w:p>
      <w:pPr>
        <w:spacing w:after="0" w:line="164" w:lineRule="exact"/>
        <w:rPr>
          <w:sz w:val="20"/>
          <w:szCs w:val="20"/>
          <w:color w:val="auto"/>
        </w:rPr>
      </w:pPr>
    </w:p>
    <w:p>
      <w:pPr>
        <w:ind w:right="140"/>
        <w:spacing w:after="0" w:line="246" w:lineRule="auto"/>
        <w:rPr>
          <w:sz w:val="20"/>
          <w:szCs w:val="20"/>
          <w:color w:val="auto"/>
        </w:rPr>
      </w:pPr>
      <w:r>
        <w:rPr>
          <w:rFonts w:ascii="Arial" w:cs="Arial" w:eastAsia="Arial" w:hAnsi="Arial"/>
          <w:sz w:val="19"/>
          <w:szCs w:val="19"/>
          <w:color w:val="auto"/>
        </w:rPr>
        <w:t>Our principal cash requirements consist of (1) inventory purchases; (2) capital expenditures to invest in our growth initiatives; and (3) operational needs, including payroll, occupancy costs, taxes and other operating costs. We have also historically used cash to repurchase stock under our stock repurchase programs. Historically, we have met these cash requirements using cash flow from operations and short-term trade credit. As of January 31, 2026, our contractual commitments for operating leases totaled $309.9 million (with $63.5 million due within 12 months) and our purchase obligations for open merchandise orders totaled $161.7 million due within 12 months. See Note 8 to the Financial Statements for more information regarding lease commitments.</w:t>
      </w:r>
    </w:p>
    <w:p>
      <w:pPr>
        <w:spacing w:after="0" w:line="11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Critical Accounting Estimates</w:t>
      </w:r>
    </w:p>
    <w:p>
      <w:pPr>
        <w:spacing w:after="0" w:line="164" w:lineRule="exact"/>
        <w:rPr>
          <w:sz w:val="20"/>
          <w:szCs w:val="20"/>
          <w:color w:val="auto"/>
        </w:rPr>
      </w:pPr>
    </w:p>
    <w:p>
      <w:pPr>
        <w:ind w:right="300"/>
        <w:spacing w:after="0" w:line="253" w:lineRule="auto"/>
        <w:rPr>
          <w:sz w:val="20"/>
          <w:szCs w:val="20"/>
          <w:color w:val="auto"/>
        </w:rPr>
      </w:pPr>
      <w:r>
        <w:rPr>
          <w:rFonts w:ascii="Arial" w:cs="Arial" w:eastAsia="Arial" w:hAnsi="Arial"/>
          <w:sz w:val="19"/>
          <w:szCs w:val="19"/>
          <w:color w:val="auto"/>
        </w:rPr>
        <w:t>Our consolidated financial statements are prepared in accordance with U.S. GAAP, which requires us to make estimates and apply judgments that affect the reported amounts. Actual results could differ from those estimates. We believe the following critical accounting policies describe the more significant judgments and estimates used in the preparation of our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Inventory</w:t>
      </w:r>
    </w:p>
    <w:p>
      <w:pPr>
        <w:spacing w:after="0" w:line="156" w:lineRule="exact"/>
        <w:rPr>
          <w:sz w:val="20"/>
          <w:szCs w:val="20"/>
          <w:color w:val="auto"/>
        </w:rPr>
      </w:pPr>
    </w:p>
    <w:p>
      <w:pPr>
        <w:ind w:right="120"/>
        <w:spacing w:after="0" w:line="281" w:lineRule="auto"/>
        <w:rPr>
          <w:sz w:val="20"/>
          <w:szCs w:val="20"/>
          <w:color w:val="auto"/>
        </w:rPr>
      </w:pPr>
      <w:r>
        <w:rPr>
          <w:rFonts w:ascii="Arial" w:cs="Arial" w:eastAsia="Arial" w:hAnsi="Arial"/>
          <w:sz w:val="19"/>
          <w:szCs w:val="19"/>
          <w:color w:val="auto"/>
        </w:rPr>
        <w:t>Inventory is stated at the lower of cost (first- in, first-out basis) or net realizable value as determined by the retail inventory method for store inventory and the average cost method for distribution center inventory. Under the retail inventory method, the</w:t>
      </w:r>
    </w:p>
    <w:p>
      <w:pPr>
        <w:sectPr>
          <w:pgSz w:w="11880" w:h="15480" w:orient="portrait"/>
          <w:cols w:equalWidth="0" w:num="1">
            <w:col w:w="10780"/>
          </w:cols>
          <w:pgMar w:left="540" w:top="812" w:right="560" w:bottom="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ectPr>
          <w:pgSz w:w="11880" w:h="15480" w:orient="portrait"/>
          <w:cols w:equalWidth="0" w:num="1">
            <w:col w:w="10780"/>
          </w:cols>
          <w:pgMar w:left="540" w:top="812" w:right="560" w:bottom="16" w:gutter="0" w:footer="0" w:header="0"/>
          <w:type w:val="continuous"/>
        </w:sectPr>
      </w:pPr>
    </w:p>
    <w:bookmarkStart w:id="28" w:name="page29"/>
    <w:bookmarkEnd w:id="28"/>
    <w:p>
      <w:pPr>
        <w:spacing w:after="0" w:line="244" w:lineRule="auto"/>
        <w:rPr>
          <w:sz w:val="20"/>
          <w:szCs w:val="20"/>
          <w:color w:val="auto"/>
        </w:rPr>
      </w:pPr>
      <w:r>
        <w:rPr>
          <w:rFonts w:ascii="Arial" w:cs="Arial" w:eastAsia="Arial" w:hAnsi="Arial"/>
          <w:sz w:val="19"/>
          <w:szCs w:val="19"/>
          <w:color w:val="auto"/>
        </w:rPr>
        <w:t>cost of inventory is determined by calculating a cost -to-retail ratio and applying it to the retail value of inventory. Inherent in the retail inventory calculation are certain management judgments and estimates, including, among others, merchandise markups, markdowns and shrink, which impact the ending inventory valuation at cost as well as resulting cost of sales. Merchandise markdowns are reflected in the inventory valuation when the price of an item is lowered in the stores. We estimate and record an allowance for shrink for the period between the last physical count and the balance sheet date. The estimate of shrink can be affected by changes in actual shrink trends. As a measure of sensitivity, a ten percent change in our estimated shrink as of January 31, 2026, would not have materially impacted our cost of goods sold in fiscal 2025. Many retailers have arrangements with vendors that provide for rebates and allowances under certain conditions, which ultimately affect the value of the inventory. We do not generally enter into such arrangements with our vendors. There were no material changes in the estimates or assumptions related to the valuation of inventory during fiscal 2025.</w:t>
      </w:r>
    </w:p>
    <w:p>
      <w:pPr>
        <w:spacing w:after="0" w:line="12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Recent Accounting Pronouncements</w:t>
      </w:r>
    </w:p>
    <w:p>
      <w:pPr>
        <w:spacing w:after="0" w:line="282" w:lineRule="exact"/>
        <w:rPr>
          <w:sz w:val="20"/>
          <w:szCs w:val="20"/>
          <w:color w:val="auto"/>
        </w:rPr>
      </w:pPr>
    </w:p>
    <w:p>
      <w:pPr>
        <w:ind w:right="160"/>
        <w:spacing w:after="0" w:line="246" w:lineRule="auto"/>
        <w:rPr>
          <w:sz w:val="20"/>
          <w:szCs w:val="20"/>
          <w:color w:val="auto"/>
        </w:rPr>
      </w:pPr>
      <w:r>
        <w:rPr>
          <w:rFonts w:ascii="Arial" w:cs="Arial" w:eastAsia="Arial" w:hAnsi="Arial"/>
          <w:sz w:val="19"/>
          <w:szCs w:val="19"/>
          <w:color w:val="auto"/>
        </w:rPr>
        <w:t>In December 2023, the FASB issued ASU 2023-09, “Improvement to Income Tax Disclosures (Topic 740)”, which requires additional disclosures for income tax rate reconciliations, income taxes paid, and certain other tax disclosures. ASU 2023-09 is intended to enhance the transparency and decision usefulness of income tax disclosures. The amendments in ASU 2023-09 address investor requests for enhanced income tax information primarily through changes to the rate reconciliation and income taxes paid information. In fiscal 2025, the Company adopted ASU 2023-09 in the current period and retrospectively. The adoption of ASU 2023-09 did not have a material impact on the Company’s consolidated financial statements as the requirements only impact annual income tax reporting disclosures in the Notes to the Company’s consolidated financial statements. Refer to “Note 5. Income Taxes” for additional information.</w:t>
      </w:r>
    </w:p>
    <w:p>
      <w:pPr>
        <w:spacing w:after="0" w:line="236" w:lineRule="exact"/>
        <w:rPr>
          <w:sz w:val="20"/>
          <w:szCs w:val="20"/>
          <w:color w:val="auto"/>
        </w:rPr>
      </w:pPr>
    </w:p>
    <w:p>
      <w:pPr>
        <w:ind w:right="20"/>
        <w:spacing w:after="0" w:line="248" w:lineRule="auto"/>
        <w:rPr>
          <w:sz w:val="20"/>
          <w:szCs w:val="20"/>
          <w:color w:val="auto"/>
        </w:rPr>
      </w:pPr>
      <w:r>
        <w:rPr>
          <w:rFonts w:ascii="Arial" w:cs="Arial" w:eastAsia="Arial" w:hAnsi="Arial"/>
          <w:sz w:val="19"/>
          <w:szCs w:val="19"/>
          <w:color w:val="auto"/>
        </w:rPr>
        <w:t>In November 2024, the FASB issued ASU 2024 -03, “Expense Disaggregation Disclosures (Topic 220): Disaggregation of Income Statement Expenses” (“ASU 2024-03”), which requires public entities to disclose additional information that disaggregates certain expense captions into specified categories in the Notes to the consolidated financial statements. The new standard is effective for fiscal years beginning after December 15, 2026, and interim periods after December 15, 2027, with early adoption permitted. The disclosure updates are required to be applied prospectively with the option for retrospective application. The Company is currently evaluating the impact the amended guidance will have on its disclosures.</w:t>
      </w:r>
    </w:p>
    <w:p>
      <w:pPr>
        <w:spacing w:after="0" w:line="237"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In September 2025, the FASB issued ASU 2025- 06, “Intangibles – Goodwill and Other Internal-Use Software: Targeted Improvements to the Accounting for Internal-Use Software” (“ASU 2025-06”), which amends the guidance in ASC 350 to revise the criteria for when an entity is required to start capitalizing software costs and requires an entity to consider whether there is significant uncertainty associated with the development activities of the software when evaluating the probable-to-complete recognition threshold. ASU 2025-06 is required to be adopted in the annual reporting periods beginning after December 15, 2027, including interim periods within those annual reporting periods, with early adoption permitted. The Company is currently evaluating the impact the amended guidance will have on its consolidated financial statements and related disclosures.</w:t>
      </w:r>
    </w:p>
    <w:p>
      <w:pPr>
        <w:spacing w:after="0" w:line="228" w:lineRule="exact"/>
        <w:rPr>
          <w:sz w:val="20"/>
          <w:szCs w:val="20"/>
          <w:color w:val="auto"/>
        </w:rPr>
      </w:pPr>
    </w:p>
    <w:p>
      <w:pPr>
        <w:spacing w:after="0" w:line="246" w:lineRule="auto"/>
        <w:rPr>
          <w:sz w:val="20"/>
          <w:szCs w:val="20"/>
          <w:color w:val="auto"/>
        </w:rPr>
      </w:pPr>
      <w:r>
        <w:rPr>
          <w:rFonts w:ascii="Arial" w:cs="Arial" w:eastAsia="Arial" w:hAnsi="Arial"/>
          <w:sz w:val="19"/>
          <w:szCs w:val="19"/>
          <w:color w:val="auto"/>
        </w:rPr>
        <w:t>In November 2025, the FASB issued ASU 2025-11, “Interim Reporting (Topic 270): Narrow-Scope Improvements” (“ASU 2025 - 11”), which amends the guidance in ASC 270 to clarify the applicability of interim disclosure requirements and enhance the navigability of the existing guidance. ASU 2025-11 provides a comprehensive list of required interim disclosures and establishes a new disclosure principle requiring entities to disclose events that occur after the end of the last annual reporting period. The new standard is effective for interim periods within annual reporting periods beginning after December 15, 2027, with early adoption permitted. The Company is currently evaluating the impact the amended guidance will have on its consolidated financial statements and related disclosures.</w:t>
      </w:r>
    </w:p>
    <w:p>
      <w:pPr>
        <w:spacing w:after="0" w:line="395" w:lineRule="exact"/>
        <w:rPr>
          <w:sz w:val="20"/>
          <w:szCs w:val="20"/>
          <w:color w:val="auto"/>
        </w:rPr>
      </w:pPr>
    </w:p>
    <w:p>
      <w:pPr>
        <w:spacing w:after="0"/>
        <w:tabs>
          <w:tab w:leader="none" w:pos="1060" w:val="left"/>
        </w:tabs>
        <w:rPr>
          <w:sz w:val="20"/>
          <w:szCs w:val="20"/>
          <w:color w:val="auto"/>
        </w:rPr>
      </w:pPr>
      <w:r>
        <w:rPr>
          <w:rFonts w:ascii="Arial" w:cs="Arial" w:eastAsia="Arial" w:hAnsi="Arial"/>
          <w:sz w:val="19"/>
          <w:szCs w:val="19"/>
          <w:b w:val="1"/>
          <w:bCs w:val="1"/>
          <w:color w:val="auto"/>
        </w:rPr>
        <w:t>ITEM 7A.</w:t>
      </w:r>
      <w:r>
        <w:rPr>
          <w:sz w:val="20"/>
          <w:szCs w:val="20"/>
          <w:color w:val="auto"/>
        </w:rPr>
        <w:tab/>
      </w:r>
      <w:r>
        <w:rPr>
          <w:rFonts w:ascii="Arial" w:cs="Arial" w:eastAsia="Arial" w:hAnsi="Arial"/>
          <w:sz w:val="19"/>
          <w:szCs w:val="19"/>
          <w:b w:val="1"/>
          <w:bCs w:val="1"/>
          <w:u w:val="single" w:color="auto"/>
          <w:color w:val="auto"/>
        </w:rPr>
        <w:t>QUANTITATIVE AND QUALITATIVE DISCLOSURES ABOUT MARKET RISK</w:t>
      </w:r>
    </w:p>
    <w:p>
      <w:pPr>
        <w:spacing w:after="0" w:line="164" w:lineRule="exact"/>
        <w:rPr>
          <w:sz w:val="20"/>
          <w:szCs w:val="20"/>
          <w:color w:val="auto"/>
        </w:rPr>
      </w:pPr>
    </w:p>
    <w:p>
      <w:pPr>
        <w:ind w:right="280"/>
        <w:spacing w:after="0" w:line="253" w:lineRule="auto"/>
        <w:rPr>
          <w:sz w:val="20"/>
          <w:szCs w:val="20"/>
          <w:color w:val="auto"/>
        </w:rPr>
      </w:pPr>
      <w:r>
        <w:rPr>
          <w:rFonts w:ascii="Arial" w:cs="Arial" w:eastAsia="Arial" w:hAnsi="Arial"/>
          <w:sz w:val="19"/>
          <w:szCs w:val="19"/>
          <w:color w:val="auto"/>
        </w:rPr>
        <w:t>We source all of our products from markets in the United States in U.S. Dollars and, therefore, are not directly subject to fluctuations in foreign currency exchange rates. However, fluctuations in currency exchange rates could affect our purchasing power with vendors that import merchandise to sell to us. We have not entered into forward contracts to hedge against fluctuations in foreign currency prices.</w:t>
      </w:r>
    </w:p>
    <w:p>
      <w:pPr>
        <w:sectPr>
          <w:pgSz w:w="11880" w:h="15480" w:orient="portrait"/>
          <w:cols w:equalWidth="0" w:num="1">
            <w:col w:w="10800"/>
          </w:cols>
          <w:pgMar w:left="540" w:top="807" w:right="540" w:bottom="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ectPr>
          <w:pgSz w:w="11880" w:h="15480" w:orient="portrait"/>
          <w:cols w:equalWidth="0" w:num="1">
            <w:col w:w="10800"/>
          </w:cols>
          <w:pgMar w:left="540" w:top="807" w:right="540" w:bottom="16" w:gutter="0" w:footer="0" w:header="0"/>
          <w:type w:val="continuous"/>
        </w:sectPr>
      </w:pPr>
    </w:p>
    <w:bookmarkStart w:id="29" w:name="page30"/>
    <w:bookmarkEnd w:id="29"/>
    <w:tbl>
      <w:tblPr>
        <w:tblLayout w:type="fixed"/>
        <w:tblInd w:w="0" w:type="dxa"/>
        <w:tblCellMar>
          <w:top w:w="0" w:type="dxa"/>
          <w:left w:w="0" w:type="dxa"/>
          <w:bottom w:w="0" w:type="dxa"/>
          <w:right w:w="0" w:type="dxa"/>
        </w:tblCellMar>
      </w:tblPr>
      <w:tr>
        <w:trPr>
          <w:trHeight w:val="220"/>
        </w:trPr>
        <w:tc>
          <w:tcPr>
            <w:tcW w:w="1080" w:type="dxa"/>
            <w:vAlign w:val="bottom"/>
          </w:tcPr>
          <w:p>
            <w:pPr>
              <w:spacing w:after="0"/>
              <w:rPr>
                <w:sz w:val="20"/>
                <w:szCs w:val="20"/>
                <w:color w:val="auto"/>
              </w:rPr>
            </w:pPr>
            <w:r>
              <w:rPr>
                <w:rFonts w:ascii="Arial" w:cs="Arial" w:eastAsia="Arial" w:hAnsi="Arial"/>
                <w:sz w:val="19"/>
                <w:szCs w:val="19"/>
                <w:b w:val="1"/>
                <w:bCs w:val="1"/>
                <w:color w:val="auto"/>
              </w:rPr>
              <w:t>ITEM 8.</w:t>
            </w:r>
          </w:p>
        </w:tc>
        <w:tc>
          <w:tcPr>
            <w:tcW w:w="8380" w:type="dxa"/>
            <w:vAlign w:val="bottom"/>
            <w:gridSpan w:val="2"/>
          </w:tcPr>
          <w:p>
            <w:pPr>
              <w:spacing w:after="0"/>
              <w:rPr>
                <w:sz w:val="20"/>
                <w:szCs w:val="20"/>
                <w:color w:val="auto"/>
              </w:rPr>
            </w:pPr>
            <w:r>
              <w:rPr>
                <w:rFonts w:ascii="Arial" w:cs="Arial" w:eastAsia="Arial" w:hAnsi="Arial"/>
                <w:sz w:val="19"/>
                <w:szCs w:val="19"/>
                <w:b w:val="1"/>
                <w:bCs w:val="1"/>
                <w:color w:val="auto"/>
              </w:rPr>
              <w:t>FINANCIAL STATEMENTS AND SUPPLEMENTARY DATA</w:t>
            </w:r>
          </w:p>
        </w:tc>
        <w:tc>
          <w:tcPr>
            <w:tcW w:w="1340" w:type="dxa"/>
            <w:vAlign w:val="bottom"/>
          </w:tcPr>
          <w:p>
            <w:pPr>
              <w:spacing w:after="0"/>
              <w:rPr>
                <w:sz w:val="19"/>
                <w:szCs w:val="19"/>
                <w:color w:val="auto"/>
              </w:rPr>
            </w:pPr>
          </w:p>
        </w:tc>
      </w:tr>
      <w:tr>
        <w:trPr>
          <w:trHeight w:val="415"/>
        </w:trPr>
        <w:tc>
          <w:tcPr>
            <w:tcW w:w="1080" w:type="dxa"/>
            <w:vAlign w:val="bottom"/>
          </w:tcPr>
          <w:p>
            <w:pPr>
              <w:spacing w:after="0"/>
              <w:rPr>
                <w:sz w:val="24"/>
                <w:szCs w:val="24"/>
                <w:color w:val="auto"/>
              </w:rPr>
            </w:pPr>
          </w:p>
        </w:tc>
        <w:tc>
          <w:tcPr>
            <w:tcW w:w="5160" w:type="dxa"/>
            <w:vAlign w:val="bottom"/>
            <w:tcBorders>
              <w:top w:val="single" w:sz="8" w:color="auto"/>
            </w:tcBorders>
          </w:tcPr>
          <w:p>
            <w:pPr>
              <w:jc w:val="center"/>
              <w:ind w:left="3385"/>
              <w:spacing w:after="0"/>
              <w:rPr>
                <w:sz w:val="20"/>
                <w:szCs w:val="20"/>
                <w:color w:val="auto"/>
              </w:rPr>
            </w:pPr>
            <w:r>
              <w:rPr>
                <w:rFonts w:ascii="Arial" w:cs="Arial" w:eastAsia="Arial" w:hAnsi="Arial"/>
                <w:sz w:val="19"/>
                <w:szCs w:val="19"/>
                <w:b w:val="1"/>
                <w:bCs w:val="1"/>
                <w:color w:val="auto"/>
              </w:rPr>
              <w:t>Citi Trends, Inc.</w:t>
            </w:r>
          </w:p>
        </w:tc>
        <w:tc>
          <w:tcPr>
            <w:tcW w:w="3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0"/>
        </w:trPr>
        <w:tc>
          <w:tcPr>
            <w:tcW w:w="1080" w:type="dxa"/>
            <w:vAlign w:val="bottom"/>
          </w:tcPr>
          <w:p>
            <w:pPr>
              <w:spacing w:after="0"/>
              <w:rPr>
                <w:sz w:val="23"/>
                <w:szCs w:val="23"/>
                <w:color w:val="auto"/>
              </w:rPr>
            </w:pPr>
          </w:p>
        </w:tc>
        <w:tc>
          <w:tcPr>
            <w:tcW w:w="8380" w:type="dxa"/>
            <w:vAlign w:val="bottom"/>
            <w:gridSpan w:val="2"/>
          </w:tcPr>
          <w:p>
            <w:pPr>
              <w:jc w:val="center"/>
              <w:ind w:left="165"/>
              <w:spacing w:after="0"/>
              <w:rPr>
                <w:sz w:val="20"/>
                <w:szCs w:val="20"/>
                <w:color w:val="auto"/>
              </w:rPr>
            </w:pPr>
            <w:r>
              <w:rPr>
                <w:rFonts w:ascii="Arial" w:cs="Arial" w:eastAsia="Arial" w:hAnsi="Arial"/>
                <w:sz w:val="19"/>
                <w:szCs w:val="19"/>
                <w:b w:val="1"/>
                <w:bCs w:val="1"/>
                <w:color w:val="auto"/>
                <w:w w:val="99"/>
              </w:rPr>
              <w:t>Index to Consolidated Financial Statements</w:t>
            </w:r>
          </w:p>
        </w:tc>
        <w:tc>
          <w:tcPr>
            <w:tcW w:w="1340" w:type="dxa"/>
            <w:vAlign w:val="bottom"/>
          </w:tcPr>
          <w:p>
            <w:pPr>
              <w:spacing w:after="0"/>
              <w:rPr>
                <w:sz w:val="23"/>
                <w:szCs w:val="23"/>
                <w:color w:val="auto"/>
              </w:rPr>
            </w:pPr>
          </w:p>
        </w:tc>
      </w:tr>
      <w:tr>
        <w:trPr>
          <w:trHeight w:val="427"/>
        </w:trPr>
        <w:tc>
          <w:tcPr>
            <w:tcW w:w="9460" w:type="dxa"/>
            <w:vAlign w:val="bottom"/>
            <w:gridSpan w:val="3"/>
          </w:tcPr>
          <w:p>
            <w:pPr>
              <w:spacing w:after="0"/>
              <w:rPr>
                <w:sz w:val="20"/>
                <w:szCs w:val="20"/>
                <w:color w:val="auto"/>
              </w:rPr>
            </w:pPr>
            <w:r>
              <w:rPr>
                <w:rFonts w:ascii="Arial" w:cs="Arial" w:eastAsia="Arial" w:hAnsi="Arial"/>
                <w:sz w:val="19"/>
                <w:szCs w:val="19"/>
                <w:color w:val="auto"/>
              </w:rPr>
              <w:t>Report of Independent Registered Public Accounting Firm (Deloitte &amp; Touche LLP - PCAOB ID: 34)</w:t>
            </w:r>
          </w:p>
        </w:tc>
        <w:tc>
          <w:tcPr>
            <w:tcW w:w="1340" w:type="dxa"/>
            <w:vAlign w:val="bottom"/>
          </w:tcPr>
          <w:p>
            <w:pPr>
              <w:jc w:val="right"/>
              <w:spacing w:after="0"/>
              <w:rPr>
                <w:sz w:val="20"/>
                <w:szCs w:val="20"/>
                <w:color w:val="auto"/>
              </w:rPr>
            </w:pPr>
            <w:r>
              <w:rPr>
                <w:rFonts w:ascii="Arial" w:cs="Arial" w:eastAsia="Arial" w:hAnsi="Arial"/>
                <w:sz w:val="19"/>
                <w:szCs w:val="19"/>
                <w:color w:val="auto"/>
              </w:rPr>
              <w:t>31</w:t>
            </w:r>
          </w:p>
        </w:tc>
      </w:tr>
      <w:tr>
        <w:trPr>
          <w:trHeight w:val="437"/>
        </w:trPr>
        <w:tc>
          <w:tcPr>
            <w:tcW w:w="9460" w:type="dxa"/>
            <w:vAlign w:val="bottom"/>
            <w:gridSpan w:val="3"/>
          </w:tcPr>
          <w:p>
            <w:pPr>
              <w:spacing w:after="0"/>
              <w:rPr>
                <w:sz w:val="20"/>
                <w:szCs w:val="20"/>
                <w:color w:val="auto"/>
              </w:rPr>
            </w:pPr>
            <w:r>
              <w:rPr>
                <w:rFonts w:ascii="Arial" w:cs="Arial" w:eastAsia="Arial" w:hAnsi="Arial"/>
                <w:sz w:val="19"/>
                <w:szCs w:val="19"/>
                <w:color w:val="auto"/>
              </w:rPr>
              <w:t>Consolidated Balance Sheets</w:t>
            </w:r>
          </w:p>
        </w:tc>
        <w:tc>
          <w:tcPr>
            <w:tcW w:w="1340" w:type="dxa"/>
            <w:vAlign w:val="bottom"/>
          </w:tcPr>
          <w:p>
            <w:pPr>
              <w:jc w:val="right"/>
              <w:spacing w:after="0"/>
              <w:rPr>
                <w:sz w:val="20"/>
                <w:szCs w:val="20"/>
                <w:color w:val="auto"/>
              </w:rPr>
            </w:pPr>
            <w:r>
              <w:rPr>
                <w:rFonts w:ascii="Arial" w:cs="Arial" w:eastAsia="Arial" w:hAnsi="Arial"/>
                <w:sz w:val="19"/>
                <w:szCs w:val="19"/>
                <w:color w:val="auto"/>
              </w:rPr>
              <w:t>33</w:t>
            </w:r>
          </w:p>
        </w:tc>
      </w:tr>
      <w:tr>
        <w:trPr>
          <w:trHeight w:val="438"/>
        </w:trPr>
        <w:tc>
          <w:tcPr>
            <w:tcW w:w="9460" w:type="dxa"/>
            <w:vAlign w:val="bottom"/>
            <w:gridSpan w:val="3"/>
          </w:tcPr>
          <w:p>
            <w:pPr>
              <w:spacing w:after="0"/>
              <w:rPr>
                <w:sz w:val="20"/>
                <w:szCs w:val="20"/>
                <w:color w:val="auto"/>
              </w:rPr>
            </w:pPr>
            <w:r>
              <w:rPr>
                <w:rFonts w:ascii="Arial" w:cs="Arial" w:eastAsia="Arial" w:hAnsi="Arial"/>
                <w:sz w:val="19"/>
                <w:szCs w:val="19"/>
                <w:color w:val="auto"/>
              </w:rPr>
              <w:t>Consolidated Statements of Operations</w:t>
            </w:r>
          </w:p>
        </w:tc>
        <w:tc>
          <w:tcPr>
            <w:tcW w:w="1340" w:type="dxa"/>
            <w:vAlign w:val="bottom"/>
          </w:tcPr>
          <w:p>
            <w:pPr>
              <w:jc w:val="right"/>
              <w:spacing w:after="0"/>
              <w:rPr>
                <w:sz w:val="20"/>
                <w:szCs w:val="20"/>
                <w:color w:val="auto"/>
              </w:rPr>
            </w:pPr>
            <w:r>
              <w:rPr>
                <w:rFonts w:ascii="Arial" w:cs="Arial" w:eastAsia="Arial" w:hAnsi="Arial"/>
                <w:sz w:val="19"/>
                <w:szCs w:val="19"/>
                <w:color w:val="auto"/>
              </w:rPr>
              <w:t>34</w:t>
            </w:r>
          </w:p>
        </w:tc>
      </w:tr>
      <w:tr>
        <w:trPr>
          <w:trHeight w:val="437"/>
        </w:trPr>
        <w:tc>
          <w:tcPr>
            <w:tcW w:w="9460" w:type="dxa"/>
            <w:vAlign w:val="bottom"/>
            <w:gridSpan w:val="3"/>
          </w:tcPr>
          <w:p>
            <w:pPr>
              <w:spacing w:after="0"/>
              <w:rPr>
                <w:sz w:val="20"/>
                <w:szCs w:val="20"/>
                <w:color w:val="auto"/>
              </w:rPr>
            </w:pPr>
            <w:r>
              <w:rPr>
                <w:rFonts w:ascii="Arial" w:cs="Arial" w:eastAsia="Arial" w:hAnsi="Arial"/>
                <w:sz w:val="19"/>
                <w:szCs w:val="19"/>
                <w:color w:val="auto"/>
              </w:rPr>
              <w:t>Consolidated Statements of Cash Flows</w:t>
            </w:r>
          </w:p>
        </w:tc>
        <w:tc>
          <w:tcPr>
            <w:tcW w:w="1340" w:type="dxa"/>
            <w:vAlign w:val="bottom"/>
          </w:tcPr>
          <w:p>
            <w:pPr>
              <w:jc w:val="right"/>
              <w:spacing w:after="0"/>
              <w:rPr>
                <w:sz w:val="20"/>
                <w:szCs w:val="20"/>
                <w:color w:val="auto"/>
              </w:rPr>
            </w:pPr>
            <w:r>
              <w:rPr>
                <w:rFonts w:ascii="Arial" w:cs="Arial" w:eastAsia="Arial" w:hAnsi="Arial"/>
                <w:sz w:val="19"/>
                <w:szCs w:val="19"/>
                <w:color w:val="auto"/>
              </w:rPr>
              <w:t>35</w:t>
            </w:r>
          </w:p>
        </w:tc>
      </w:tr>
      <w:tr>
        <w:trPr>
          <w:trHeight w:val="437"/>
        </w:trPr>
        <w:tc>
          <w:tcPr>
            <w:tcW w:w="9460" w:type="dxa"/>
            <w:vAlign w:val="bottom"/>
            <w:gridSpan w:val="3"/>
          </w:tcPr>
          <w:p>
            <w:pPr>
              <w:spacing w:after="0"/>
              <w:rPr>
                <w:sz w:val="20"/>
                <w:szCs w:val="20"/>
                <w:color w:val="auto"/>
              </w:rPr>
            </w:pPr>
            <w:r>
              <w:rPr>
                <w:rFonts w:ascii="Arial" w:cs="Arial" w:eastAsia="Arial" w:hAnsi="Arial"/>
                <w:sz w:val="19"/>
                <w:szCs w:val="19"/>
                <w:color w:val="auto"/>
              </w:rPr>
              <w:t>Consolidated Statements of Stockholders’ Equity</w:t>
            </w:r>
          </w:p>
        </w:tc>
        <w:tc>
          <w:tcPr>
            <w:tcW w:w="1340" w:type="dxa"/>
            <w:vAlign w:val="bottom"/>
          </w:tcPr>
          <w:p>
            <w:pPr>
              <w:jc w:val="right"/>
              <w:spacing w:after="0"/>
              <w:rPr>
                <w:sz w:val="20"/>
                <w:szCs w:val="20"/>
                <w:color w:val="auto"/>
              </w:rPr>
            </w:pPr>
            <w:r>
              <w:rPr>
                <w:rFonts w:ascii="Arial" w:cs="Arial" w:eastAsia="Arial" w:hAnsi="Arial"/>
                <w:sz w:val="19"/>
                <w:szCs w:val="19"/>
                <w:color w:val="auto"/>
              </w:rPr>
              <w:t>36</w:t>
            </w:r>
          </w:p>
        </w:tc>
      </w:tr>
      <w:tr>
        <w:trPr>
          <w:trHeight w:val="437"/>
        </w:trPr>
        <w:tc>
          <w:tcPr>
            <w:tcW w:w="9460" w:type="dxa"/>
            <w:vAlign w:val="bottom"/>
            <w:gridSpan w:val="3"/>
          </w:tcPr>
          <w:p>
            <w:pPr>
              <w:spacing w:after="0"/>
              <w:rPr>
                <w:sz w:val="20"/>
                <w:szCs w:val="20"/>
                <w:color w:val="auto"/>
              </w:rPr>
            </w:pPr>
            <w:r>
              <w:rPr>
                <w:rFonts w:ascii="Arial" w:cs="Arial" w:eastAsia="Arial" w:hAnsi="Arial"/>
                <w:sz w:val="19"/>
                <w:szCs w:val="19"/>
                <w:color w:val="auto"/>
              </w:rPr>
              <w:t>Notes to Consolidated Financial Statements</w:t>
            </w:r>
          </w:p>
        </w:tc>
        <w:tc>
          <w:tcPr>
            <w:tcW w:w="1340" w:type="dxa"/>
            <w:vAlign w:val="bottom"/>
          </w:tcPr>
          <w:p>
            <w:pPr>
              <w:jc w:val="right"/>
              <w:spacing w:after="0"/>
              <w:rPr>
                <w:sz w:val="20"/>
                <w:szCs w:val="20"/>
                <w:color w:val="auto"/>
              </w:rPr>
            </w:pPr>
            <w:r>
              <w:rPr>
                <w:rFonts w:ascii="Arial" w:cs="Arial" w:eastAsia="Arial" w:hAnsi="Arial"/>
                <w:sz w:val="19"/>
                <w:szCs w:val="19"/>
                <w:color w:val="auto"/>
              </w:rPr>
              <w:t>37</w:t>
            </w:r>
          </w:p>
        </w:tc>
      </w:tr>
    </w:tbl>
    <w:p>
      <w:pPr>
        <w:spacing w:after="0" w:line="200" w:lineRule="exact"/>
        <w:rPr>
          <w:sz w:val="20"/>
          <w:szCs w:val="20"/>
          <w:color w:val="auto"/>
        </w:rPr>
      </w:pPr>
    </w:p>
    <w:p>
      <w:pPr>
        <w:sectPr>
          <w:pgSz w:w="11880" w:h="15480" w:orient="portrait"/>
          <w:cols w:equalWidth="0" w:num="1">
            <w:col w:w="10800"/>
          </w:cols>
          <w:pgMar w:left="540" w:top="803" w:right="540" w:bottom="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ectPr>
          <w:pgSz w:w="11880" w:h="15480" w:orient="portrait"/>
          <w:cols w:equalWidth="0" w:num="1">
            <w:col w:w="10800"/>
          </w:cols>
          <w:pgMar w:left="540" w:top="803" w:right="540" w:bottom="16" w:gutter="0" w:footer="0" w:header="0"/>
          <w:type w:val="continuous"/>
        </w:sectPr>
      </w:pPr>
    </w:p>
    <w:bookmarkStart w:id="30" w:name="page31"/>
    <w:bookmarkEnd w:id="30"/>
    <w:p>
      <w:pPr>
        <w:ind w:right="4360"/>
        <w:spacing w:after="0" w:line="416" w:lineRule="auto"/>
        <w:rPr>
          <w:sz w:val="20"/>
          <w:szCs w:val="20"/>
          <w:color w:val="auto"/>
        </w:rPr>
      </w:pPr>
      <w:r>
        <w:rPr>
          <w:rFonts w:ascii="Arial" w:cs="Arial" w:eastAsia="Arial" w:hAnsi="Arial"/>
          <w:sz w:val="19"/>
          <w:szCs w:val="19"/>
          <w:b w:val="1"/>
          <w:bCs w:val="1"/>
          <w:color w:val="auto"/>
        </w:rPr>
        <w:t xml:space="preserve">REPORT OF INDEPENDENT REGISTERED PUBLIC ACCOUNTING FIRM </w:t>
      </w:r>
      <w:r>
        <w:rPr>
          <w:rFonts w:ascii="Arial" w:cs="Arial" w:eastAsia="Arial" w:hAnsi="Arial"/>
          <w:sz w:val="19"/>
          <w:szCs w:val="19"/>
          <w:color w:val="auto"/>
        </w:rPr>
        <w:t xml:space="preserve">To the Stockholders and the Board of Directors of Citi Trends, Inc. </w:t>
      </w:r>
      <w:r>
        <w:rPr>
          <w:rFonts w:ascii="Arial" w:cs="Arial" w:eastAsia="Arial" w:hAnsi="Arial"/>
          <w:sz w:val="19"/>
          <w:szCs w:val="19"/>
          <w:b w:val="1"/>
          <w:bCs w:val="1"/>
          <w:color w:val="auto"/>
        </w:rPr>
        <w:t>Opinion on the Financial Statements</w:t>
      </w:r>
    </w:p>
    <w:p>
      <w:pPr>
        <w:spacing w:after="0" w:line="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have audited the accompanying consolidated balance sheets of Citi Trends, Inc. and subsidiary (the "Company") as of January 31, 2026 and February 1, 2025, the related consolidated statements of operations, cash flows, and stockholders’ equity, for each of the three years in the period ended January 31, 2026, and the related notes (collectively referred to as the "financial statements"). In our opinion, the financial statements present fairly, in all material respects, the financial position of the Company as of January 31, 2026 and February 1, 2025, and the results of its operations and its cash flows for each of the three years in the period ended January 31, 2026, in conformity with accounting principles generally accepted in the United States of America.</w:t>
      </w:r>
    </w:p>
    <w:p>
      <w:pPr>
        <w:spacing w:after="0" w:line="105" w:lineRule="exact"/>
        <w:rPr>
          <w:sz w:val="20"/>
          <w:szCs w:val="20"/>
          <w:color w:val="auto"/>
        </w:rPr>
      </w:pPr>
    </w:p>
    <w:p>
      <w:pPr>
        <w:ind w:right="360"/>
        <w:spacing w:after="0" w:line="250" w:lineRule="auto"/>
        <w:rPr>
          <w:sz w:val="20"/>
          <w:szCs w:val="20"/>
          <w:color w:val="auto"/>
        </w:rPr>
      </w:pPr>
      <w:r>
        <w:rPr>
          <w:rFonts w:ascii="Arial" w:cs="Arial" w:eastAsia="Arial" w:hAnsi="Arial"/>
          <w:sz w:val="19"/>
          <w:szCs w:val="19"/>
          <w:color w:val="auto"/>
        </w:rPr>
        <w:t xml:space="preserve">We have also audited, in accordance with the standards of the Public Company Accounting Oversight Board (United States) (PCAOB), the Company's internal control over financial reporting as of January 31, 2026, based on criteria established in </w:t>
      </w:r>
      <w:r>
        <w:rPr>
          <w:rFonts w:ascii="Arial" w:cs="Arial" w:eastAsia="Arial" w:hAnsi="Arial"/>
          <w:sz w:val="19"/>
          <w:szCs w:val="19"/>
          <w:i w:val="1"/>
          <w:iCs w:val="1"/>
          <w:color w:val="auto"/>
        </w:rPr>
        <w:t xml:space="preserve">Internal Control — Integrated Framework (2013) </w:t>
      </w:r>
      <w:r>
        <w:rPr>
          <w:rFonts w:ascii="Arial" w:cs="Arial" w:eastAsia="Arial" w:hAnsi="Arial"/>
          <w:sz w:val="19"/>
          <w:szCs w:val="19"/>
          <w:color w:val="auto"/>
        </w:rPr>
        <w:t>issued by the Committee of Sponsoring Organizations of the Treadway</w:t>
      </w:r>
      <w:r>
        <w:rPr>
          <w:rFonts w:ascii="Arial" w:cs="Arial" w:eastAsia="Arial" w:hAnsi="Arial"/>
          <w:sz w:val="19"/>
          <w:szCs w:val="19"/>
          <w:i w:val="1"/>
          <w:iCs w:val="1"/>
          <w:color w:val="auto"/>
        </w:rPr>
        <w:t xml:space="preserve"> </w:t>
      </w:r>
      <w:r>
        <w:rPr>
          <w:rFonts w:ascii="Arial" w:cs="Arial" w:eastAsia="Arial" w:hAnsi="Arial"/>
          <w:sz w:val="19"/>
          <w:szCs w:val="19"/>
          <w:color w:val="auto"/>
        </w:rPr>
        <w:t>Commission and our report dated April 15, 2026, expressed an unqualified opinion on the Company's internal control over financial reporting.</w:t>
      </w:r>
    </w:p>
    <w:p>
      <w:pPr>
        <w:spacing w:after="0" w:line="11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Basis for Opinion</w:t>
      </w:r>
    </w:p>
    <w:p>
      <w:pPr>
        <w:spacing w:after="0" w:line="162" w:lineRule="exact"/>
        <w:rPr>
          <w:sz w:val="20"/>
          <w:szCs w:val="20"/>
          <w:color w:val="auto"/>
        </w:rPr>
      </w:pPr>
    </w:p>
    <w:p>
      <w:pPr>
        <w:ind w:right="160"/>
        <w:spacing w:after="0" w:line="253" w:lineRule="auto"/>
        <w:rPr>
          <w:sz w:val="20"/>
          <w:szCs w:val="20"/>
          <w:color w:val="auto"/>
        </w:rPr>
      </w:pPr>
      <w:r>
        <w:rPr>
          <w:rFonts w:ascii="Arial" w:cs="Arial" w:eastAsia="Arial" w:hAnsi="Arial"/>
          <w:sz w:val="19"/>
          <w:szCs w:val="19"/>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3" w:lineRule="exact"/>
        <w:rPr>
          <w:sz w:val="20"/>
          <w:szCs w:val="20"/>
          <w:color w:val="auto"/>
        </w:rPr>
      </w:pPr>
    </w:p>
    <w:p>
      <w:pPr>
        <w:spacing w:after="0" w:line="246" w:lineRule="auto"/>
        <w:rPr>
          <w:sz w:val="20"/>
          <w:szCs w:val="20"/>
          <w:color w:val="auto"/>
        </w:rPr>
      </w:pPr>
      <w:r>
        <w:rPr>
          <w:rFonts w:ascii="Arial" w:cs="Arial" w:eastAsia="Arial" w:hAnsi="Arial"/>
          <w:sz w:val="19"/>
          <w:szCs w:val="19"/>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1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Critical Audit Matter</w:t>
      </w:r>
    </w:p>
    <w:p>
      <w:pPr>
        <w:spacing w:after="0" w:line="164" w:lineRule="exact"/>
        <w:rPr>
          <w:sz w:val="20"/>
          <w:szCs w:val="20"/>
          <w:color w:val="auto"/>
        </w:rPr>
      </w:pPr>
    </w:p>
    <w:p>
      <w:pPr>
        <w:ind w:right="140"/>
        <w:spacing w:after="0" w:line="248" w:lineRule="auto"/>
        <w:rPr>
          <w:sz w:val="20"/>
          <w:szCs w:val="20"/>
          <w:color w:val="auto"/>
        </w:rPr>
      </w:pPr>
      <w:r>
        <w:rPr>
          <w:rFonts w:ascii="Arial" w:cs="Arial" w:eastAsia="Arial" w:hAnsi="Arial"/>
          <w:sz w:val="19"/>
          <w:szCs w:val="19"/>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21" w:lineRule="exact"/>
        <w:rPr>
          <w:sz w:val="20"/>
          <w:szCs w:val="20"/>
          <w:color w:val="auto"/>
        </w:rPr>
      </w:pPr>
    </w:p>
    <w:p>
      <w:pPr>
        <w:ind w:right="2320"/>
        <w:spacing w:after="0" w:line="413" w:lineRule="auto"/>
        <w:rPr>
          <w:sz w:val="20"/>
          <w:szCs w:val="20"/>
          <w:color w:val="auto"/>
        </w:rPr>
      </w:pPr>
      <w:r>
        <w:rPr>
          <w:rFonts w:ascii="Arial" w:cs="Arial" w:eastAsia="Arial" w:hAnsi="Arial"/>
          <w:sz w:val="19"/>
          <w:szCs w:val="19"/>
          <w:b w:val="1"/>
          <w:bCs w:val="1"/>
          <w:i w:val="1"/>
          <w:iCs w:val="1"/>
          <w:color w:val="auto"/>
        </w:rPr>
        <w:t xml:space="preserve">Inventory – Retail Inventory Method – Refer to Note 2 to the consolidated financial statements </w:t>
      </w:r>
      <w:r>
        <w:rPr>
          <w:rFonts w:ascii="Arial" w:cs="Arial" w:eastAsia="Arial" w:hAnsi="Arial"/>
          <w:sz w:val="19"/>
          <w:szCs w:val="19"/>
          <w:i w:val="1"/>
          <w:iCs w:val="1"/>
          <w:color w:val="auto"/>
        </w:rPr>
        <w:t>Critical Audit Matter Description</w:t>
      </w:r>
    </w:p>
    <w:p>
      <w:pPr>
        <w:ind w:right="80"/>
        <w:spacing w:after="0" w:line="250" w:lineRule="auto"/>
        <w:rPr>
          <w:sz w:val="20"/>
          <w:szCs w:val="20"/>
          <w:color w:val="auto"/>
        </w:rPr>
      </w:pPr>
      <w:r>
        <w:rPr>
          <w:rFonts w:ascii="Arial" w:cs="Arial" w:eastAsia="Arial" w:hAnsi="Arial"/>
          <w:sz w:val="19"/>
          <w:szCs w:val="19"/>
          <w:color w:val="auto"/>
        </w:rPr>
        <w:t>Inventory is stated at the lower of cost or net realizable value as determined by the retail inventory method for store inventory. Under the retail inventory method, the cost of inventory is determined by calculating a cost- to-retail ratio and applying it to the retail value of inventory. Inherent in the retail inventory calculation are certain management judgments and estimates, including, among others, merchandise markdowns, which impact the ending inventory valuation at cost as well as resulting cost of sales. Merchandise markdowns are reflected in the inventory valuation when the price of an item is lowered in the stores.</w:t>
      </w:r>
    </w:p>
    <w:p>
      <w:pPr>
        <w:spacing w:after="0" w:line="115" w:lineRule="exact"/>
        <w:rPr>
          <w:sz w:val="20"/>
          <w:szCs w:val="20"/>
          <w:color w:val="auto"/>
        </w:rPr>
      </w:pPr>
    </w:p>
    <w:p>
      <w:pPr>
        <w:ind w:right="60"/>
        <w:spacing w:after="0" w:line="260" w:lineRule="auto"/>
        <w:rPr>
          <w:sz w:val="20"/>
          <w:szCs w:val="20"/>
          <w:color w:val="auto"/>
        </w:rPr>
      </w:pPr>
      <w:r>
        <w:rPr>
          <w:rFonts w:ascii="Arial" w:cs="Arial" w:eastAsia="Arial" w:hAnsi="Arial"/>
          <w:sz w:val="19"/>
          <w:szCs w:val="19"/>
          <w:color w:val="auto"/>
        </w:rPr>
        <w:t>Given the valuation of inventory under the retail inventory method requires management to make judgments and estimates, performing audit procedures to evaluate the reasonableness of the judgments and estimates related to the timing of markdowns used in the valuation of inventory required an elevated degree of auditor judgment.</w:t>
      </w:r>
    </w:p>
    <w:p>
      <w:pPr>
        <w:sectPr>
          <w:pgSz w:w="11880" w:h="15480" w:orient="portrait"/>
          <w:cols w:equalWidth="0" w:num="1">
            <w:col w:w="10780"/>
          </w:cols>
          <w:pgMar w:left="540" w:top="804" w:right="560" w:bottom="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ectPr>
          <w:pgSz w:w="11880" w:h="15480" w:orient="portrait"/>
          <w:cols w:equalWidth="0" w:num="1">
            <w:col w:w="10780"/>
          </w:cols>
          <w:pgMar w:left="540" w:top="804" w:right="560" w:bottom="16" w:gutter="0" w:footer="0" w:header="0"/>
          <w:type w:val="continuous"/>
        </w:sectPr>
      </w:pPr>
    </w:p>
    <w:bookmarkStart w:id="31" w:name="page32"/>
    <w:bookmarkEnd w:id="31"/>
    <w:p>
      <w:pPr>
        <w:spacing w:after="0"/>
        <w:rPr>
          <w:sz w:val="20"/>
          <w:szCs w:val="20"/>
          <w:color w:val="auto"/>
        </w:rPr>
      </w:pPr>
      <w:r>
        <w:rPr>
          <w:rFonts w:ascii="Arial" w:cs="Arial" w:eastAsia="Arial" w:hAnsi="Arial"/>
          <w:sz w:val="19"/>
          <w:szCs w:val="19"/>
          <w:i w:val="1"/>
          <w:iCs w:val="1"/>
          <w:color w:val="auto"/>
        </w:rPr>
        <w:t>How the Critical Audit Matter Was Addressed in the Audit</w:t>
      </w:r>
    </w:p>
    <w:p>
      <w:pPr>
        <w:spacing w:after="0" w:line="150" w:lineRule="exact"/>
        <w:rPr>
          <w:sz w:val="20"/>
          <w:szCs w:val="20"/>
          <w:color w:val="auto"/>
        </w:rPr>
      </w:pPr>
    </w:p>
    <w:p>
      <w:pPr>
        <w:spacing w:after="0" w:line="281" w:lineRule="auto"/>
        <w:rPr>
          <w:sz w:val="20"/>
          <w:szCs w:val="20"/>
          <w:color w:val="auto"/>
        </w:rPr>
      </w:pPr>
      <w:r>
        <w:rPr>
          <w:rFonts w:ascii="Arial" w:cs="Arial" w:eastAsia="Arial" w:hAnsi="Arial"/>
          <w:sz w:val="19"/>
          <w:szCs w:val="19"/>
          <w:color w:val="auto"/>
        </w:rPr>
        <w:t>Our audit procedures to evaluate the reasonableness of the judgments and estimates related to the timing of markdowns used in the valuation of inventory included the following, among others:</w:t>
      </w:r>
    </w:p>
    <w:p>
      <w:pPr>
        <w:spacing w:after="0" w:line="99" w:lineRule="exact"/>
        <w:rPr>
          <w:sz w:val="20"/>
          <w:szCs w:val="20"/>
          <w:color w:val="auto"/>
        </w:rPr>
      </w:pPr>
    </w:p>
    <w:p>
      <w:pPr>
        <w:ind w:left="720" w:right="140" w:hanging="360"/>
        <w:spacing w:after="0" w:line="266" w:lineRule="auto"/>
        <w:tabs>
          <w:tab w:leader="none" w:pos="720" w:val="left"/>
        </w:tabs>
        <w:numPr>
          <w:ilvl w:val="0"/>
          <w:numId w:val="12"/>
        </w:numPr>
        <w:rPr>
          <w:rFonts w:ascii="Symbol" w:cs="Symbol" w:eastAsia="Symbol" w:hAnsi="Symbol"/>
          <w:sz w:val="19"/>
          <w:szCs w:val="19"/>
          <w:color w:val="auto"/>
        </w:rPr>
      </w:pPr>
      <w:r>
        <w:rPr>
          <w:rFonts w:ascii="Arial" w:cs="Arial" w:eastAsia="Arial" w:hAnsi="Arial"/>
          <w:sz w:val="19"/>
          <w:szCs w:val="19"/>
          <w:color w:val="auto"/>
        </w:rPr>
        <w:t>We tested the effectiveness of controls over the measurement of inventory under the retail inventory method, including merchandise markdowns.</w:t>
      </w:r>
    </w:p>
    <w:p>
      <w:pPr>
        <w:spacing w:after="0" w:line="109" w:lineRule="exact"/>
        <w:rPr>
          <w:rFonts w:ascii="Symbol" w:cs="Symbol" w:eastAsia="Symbol" w:hAnsi="Symbol"/>
          <w:sz w:val="19"/>
          <w:szCs w:val="19"/>
          <w:color w:val="auto"/>
        </w:rPr>
      </w:pPr>
    </w:p>
    <w:p>
      <w:pPr>
        <w:ind w:left="720" w:hanging="360"/>
        <w:spacing w:after="0"/>
        <w:tabs>
          <w:tab w:leader="none" w:pos="720" w:val="left"/>
        </w:tabs>
        <w:numPr>
          <w:ilvl w:val="0"/>
          <w:numId w:val="12"/>
        </w:numPr>
        <w:rPr>
          <w:rFonts w:ascii="Symbol" w:cs="Symbol" w:eastAsia="Symbol" w:hAnsi="Symbol"/>
          <w:sz w:val="19"/>
          <w:szCs w:val="19"/>
          <w:color w:val="auto"/>
        </w:rPr>
      </w:pPr>
      <w:r>
        <w:rPr>
          <w:rFonts w:ascii="Arial" w:cs="Arial" w:eastAsia="Arial" w:hAnsi="Arial"/>
          <w:sz w:val="19"/>
          <w:szCs w:val="19"/>
          <w:color w:val="auto"/>
        </w:rPr>
        <w:t>We tested the timing of markdowns by:</w:t>
      </w:r>
    </w:p>
    <w:p>
      <w:pPr>
        <w:spacing w:after="0" w:line="145" w:lineRule="exact"/>
        <w:rPr>
          <w:sz w:val="20"/>
          <w:szCs w:val="20"/>
          <w:color w:val="auto"/>
        </w:rPr>
      </w:pPr>
    </w:p>
    <w:p>
      <w:pPr>
        <w:ind w:left="1440" w:right="380" w:hanging="360"/>
        <w:spacing w:after="0" w:line="263" w:lineRule="auto"/>
        <w:tabs>
          <w:tab w:leader="none" w:pos="1440" w:val="left"/>
        </w:tabs>
        <w:numPr>
          <w:ilvl w:val="0"/>
          <w:numId w:val="13"/>
        </w:numPr>
        <w:rPr>
          <w:rFonts w:ascii="Courier New" w:cs="Courier New" w:eastAsia="Courier New" w:hAnsi="Courier New"/>
          <w:sz w:val="19"/>
          <w:szCs w:val="19"/>
          <w:color w:val="auto"/>
        </w:rPr>
      </w:pPr>
      <w:r>
        <w:rPr>
          <w:rFonts w:ascii="Arial" w:cs="Arial" w:eastAsia="Arial" w:hAnsi="Arial"/>
          <w:sz w:val="19"/>
          <w:szCs w:val="19"/>
          <w:color w:val="auto"/>
        </w:rPr>
        <w:t>Making a selection of markdowns recorded throughout the year and after year-end to test the accuracy and timeliness of the markdowns recorded.</w:t>
      </w:r>
    </w:p>
    <w:p>
      <w:pPr>
        <w:spacing w:after="0" w:line="99" w:lineRule="exact"/>
        <w:rPr>
          <w:sz w:val="20"/>
          <w:szCs w:val="20"/>
          <w:color w:val="auto"/>
        </w:rPr>
      </w:pPr>
    </w:p>
    <w:p>
      <w:pPr>
        <w:ind w:left="1440" w:right="80" w:hanging="360"/>
        <w:spacing w:after="0" w:line="264" w:lineRule="auto"/>
        <w:tabs>
          <w:tab w:leader="none" w:pos="1440" w:val="left"/>
        </w:tabs>
        <w:numPr>
          <w:ilvl w:val="0"/>
          <w:numId w:val="14"/>
        </w:numPr>
        <w:rPr>
          <w:rFonts w:ascii="Courier New" w:cs="Courier New" w:eastAsia="Courier New" w:hAnsi="Courier New"/>
          <w:sz w:val="19"/>
          <w:szCs w:val="19"/>
          <w:color w:val="auto"/>
        </w:rPr>
      </w:pPr>
      <w:r>
        <w:rPr>
          <w:rFonts w:ascii="Arial" w:cs="Arial" w:eastAsia="Arial" w:hAnsi="Arial"/>
          <w:sz w:val="19"/>
          <w:szCs w:val="19"/>
          <w:color w:val="auto"/>
        </w:rPr>
        <w:t>Making a selection of purchases made throughout the year; determining if those purchases were subsequently marked down; and, if marked down, that the markdown was recorded timely.</w:t>
      </w:r>
    </w:p>
    <w:p>
      <w:pPr>
        <w:spacing w:after="0" w:line="318" w:lineRule="exact"/>
        <w:rPr>
          <w:sz w:val="20"/>
          <w:szCs w:val="20"/>
          <w:color w:val="auto"/>
        </w:rPr>
      </w:pPr>
    </w:p>
    <w:p>
      <w:pPr>
        <w:spacing w:after="0"/>
        <w:rPr>
          <w:sz w:val="20"/>
          <w:szCs w:val="20"/>
          <w:color w:val="auto"/>
        </w:rPr>
      </w:pPr>
      <w:r>
        <w:rPr>
          <w:rFonts w:ascii="Arial" w:cs="Arial" w:eastAsia="Arial" w:hAnsi="Arial"/>
          <w:sz w:val="19"/>
          <w:szCs w:val="19"/>
          <w:color w:val="auto"/>
        </w:rPr>
        <w:t>/s/ Deloitte &amp; Touche LLP</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color w:val="auto"/>
        </w:rPr>
        <w:t>Atlanta, Georgia</w:t>
      </w:r>
    </w:p>
    <w:p>
      <w:pPr>
        <w:spacing w:after="0" w:line="161" w:lineRule="exact"/>
        <w:rPr>
          <w:sz w:val="20"/>
          <w:szCs w:val="20"/>
          <w:color w:val="auto"/>
        </w:rPr>
      </w:pPr>
    </w:p>
    <w:p>
      <w:pPr>
        <w:spacing w:after="0"/>
        <w:rPr>
          <w:sz w:val="20"/>
          <w:szCs w:val="20"/>
          <w:color w:val="auto"/>
        </w:rPr>
      </w:pPr>
      <w:r>
        <w:rPr>
          <w:rFonts w:ascii="Arial" w:cs="Arial" w:eastAsia="Arial" w:hAnsi="Arial"/>
          <w:sz w:val="19"/>
          <w:szCs w:val="19"/>
          <w:color w:val="auto"/>
        </w:rPr>
        <w:t>April 15, 2026</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color w:val="auto"/>
        </w:rPr>
        <w:t>We have served as the Company's auditor since 2021.</w:t>
      </w:r>
    </w:p>
    <w:p>
      <w:pPr>
        <w:sectPr>
          <w:pgSz w:w="11880" w:h="15480" w:orient="portrait"/>
          <w:cols w:equalWidth="0" w:num="1">
            <w:col w:w="10800"/>
          </w:cols>
          <w:pgMar w:left="540" w:top="816" w:right="540" w:bottom="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ectPr>
          <w:pgSz w:w="11880" w:h="15480" w:orient="portrait"/>
          <w:cols w:equalWidth="0" w:num="1">
            <w:col w:w="10800"/>
          </w:cols>
          <w:pgMar w:left="540" w:top="816" w:right="540" w:bottom="16" w:gutter="0" w:footer="0" w:header="0"/>
          <w:type w:val="continuous"/>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Citi Trends,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ind w:right="171"/>
              <w:spacing w:after="0"/>
              <w:rPr>
                <w:sz w:val="20"/>
                <w:szCs w:val="20"/>
                <w:color w:val="auto"/>
              </w:rPr>
            </w:pPr>
            <w:r>
              <w:rPr>
                <w:rFonts w:ascii="Arial" w:cs="Arial" w:eastAsia="Arial" w:hAnsi="Arial"/>
                <w:sz w:val="16"/>
                <w:szCs w:val="16"/>
                <w:b w:val="1"/>
                <w:bCs w:val="1"/>
                <w:color w:val="auto"/>
              </w:rPr>
              <w:t>January 31,</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gridSpan w:val="3"/>
          </w:tcPr>
          <w:p>
            <w:pPr>
              <w:jc w:val="right"/>
              <w:ind w:right="360"/>
              <w:spacing w:after="0"/>
              <w:rPr>
                <w:sz w:val="20"/>
                <w:szCs w:val="20"/>
                <w:color w:val="auto"/>
              </w:rPr>
            </w:pPr>
            <w:r>
              <w:rPr>
                <w:rFonts w:ascii="Arial" w:cs="Arial" w:eastAsia="Arial" w:hAnsi="Arial"/>
                <w:sz w:val="16"/>
                <w:szCs w:val="16"/>
                <w:b w:val="1"/>
                <w:bCs w:val="1"/>
                <w:color w:val="auto"/>
              </w:rPr>
              <w:t>February 1,</w:t>
            </w:r>
          </w:p>
        </w:tc>
      </w:tr>
      <w:tr>
        <w:trPr>
          <w:trHeight w:val="203"/>
        </w:trPr>
        <w:tc>
          <w:tcPr>
            <w:tcW w:w="7640" w:type="dxa"/>
            <w:vAlign w:val="bottom"/>
            <w:tcBorders>
              <w:bottom w:val="single" w:sz="8" w:color="D1EDF4"/>
            </w:tcBorders>
          </w:tcPr>
          <w:p>
            <w:pPr>
              <w:spacing w:after="0"/>
              <w:rPr>
                <w:sz w:val="17"/>
                <w:szCs w:val="17"/>
                <w:color w:val="auto"/>
              </w:rPr>
            </w:pPr>
          </w:p>
        </w:tc>
        <w:tc>
          <w:tcPr>
            <w:tcW w:w="22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2026</w:t>
            </w:r>
          </w:p>
        </w:tc>
        <w:tc>
          <w:tcPr>
            <w:tcW w:w="22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6"/>
                <w:szCs w:val="16"/>
                <w:b w:val="1"/>
                <w:bCs w:val="1"/>
                <w:color w:val="auto"/>
              </w:rPr>
              <w:t>2025</w:t>
            </w:r>
          </w:p>
        </w:tc>
        <w:tc>
          <w:tcPr>
            <w:tcW w:w="300" w:type="dxa"/>
            <w:vAlign w:val="bottom"/>
            <w:tcBorders>
              <w:bottom w:val="single" w:sz="8" w:color="D1EDF4"/>
            </w:tcBorders>
          </w:tcPr>
          <w:p>
            <w:pPr>
              <w:spacing w:after="0"/>
              <w:rPr>
                <w:sz w:val="17"/>
                <w:szCs w:val="17"/>
                <w:color w:val="auto"/>
              </w:rPr>
            </w:pPr>
          </w:p>
        </w:tc>
      </w:tr>
      <w:tr>
        <w:trPr>
          <w:trHeight w:val="209"/>
        </w:trPr>
        <w:tc>
          <w:tcPr>
            <w:tcW w:w="7640" w:type="dxa"/>
            <w:vAlign w:val="bottom"/>
            <w:shd w:val="clear" w:color="auto" w:fill="D1EDF4"/>
          </w:tcPr>
          <w:p>
            <w:pPr>
              <w:ind w:left="3500"/>
              <w:spacing w:after="0" w:line="209" w:lineRule="exact"/>
              <w:rPr>
                <w:sz w:val="20"/>
                <w:szCs w:val="20"/>
                <w:color w:val="auto"/>
              </w:rPr>
            </w:pPr>
            <w:r>
              <w:rPr>
                <w:rFonts w:ascii="Arial" w:cs="Arial" w:eastAsia="Arial" w:hAnsi="Arial"/>
                <w:sz w:val="19"/>
                <w:szCs w:val="19"/>
                <w:b w:val="1"/>
                <w:bCs w:val="1"/>
                <w:color w:val="auto"/>
              </w:rPr>
              <w:t>Assets</w:t>
            </w:r>
          </w:p>
        </w:tc>
        <w:tc>
          <w:tcPr>
            <w:tcW w:w="22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180" w:type="dxa"/>
            <w:vAlign w:val="bottom"/>
            <w:shd w:val="clear" w:color="auto" w:fill="D1EDF4"/>
          </w:tcPr>
          <w:p>
            <w:pPr>
              <w:spacing w:after="0"/>
              <w:rPr>
                <w:sz w:val="18"/>
                <w:szCs w:val="18"/>
                <w:color w:val="auto"/>
              </w:rPr>
            </w:pPr>
          </w:p>
        </w:tc>
        <w:tc>
          <w:tcPr>
            <w:tcW w:w="1200" w:type="dxa"/>
            <w:vAlign w:val="bottom"/>
            <w:shd w:val="clear" w:color="auto" w:fill="D1EDF4"/>
          </w:tcPr>
          <w:p>
            <w:pPr>
              <w:spacing w:after="0"/>
              <w:rPr>
                <w:sz w:val="18"/>
                <w:szCs w:val="18"/>
                <w:color w:val="auto"/>
              </w:rPr>
            </w:pPr>
          </w:p>
        </w:tc>
        <w:tc>
          <w:tcPr>
            <w:tcW w:w="22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160" w:type="dxa"/>
            <w:vAlign w:val="bottom"/>
            <w:shd w:val="clear" w:color="auto" w:fill="D1EDF4"/>
          </w:tcPr>
          <w:p>
            <w:pPr>
              <w:spacing w:after="0"/>
              <w:rPr>
                <w:sz w:val="18"/>
                <w:szCs w:val="18"/>
                <w:color w:val="auto"/>
              </w:rPr>
            </w:pPr>
          </w:p>
        </w:tc>
        <w:tc>
          <w:tcPr>
            <w:tcW w:w="840" w:type="dxa"/>
            <w:vAlign w:val="bottom"/>
            <w:shd w:val="clear" w:color="auto" w:fill="D1EDF4"/>
          </w:tcPr>
          <w:p>
            <w:pPr>
              <w:spacing w:after="0"/>
              <w:rPr>
                <w:sz w:val="18"/>
                <w:szCs w:val="18"/>
                <w:color w:val="auto"/>
              </w:rPr>
            </w:pPr>
          </w:p>
        </w:tc>
        <w:tc>
          <w:tcPr>
            <w:tcW w:w="300" w:type="dxa"/>
            <w:vAlign w:val="bottom"/>
            <w:shd w:val="clear" w:color="auto" w:fill="D1EDF4"/>
          </w:tcPr>
          <w:p>
            <w:pPr>
              <w:spacing w:after="0"/>
              <w:rPr>
                <w:sz w:val="18"/>
                <w:szCs w:val="18"/>
                <w:color w:val="auto"/>
              </w:rPr>
            </w:pPr>
          </w:p>
        </w:tc>
      </w:tr>
      <w:tr>
        <w:trPr>
          <w:trHeight w:val="220"/>
        </w:trPr>
        <w:tc>
          <w:tcPr>
            <w:tcW w:w="764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20"/>
        </w:trPr>
        <w:tc>
          <w:tcPr>
            <w:tcW w:w="7640" w:type="dxa"/>
            <w:vAlign w:val="bottom"/>
            <w:shd w:val="clear" w:color="auto" w:fill="D1EDF4"/>
          </w:tcPr>
          <w:p>
            <w:pPr>
              <w:ind w:left="240"/>
              <w:spacing w:after="0"/>
              <w:rPr>
                <w:sz w:val="20"/>
                <w:szCs w:val="20"/>
                <w:color w:val="auto"/>
              </w:rPr>
            </w:pPr>
            <w:r>
              <w:rPr>
                <w:rFonts w:ascii="Arial" w:cs="Arial" w:eastAsia="Arial" w:hAnsi="Arial"/>
                <w:sz w:val="18"/>
                <w:szCs w:val="18"/>
                <w:color w:val="auto"/>
              </w:rPr>
              <w:t>Cash and cash equivalents</w:t>
            </w:r>
          </w:p>
        </w:tc>
        <w:tc>
          <w:tcPr>
            <w:tcW w:w="420" w:type="dxa"/>
            <w:vAlign w:val="bottom"/>
            <w:gridSpan w:val="3"/>
            <w:shd w:val="clear" w:color="auto" w:fill="D1EDF4"/>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1EDF4"/>
          </w:tcPr>
          <w:p>
            <w:pPr>
              <w:jc w:val="right"/>
              <w:spacing w:after="0"/>
              <w:rPr>
                <w:sz w:val="20"/>
                <w:szCs w:val="20"/>
                <w:color w:val="auto"/>
              </w:rPr>
            </w:pPr>
            <w:r>
              <w:rPr>
                <w:rFonts w:ascii="Arial" w:cs="Arial" w:eastAsia="Arial" w:hAnsi="Arial"/>
                <w:sz w:val="18"/>
                <w:szCs w:val="18"/>
                <w:color w:val="auto"/>
              </w:rPr>
              <w:t>66,092</w:t>
            </w:r>
          </w:p>
        </w:tc>
        <w:tc>
          <w:tcPr>
            <w:tcW w:w="22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60" w:type="dxa"/>
            <w:vAlign w:val="bottom"/>
            <w:shd w:val="clear" w:color="auto" w:fill="D1EDF4"/>
          </w:tcPr>
          <w:p>
            <w:pPr>
              <w:jc w:val="right"/>
              <w:spacing w:after="0"/>
              <w:rPr>
                <w:sz w:val="20"/>
                <w:szCs w:val="20"/>
                <w:color w:val="auto"/>
              </w:rPr>
            </w:pPr>
            <w:r>
              <w:rPr>
                <w:rFonts w:ascii="Arial" w:cs="Arial" w:eastAsia="Arial" w:hAnsi="Arial"/>
                <w:sz w:val="18"/>
                <w:szCs w:val="18"/>
                <w:color w:val="auto"/>
                <w:w w:val="79"/>
                <w:shd w:val="clear" w:color="auto" w:fill="D1EDF4"/>
              </w:rPr>
              <w:t>$</w:t>
            </w:r>
          </w:p>
        </w:tc>
        <w:tc>
          <w:tcPr>
            <w:tcW w:w="840" w:type="dxa"/>
            <w:vAlign w:val="bottom"/>
            <w:shd w:val="clear" w:color="auto" w:fill="D1EDF4"/>
          </w:tcPr>
          <w:p>
            <w:pPr>
              <w:jc w:val="right"/>
              <w:spacing w:after="0"/>
              <w:rPr>
                <w:sz w:val="20"/>
                <w:szCs w:val="20"/>
                <w:color w:val="auto"/>
              </w:rPr>
            </w:pPr>
            <w:r>
              <w:rPr>
                <w:rFonts w:ascii="Arial" w:cs="Arial" w:eastAsia="Arial" w:hAnsi="Arial"/>
                <w:sz w:val="18"/>
                <w:szCs w:val="18"/>
                <w:color w:val="auto"/>
                <w:shd w:val="clear" w:color="auto" w:fill="D1EDF4"/>
              </w:rPr>
              <w:t>61,085</w:t>
            </w:r>
          </w:p>
        </w:tc>
        <w:tc>
          <w:tcPr>
            <w:tcW w:w="300" w:type="dxa"/>
            <w:vAlign w:val="bottom"/>
            <w:shd w:val="clear" w:color="auto" w:fill="D1EDF4"/>
          </w:tcPr>
          <w:p>
            <w:pPr>
              <w:spacing w:after="0"/>
              <w:rPr>
                <w:sz w:val="19"/>
                <w:szCs w:val="19"/>
                <w:color w:val="auto"/>
              </w:rPr>
            </w:pPr>
          </w:p>
        </w:tc>
      </w:tr>
      <w:tr>
        <w:trPr>
          <w:trHeight w:val="220"/>
        </w:trPr>
        <w:tc>
          <w:tcPr>
            <w:tcW w:w="7640" w:type="dxa"/>
            <w:vAlign w:val="bottom"/>
          </w:tcPr>
          <w:p>
            <w:pPr>
              <w:ind w:left="240"/>
              <w:spacing w:after="0"/>
              <w:rPr>
                <w:sz w:val="20"/>
                <w:szCs w:val="20"/>
                <w:color w:val="auto"/>
              </w:rPr>
            </w:pPr>
            <w:r>
              <w:rPr>
                <w:rFonts w:ascii="Arial" w:cs="Arial" w:eastAsia="Arial" w:hAnsi="Arial"/>
                <w:sz w:val="18"/>
                <w:szCs w:val="18"/>
                <w:color w:val="auto"/>
              </w:rPr>
              <w:t>Inventory</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113,515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122,640</w:t>
            </w:r>
          </w:p>
        </w:tc>
        <w:tc>
          <w:tcPr>
            <w:tcW w:w="300" w:type="dxa"/>
            <w:vAlign w:val="bottom"/>
          </w:tcPr>
          <w:p>
            <w:pPr>
              <w:spacing w:after="0"/>
              <w:rPr>
                <w:sz w:val="19"/>
                <w:szCs w:val="19"/>
                <w:color w:val="auto"/>
              </w:rPr>
            </w:pPr>
          </w:p>
        </w:tc>
      </w:tr>
      <w:tr>
        <w:trPr>
          <w:trHeight w:val="220"/>
        </w:trPr>
        <w:tc>
          <w:tcPr>
            <w:tcW w:w="7640" w:type="dxa"/>
            <w:vAlign w:val="bottom"/>
            <w:shd w:val="clear" w:color="auto" w:fill="D1EDF4"/>
          </w:tcPr>
          <w:p>
            <w:pPr>
              <w:ind w:left="240"/>
              <w:spacing w:after="0"/>
              <w:rPr>
                <w:sz w:val="20"/>
                <w:szCs w:val="20"/>
                <w:color w:val="auto"/>
              </w:rPr>
            </w:pPr>
            <w:r>
              <w:rPr>
                <w:rFonts w:ascii="Arial" w:cs="Arial" w:eastAsia="Arial" w:hAnsi="Arial"/>
                <w:sz w:val="18"/>
                <w:szCs w:val="18"/>
                <w:color w:val="auto"/>
              </w:rPr>
              <w:t>Prepaid and other current assets</w:t>
            </w:r>
          </w:p>
        </w:tc>
        <w:tc>
          <w:tcPr>
            <w:tcW w:w="22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80" w:type="dxa"/>
            <w:vAlign w:val="bottom"/>
            <w:shd w:val="clear" w:color="auto" w:fill="D1EDF4"/>
          </w:tcPr>
          <w:p>
            <w:pPr>
              <w:spacing w:after="0"/>
              <w:rPr>
                <w:sz w:val="19"/>
                <w:szCs w:val="19"/>
                <w:color w:val="auto"/>
              </w:rPr>
            </w:pPr>
          </w:p>
        </w:tc>
        <w:tc>
          <w:tcPr>
            <w:tcW w:w="1200" w:type="dxa"/>
            <w:vAlign w:val="bottom"/>
            <w:shd w:val="clear" w:color="auto" w:fill="D1EDF4"/>
          </w:tcPr>
          <w:p>
            <w:pPr>
              <w:jc w:val="right"/>
              <w:spacing w:after="0"/>
              <w:rPr>
                <w:sz w:val="20"/>
                <w:szCs w:val="20"/>
                <w:color w:val="auto"/>
              </w:rPr>
            </w:pPr>
            <w:r>
              <w:rPr>
                <w:rFonts w:ascii="Arial" w:cs="Arial" w:eastAsia="Arial" w:hAnsi="Arial"/>
                <w:sz w:val="18"/>
                <w:szCs w:val="18"/>
                <w:color w:val="auto"/>
              </w:rPr>
              <w:t>12,254</w:t>
            </w:r>
          </w:p>
        </w:tc>
        <w:tc>
          <w:tcPr>
            <w:tcW w:w="22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60" w:type="dxa"/>
            <w:vAlign w:val="bottom"/>
            <w:shd w:val="clear" w:color="auto" w:fill="D1EDF4"/>
          </w:tcPr>
          <w:p>
            <w:pPr>
              <w:spacing w:after="0"/>
              <w:rPr>
                <w:sz w:val="19"/>
                <w:szCs w:val="19"/>
                <w:color w:val="auto"/>
              </w:rPr>
            </w:pPr>
          </w:p>
        </w:tc>
        <w:tc>
          <w:tcPr>
            <w:tcW w:w="840" w:type="dxa"/>
            <w:vAlign w:val="bottom"/>
            <w:shd w:val="clear" w:color="auto" w:fill="D1EDF4"/>
          </w:tcPr>
          <w:p>
            <w:pPr>
              <w:jc w:val="right"/>
              <w:spacing w:after="0"/>
              <w:rPr>
                <w:sz w:val="20"/>
                <w:szCs w:val="20"/>
                <w:color w:val="auto"/>
              </w:rPr>
            </w:pPr>
            <w:r>
              <w:rPr>
                <w:rFonts w:ascii="Arial" w:cs="Arial" w:eastAsia="Arial" w:hAnsi="Arial"/>
                <w:sz w:val="18"/>
                <w:szCs w:val="18"/>
                <w:color w:val="auto"/>
                <w:shd w:val="clear" w:color="auto" w:fill="D1EDF4"/>
              </w:rPr>
              <w:t>10,216</w:t>
            </w:r>
          </w:p>
        </w:tc>
        <w:tc>
          <w:tcPr>
            <w:tcW w:w="300" w:type="dxa"/>
            <w:vAlign w:val="bottom"/>
            <w:shd w:val="clear" w:color="auto" w:fill="D1EDF4"/>
          </w:tcPr>
          <w:p>
            <w:pPr>
              <w:spacing w:after="0"/>
              <w:rPr>
                <w:sz w:val="19"/>
                <w:szCs w:val="19"/>
                <w:color w:val="auto"/>
              </w:rPr>
            </w:pPr>
          </w:p>
        </w:tc>
      </w:tr>
      <w:tr>
        <w:trPr>
          <w:trHeight w:val="220"/>
        </w:trPr>
        <w:tc>
          <w:tcPr>
            <w:tcW w:w="7640" w:type="dxa"/>
            <w:vAlign w:val="bottom"/>
            <w:tcBorders>
              <w:bottom w:val="single" w:sz="8" w:color="D1EDF4"/>
            </w:tcBorders>
          </w:tcPr>
          <w:p>
            <w:pPr>
              <w:ind w:left="240"/>
              <w:spacing w:after="0"/>
              <w:rPr>
                <w:sz w:val="20"/>
                <w:szCs w:val="20"/>
                <w:color w:val="auto"/>
              </w:rPr>
            </w:pPr>
            <w:r>
              <w:rPr>
                <w:rFonts w:ascii="Arial" w:cs="Arial" w:eastAsia="Arial" w:hAnsi="Arial"/>
                <w:sz w:val="18"/>
                <w:szCs w:val="18"/>
                <w:color w:val="auto"/>
              </w:rPr>
              <w:t>Income tax receivable</w:t>
            </w:r>
          </w:p>
        </w:tc>
        <w:tc>
          <w:tcPr>
            <w:tcW w:w="220" w:type="dxa"/>
            <w:vAlign w:val="bottom"/>
            <w:tcBorders>
              <w:bottom w:val="single" w:sz="8" w:color="D1EDF4"/>
            </w:tcBorders>
          </w:tcPr>
          <w:p>
            <w:pPr>
              <w:spacing w:after="0"/>
              <w:rPr>
                <w:sz w:val="19"/>
                <w:szCs w:val="19"/>
                <w:color w:val="auto"/>
              </w:rPr>
            </w:pPr>
          </w:p>
        </w:tc>
        <w:tc>
          <w:tcPr>
            <w:tcW w:w="20" w:type="dxa"/>
            <w:vAlign w:val="bottom"/>
            <w:tcBorders>
              <w:bottom w:val="single" w:sz="8" w:color="D1EDF4"/>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1,187</w:t>
            </w:r>
          </w:p>
        </w:tc>
        <w:tc>
          <w:tcPr>
            <w:tcW w:w="220" w:type="dxa"/>
            <w:vAlign w:val="bottom"/>
            <w:tcBorders>
              <w:bottom w:val="single" w:sz="8" w:color="D1EDF4"/>
            </w:tcBorders>
          </w:tcPr>
          <w:p>
            <w:pPr>
              <w:spacing w:after="0"/>
              <w:rPr>
                <w:sz w:val="19"/>
                <w:szCs w:val="19"/>
                <w:color w:val="auto"/>
              </w:rPr>
            </w:pPr>
          </w:p>
        </w:tc>
        <w:tc>
          <w:tcPr>
            <w:tcW w:w="20" w:type="dxa"/>
            <w:vAlign w:val="bottom"/>
            <w:tcBorders>
              <w:bottom w:val="single" w:sz="8" w:color="D1EDF4"/>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3,119</w:t>
            </w:r>
          </w:p>
        </w:tc>
        <w:tc>
          <w:tcPr>
            <w:tcW w:w="300" w:type="dxa"/>
            <w:vAlign w:val="bottom"/>
            <w:tcBorders>
              <w:bottom w:val="single" w:sz="8" w:color="D1EDF4"/>
            </w:tcBorders>
          </w:tcPr>
          <w:p>
            <w:pPr>
              <w:spacing w:after="0"/>
              <w:rPr>
                <w:sz w:val="19"/>
                <w:szCs w:val="19"/>
                <w:color w:val="auto"/>
              </w:rPr>
            </w:pPr>
          </w:p>
        </w:tc>
      </w:tr>
      <w:tr>
        <w:trPr>
          <w:trHeight w:val="209"/>
        </w:trPr>
        <w:tc>
          <w:tcPr>
            <w:tcW w:w="7640" w:type="dxa"/>
            <w:vAlign w:val="bottom"/>
            <w:shd w:val="clear" w:color="auto" w:fill="D1EDF4"/>
          </w:tcPr>
          <w:p>
            <w:pPr>
              <w:ind w:left="36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180" w:type="dxa"/>
            <w:vAlign w:val="bottom"/>
            <w:shd w:val="clear" w:color="auto" w:fill="D1EDF4"/>
          </w:tcPr>
          <w:p>
            <w:pPr>
              <w:spacing w:after="0"/>
              <w:rPr>
                <w:sz w:val="18"/>
                <w:szCs w:val="18"/>
                <w:color w:val="auto"/>
              </w:rPr>
            </w:pPr>
          </w:p>
        </w:tc>
        <w:tc>
          <w:tcPr>
            <w:tcW w:w="1200" w:type="dxa"/>
            <w:vAlign w:val="bottom"/>
            <w:shd w:val="clear" w:color="auto" w:fill="D1EDF4"/>
          </w:tcPr>
          <w:p>
            <w:pPr>
              <w:jc w:val="right"/>
              <w:spacing w:after="0"/>
              <w:rPr>
                <w:sz w:val="20"/>
                <w:szCs w:val="20"/>
                <w:color w:val="auto"/>
              </w:rPr>
            </w:pPr>
            <w:r>
              <w:rPr>
                <w:rFonts w:ascii="Arial" w:cs="Arial" w:eastAsia="Arial" w:hAnsi="Arial"/>
                <w:sz w:val="18"/>
                <w:szCs w:val="18"/>
                <w:color w:val="auto"/>
              </w:rPr>
              <w:t>193,048</w:t>
            </w:r>
          </w:p>
        </w:tc>
        <w:tc>
          <w:tcPr>
            <w:tcW w:w="22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160" w:type="dxa"/>
            <w:vAlign w:val="bottom"/>
            <w:shd w:val="clear" w:color="auto" w:fill="D1EDF4"/>
          </w:tcPr>
          <w:p>
            <w:pPr>
              <w:spacing w:after="0"/>
              <w:rPr>
                <w:sz w:val="18"/>
                <w:szCs w:val="18"/>
                <w:color w:val="auto"/>
              </w:rPr>
            </w:pPr>
          </w:p>
        </w:tc>
        <w:tc>
          <w:tcPr>
            <w:tcW w:w="840" w:type="dxa"/>
            <w:vAlign w:val="bottom"/>
            <w:shd w:val="clear" w:color="auto" w:fill="D1EDF4"/>
          </w:tcPr>
          <w:p>
            <w:pPr>
              <w:jc w:val="right"/>
              <w:spacing w:after="0"/>
              <w:rPr>
                <w:sz w:val="20"/>
                <w:szCs w:val="20"/>
                <w:color w:val="auto"/>
              </w:rPr>
            </w:pPr>
            <w:r>
              <w:rPr>
                <w:rFonts w:ascii="Arial" w:cs="Arial" w:eastAsia="Arial" w:hAnsi="Arial"/>
                <w:sz w:val="18"/>
                <w:szCs w:val="18"/>
                <w:color w:val="auto"/>
                <w:shd w:val="clear" w:color="auto" w:fill="D1EDF4"/>
              </w:rPr>
              <w:t>197,060</w:t>
            </w:r>
          </w:p>
        </w:tc>
        <w:tc>
          <w:tcPr>
            <w:tcW w:w="300" w:type="dxa"/>
            <w:vAlign w:val="bottom"/>
            <w:shd w:val="clear" w:color="auto" w:fill="D1EDF4"/>
          </w:tcPr>
          <w:p>
            <w:pPr>
              <w:spacing w:after="0"/>
              <w:rPr>
                <w:sz w:val="18"/>
                <w:szCs w:val="18"/>
                <w:color w:val="auto"/>
              </w:rPr>
            </w:pPr>
          </w:p>
        </w:tc>
      </w:tr>
      <w:tr>
        <w:trPr>
          <w:trHeight w:val="189"/>
        </w:trPr>
        <w:tc>
          <w:tcPr>
            <w:tcW w:w="7640" w:type="dxa"/>
            <w:vAlign w:val="bottom"/>
          </w:tcPr>
          <w:p>
            <w:pPr>
              <w:ind w:left="240"/>
              <w:spacing w:after="0" w:line="189" w:lineRule="exact"/>
              <w:rPr>
                <w:sz w:val="20"/>
                <w:szCs w:val="20"/>
                <w:color w:val="auto"/>
              </w:rPr>
            </w:pPr>
            <w:r>
              <w:rPr>
                <w:rFonts w:ascii="Arial" w:cs="Arial" w:eastAsia="Arial" w:hAnsi="Arial"/>
                <w:sz w:val="18"/>
                <w:szCs w:val="18"/>
                <w:color w:val="auto"/>
              </w:rPr>
              <w:t>Property and equipment, net of accumulated depreciation of $301,921 and $297,396 as of</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27"/>
        </w:trPr>
        <w:tc>
          <w:tcPr>
            <w:tcW w:w="7640" w:type="dxa"/>
            <w:vAlign w:val="bottom"/>
          </w:tcPr>
          <w:p>
            <w:pPr>
              <w:ind w:left="240"/>
              <w:spacing w:after="0"/>
              <w:rPr>
                <w:sz w:val="20"/>
                <w:szCs w:val="20"/>
                <w:color w:val="auto"/>
              </w:rPr>
            </w:pPr>
            <w:r>
              <w:rPr>
                <w:rFonts w:ascii="Arial" w:cs="Arial" w:eastAsia="Arial" w:hAnsi="Arial"/>
                <w:sz w:val="18"/>
                <w:szCs w:val="18"/>
                <w:color w:val="auto"/>
              </w:rPr>
              <w:t>January 31, 2026 and February 1, 2025, respectively.</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54,384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50,715</w:t>
            </w:r>
          </w:p>
        </w:tc>
        <w:tc>
          <w:tcPr>
            <w:tcW w:w="300" w:type="dxa"/>
            <w:vAlign w:val="bottom"/>
          </w:tcPr>
          <w:p>
            <w:pPr>
              <w:spacing w:after="0"/>
              <w:rPr>
                <w:sz w:val="19"/>
                <w:szCs w:val="19"/>
                <w:color w:val="auto"/>
              </w:rPr>
            </w:pPr>
          </w:p>
        </w:tc>
      </w:tr>
      <w:tr>
        <w:trPr>
          <w:trHeight w:val="220"/>
        </w:trPr>
        <w:tc>
          <w:tcPr>
            <w:tcW w:w="7640" w:type="dxa"/>
            <w:vAlign w:val="bottom"/>
            <w:shd w:val="clear" w:color="auto" w:fill="D1EDF4"/>
          </w:tcPr>
          <w:p>
            <w:pPr>
              <w:ind w:left="240"/>
              <w:spacing w:after="0"/>
              <w:rPr>
                <w:sz w:val="20"/>
                <w:szCs w:val="20"/>
                <w:color w:val="auto"/>
              </w:rPr>
            </w:pPr>
            <w:r>
              <w:rPr>
                <w:rFonts w:ascii="Arial" w:cs="Arial" w:eastAsia="Arial" w:hAnsi="Arial"/>
                <w:sz w:val="18"/>
                <w:szCs w:val="18"/>
                <w:color w:val="auto"/>
              </w:rPr>
              <w:t>Operating lease right of use assets</w:t>
            </w:r>
          </w:p>
        </w:tc>
        <w:tc>
          <w:tcPr>
            <w:tcW w:w="22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80" w:type="dxa"/>
            <w:vAlign w:val="bottom"/>
            <w:shd w:val="clear" w:color="auto" w:fill="D1EDF4"/>
          </w:tcPr>
          <w:p>
            <w:pPr>
              <w:spacing w:after="0"/>
              <w:rPr>
                <w:sz w:val="19"/>
                <w:szCs w:val="19"/>
                <w:color w:val="auto"/>
              </w:rPr>
            </w:pPr>
          </w:p>
        </w:tc>
        <w:tc>
          <w:tcPr>
            <w:tcW w:w="1200" w:type="dxa"/>
            <w:vAlign w:val="bottom"/>
            <w:shd w:val="clear" w:color="auto" w:fill="D1EDF4"/>
          </w:tcPr>
          <w:p>
            <w:pPr>
              <w:jc w:val="right"/>
              <w:spacing w:after="0"/>
              <w:rPr>
                <w:sz w:val="20"/>
                <w:szCs w:val="20"/>
                <w:color w:val="auto"/>
              </w:rPr>
            </w:pPr>
            <w:r>
              <w:rPr>
                <w:rFonts w:ascii="Arial" w:cs="Arial" w:eastAsia="Arial" w:hAnsi="Arial"/>
                <w:sz w:val="18"/>
                <w:szCs w:val="18"/>
                <w:color w:val="auto"/>
              </w:rPr>
              <w:t>221,775</w:t>
            </w:r>
          </w:p>
        </w:tc>
        <w:tc>
          <w:tcPr>
            <w:tcW w:w="22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60" w:type="dxa"/>
            <w:vAlign w:val="bottom"/>
            <w:shd w:val="clear" w:color="auto" w:fill="D1EDF4"/>
          </w:tcPr>
          <w:p>
            <w:pPr>
              <w:spacing w:after="0"/>
              <w:rPr>
                <w:sz w:val="19"/>
                <w:szCs w:val="19"/>
                <w:color w:val="auto"/>
              </w:rPr>
            </w:pPr>
          </w:p>
        </w:tc>
        <w:tc>
          <w:tcPr>
            <w:tcW w:w="840" w:type="dxa"/>
            <w:vAlign w:val="bottom"/>
            <w:shd w:val="clear" w:color="auto" w:fill="D1EDF4"/>
          </w:tcPr>
          <w:p>
            <w:pPr>
              <w:jc w:val="right"/>
              <w:spacing w:after="0"/>
              <w:rPr>
                <w:sz w:val="20"/>
                <w:szCs w:val="20"/>
                <w:color w:val="auto"/>
              </w:rPr>
            </w:pPr>
            <w:r>
              <w:rPr>
                <w:rFonts w:ascii="Arial" w:cs="Arial" w:eastAsia="Arial" w:hAnsi="Arial"/>
                <w:sz w:val="18"/>
                <w:szCs w:val="18"/>
                <w:color w:val="auto"/>
              </w:rPr>
              <w:t>214,148</w:t>
            </w:r>
          </w:p>
        </w:tc>
        <w:tc>
          <w:tcPr>
            <w:tcW w:w="300" w:type="dxa"/>
            <w:vAlign w:val="bottom"/>
            <w:shd w:val="clear" w:color="auto" w:fill="D1EDF4"/>
          </w:tcPr>
          <w:p>
            <w:pPr>
              <w:spacing w:after="0"/>
              <w:rPr>
                <w:sz w:val="19"/>
                <w:szCs w:val="19"/>
                <w:color w:val="auto"/>
              </w:rPr>
            </w:pPr>
          </w:p>
        </w:tc>
      </w:tr>
      <w:tr>
        <w:trPr>
          <w:trHeight w:val="220"/>
        </w:trPr>
        <w:tc>
          <w:tcPr>
            <w:tcW w:w="7640" w:type="dxa"/>
            <w:vAlign w:val="bottom"/>
            <w:tcBorders>
              <w:bottom w:val="single" w:sz="8" w:color="D1EDF4"/>
            </w:tcBorders>
          </w:tcPr>
          <w:p>
            <w:pPr>
              <w:ind w:left="24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D1EDF4"/>
            </w:tcBorders>
          </w:tcPr>
          <w:p>
            <w:pPr>
              <w:spacing w:after="0"/>
              <w:rPr>
                <w:sz w:val="19"/>
                <w:szCs w:val="19"/>
                <w:color w:val="auto"/>
              </w:rPr>
            </w:pPr>
          </w:p>
        </w:tc>
        <w:tc>
          <w:tcPr>
            <w:tcW w:w="20" w:type="dxa"/>
            <w:vAlign w:val="bottom"/>
            <w:tcBorders>
              <w:bottom w:val="single" w:sz="8" w:color="D1EDF4"/>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1,964</w:t>
            </w:r>
          </w:p>
        </w:tc>
        <w:tc>
          <w:tcPr>
            <w:tcW w:w="220" w:type="dxa"/>
            <w:vAlign w:val="bottom"/>
            <w:tcBorders>
              <w:bottom w:val="single" w:sz="8" w:color="D1EDF4"/>
            </w:tcBorders>
          </w:tcPr>
          <w:p>
            <w:pPr>
              <w:spacing w:after="0"/>
              <w:rPr>
                <w:sz w:val="19"/>
                <w:szCs w:val="19"/>
                <w:color w:val="auto"/>
              </w:rPr>
            </w:pPr>
          </w:p>
        </w:tc>
        <w:tc>
          <w:tcPr>
            <w:tcW w:w="20" w:type="dxa"/>
            <w:vAlign w:val="bottom"/>
            <w:tcBorders>
              <w:bottom w:val="single" w:sz="8" w:color="D1EDF4"/>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w:t>
            </w:r>
          </w:p>
        </w:tc>
        <w:tc>
          <w:tcPr>
            <w:tcW w:w="300" w:type="dxa"/>
            <w:vAlign w:val="bottom"/>
            <w:tcBorders>
              <w:bottom w:val="single" w:sz="8" w:color="D1EDF4"/>
            </w:tcBorders>
          </w:tcPr>
          <w:p>
            <w:pPr>
              <w:spacing w:after="0"/>
              <w:rPr>
                <w:sz w:val="19"/>
                <w:szCs w:val="19"/>
                <w:color w:val="auto"/>
              </w:rPr>
            </w:pPr>
          </w:p>
        </w:tc>
      </w:tr>
      <w:tr>
        <w:trPr>
          <w:trHeight w:val="218"/>
        </w:trPr>
        <w:tc>
          <w:tcPr>
            <w:tcW w:w="7640" w:type="dxa"/>
            <w:vAlign w:val="bottom"/>
            <w:shd w:val="clear" w:color="auto" w:fill="D1EDF4"/>
          </w:tcPr>
          <w:p>
            <w:pPr>
              <w:ind w:left="360"/>
              <w:spacing w:after="0"/>
              <w:rPr>
                <w:sz w:val="20"/>
                <w:szCs w:val="20"/>
                <w:color w:val="auto"/>
              </w:rPr>
            </w:pPr>
            <w:r>
              <w:rPr>
                <w:rFonts w:ascii="Arial" w:cs="Arial" w:eastAsia="Arial" w:hAnsi="Arial"/>
                <w:sz w:val="18"/>
                <w:szCs w:val="18"/>
                <w:color w:val="auto"/>
              </w:rPr>
              <w:t>Total assets</w:t>
            </w:r>
          </w:p>
        </w:tc>
        <w:tc>
          <w:tcPr>
            <w:tcW w:w="420" w:type="dxa"/>
            <w:vAlign w:val="bottom"/>
            <w:gridSpan w:val="3"/>
            <w:shd w:val="clear" w:color="auto" w:fill="D1EDF4"/>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1EDF4"/>
          </w:tcPr>
          <w:p>
            <w:pPr>
              <w:jc w:val="right"/>
              <w:spacing w:after="0"/>
              <w:rPr>
                <w:sz w:val="20"/>
                <w:szCs w:val="20"/>
                <w:color w:val="auto"/>
              </w:rPr>
            </w:pPr>
            <w:r>
              <w:rPr>
                <w:rFonts w:ascii="Arial" w:cs="Arial" w:eastAsia="Arial" w:hAnsi="Arial"/>
                <w:sz w:val="18"/>
                <w:szCs w:val="18"/>
                <w:color w:val="auto"/>
              </w:rPr>
              <w:t>471,171</w:t>
            </w:r>
          </w:p>
        </w:tc>
        <w:tc>
          <w:tcPr>
            <w:tcW w:w="22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160" w:type="dxa"/>
            <w:vAlign w:val="bottom"/>
            <w:shd w:val="clear" w:color="auto" w:fill="D1EDF4"/>
          </w:tcPr>
          <w:p>
            <w:pPr>
              <w:jc w:val="right"/>
              <w:spacing w:after="0"/>
              <w:rPr>
                <w:sz w:val="20"/>
                <w:szCs w:val="20"/>
                <w:color w:val="auto"/>
              </w:rPr>
            </w:pPr>
            <w:r>
              <w:rPr>
                <w:rFonts w:ascii="Arial" w:cs="Arial" w:eastAsia="Arial" w:hAnsi="Arial"/>
                <w:sz w:val="18"/>
                <w:szCs w:val="18"/>
                <w:color w:val="auto"/>
                <w:w w:val="79"/>
                <w:shd w:val="clear" w:color="auto" w:fill="D1EDF4"/>
              </w:rPr>
              <w:t>$</w:t>
            </w:r>
          </w:p>
        </w:tc>
        <w:tc>
          <w:tcPr>
            <w:tcW w:w="840" w:type="dxa"/>
            <w:vAlign w:val="bottom"/>
            <w:shd w:val="clear" w:color="auto" w:fill="D1EDF4"/>
          </w:tcPr>
          <w:p>
            <w:pPr>
              <w:jc w:val="right"/>
              <w:spacing w:after="0"/>
              <w:rPr>
                <w:sz w:val="20"/>
                <w:szCs w:val="20"/>
                <w:color w:val="auto"/>
              </w:rPr>
            </w:pPr>
            <w:r>
              <w:rPr>
                <w:rFonts w:ascii="Arial" w:cs="Arial" w:eastAsia="Arial" w:hAnsi="Arial"/>
                <w:sz w:val="18"/>
                <w:szCs w:val="18"/>
                <w:color w:val="auto"/>
                <w:shd w:val="clear" w:color="auto" w:fill="D1EDF4"/>
              </w:rPr>
              <w:t>462,769</w:t>
            </w:r>
          </w:p>
        </w:tc>
        <w:tc>
          <w:tcPr>
            <w:tcW w:w="300" w:type="dxa"/>
            <w:vAlign w:val="bottom"/>
            <w:shd w:val="clear" w:color="auto" w:fill="D1EDF4"/>
          </w:tcPr>
          <w:p>
            <w:pPr>
              <w:spacing w:after="0"/>
              <w:rPr>
                <w:sz w:val="18"/>
                <w:szCs w:val="18"/>
                <w:color w:val="auto"/>
              </w:rPr>
            </w:pPr>
          </w:p>
        </w:tc>
      </w:tr>
      <w:tr>
        <w:trPr>
          <w:trHeight w:val="221"/>
        </w:trPr>
        <w:tc>
          <w:tcPr>
            <w:tcW w:w="7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r>
      <w:tr>
        <w:trPr>
          <w:trHeight w:val="220"/>
        </w:trPr>
        <w:tc>
          <w:tcPr>
            <w:tcW w:w="7640" w:type="dxa"/>
            <w:vAlign w:val="bottom"/>
            <w:shd w:val="clear" w:color="auto" w:fill="D1EDF4"/>
          </w:tcPr>
          <w:p>
            <w:pPr>
              <w:ind w:left="230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80" w:type="dxa"/>
            <w:vAlign w:val="bottom"/>
            <w:shd w:val="clear" w:color="auto" w:fill="D1EDF4"/>
          </w:tcPr>
          <w:p>
            <w:pPr>
              <w:spacing w:after="0"/>
              <w:rPr>
                <w:sz w:val="19"/>
                <w:szCs w:val="19"/>
                <w:color w:val="auto"/>
              </w:rPr>
            </w:pPr>
          </w:p>
        </w:tc>
        <w:tc>
          <w:tcPr>
            <w:tcW w:w="1200" w:type="dxa"/>
            <w:vAlign w:val="bottom"/>
            <w:shd w:val="clear" w:color="auto" w:fill="D1EDF4"/>
          </w:tcPr>
          <w:p>
            <w:pPr>
              <w:spacing w:after="0"/>
              <w:rPr>
                <w:sz w:val="19"/>
                <w:szCs w:val="19"/>
                <w:color w:val="auto"/>
              </w:rPr>
            </w:pPr>
          </w:p>
        </w:tc>
        <w:tc>
          <w:tcPr>
            <w:tcW w:w="22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60" w:type="dxa"/>
            <w:vAlign w:val="bottom"/>
            <w:shd w:val="clear" w:color="auto" w:fill="D1EDF4"/>
          </w:tcPr>
          <w:p>
            <w:pPr>
              <w:spacing w:after="0"/>
              <w:rPr>
                <w:sz w:val="19"/>
                <w:szCs w:val="19"/>
                <w:color w:val="auto"/>
              </w:rPr>
            </w:pPr>
          </w:p>
        </w:tc>
        <w:tc>
          <w:tcPr>
            <w:tcW w:w="840" w:type="dxa"/>
            <w:vAlign w:val="bottom"/>
            <w:shd w:val="clear" w:color="auto" w:fill="D1EDF4"/>
          </w:tcPr>
          <w:p>
            <w:pPr>
              <w:spacing w:after="0"/>
              <w:rPr>
                <w:sz w:val="19"/>
                <w:szCs w:val="19"/>
                <w:color w:val="auto"/>
              </w:rPr>
            </w:pPr>
          </w:p>
        </w:tc>
        <w:tc>
          <w:tcPr>
            <w:tcW w:w="300" w:type="dxa"/>
            <w:vAlign w:val="bottom"/>
            <w:shd w:val="clear" w:color="auto" w:fill="D1EDF4"/>
          </w:tcPr>
          <w:p>
            <w:pPr>
              <w:spacing w:after="0"/>
              <w:rPr>
                <w:sz w:val="19"/>
                <w:szCs w:val="19"/>
                <w:color w:val="auto"/>
              </w:rPr>
            </w:pPr>
          </w:p>
        </w:tc>
      </w:tr>
      <w:tr>
        <w:trPr>
          <w:trHeight w:val="220"/>
        </w:trPr>
        <w:tc>
          <w:tcPr>
            <w:tcW w:w="7640" w:type="dxa"/>
            <w:vAlign w:val="bottom"/>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18"/>
        </w:trPr>
        <w:tc>
          <w:tcPr>
            <w:tcW w:w="7640" w:type="dxa"/>
            <w:vAlign w:val="bottom"/>
            <w:shd w:val="clear" w:color="auto" w:fill="D1EDF4"/>
          </w:tcPr>
          <w:p>
            <w:pPr>
              <w:ind w:left="240"/>
              <w:spacing w:after="0"/>
              <w:rPr>
                <w:sz w:val="20"/>
                <w:szCs w:val="20"/>
                <w:color w:val="auto"/>
              </w:rPr>
            </w:pPr>
            <w:r>
              <w:rPr>
                <w:rFonts w:ascii="Arial" w:cs="Arial" w:eastAsia="Arial" w:hAnsi="Arial"/>
                <w:sz w:val="18"/>
                <w:szCs w:val="18"/>
                <w:color w:val="auto"/>
              </w:rPr>
              <w:t>Accounts payable</w:t>
            </w:r>
          </w:p>
        </w:tc>
        <w:tc>
          <w:tcPr>
            <w:tcW w:w="420" w:type="dxa"/>
            <w:vAlign w:val="bottom"/>
            <w:gridSpan w:val="3"/>
            <w:shd w:val="clear" w:color="auto" w:fill="D1EDF4"/>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1EDF4"/>
          </w:tcPr>
          <w:p>
            <w:pPr>
              <w:jc w:val="right"/>
              <w:spacing w:after="0"/>
              <w:rPr>
                <w:sz w:val="20"/>
                <w:szCs w:val="20"/>
                <w:color w:val="auto"/>
              </w:rPr>
            </w:pPr>
            <w:r>
              <w:rPr>
                <w:rFonts w:ascii="Arial" w:cs="Arial" w:eastAsia="Arial" w:hAnsi="Arial"/>
                <w:sz w:val="18"/>
                <w:szCs w:val="18"/>
                <w:color w:val="auto"/>
              </w:rPr>
              <w:t>100,693</w:t>
            </w:r>
          </w:p>
        </w:tc>
        <w:tc>
          <w:tcPr>
            <w:tcW w:w="22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160" w:type="dxa"/>
            <w:vAlign w:val="bottom"/>
            <w:shd w:val="clear" w:color="auto" w:fill="D1EDF4"/>
          </w:tcPr>
          <w:p>
            <w:pPr>
              <w:jc w:val="right"/>
              <w:spacing w:after="0"/>
              <w:rPr>
                <w:sz w:val="20"/>
                <w:szCs w:val="20"/>
                <w:color w:val="auto"/>
              </w:rPr>
            </w:pPr>
            <w:r>
              <w:rPr>
                <w:rFonts w:ascii="Arial" w:cs="Arial" w:eastAsia="Arial" w:hAnsi="Arial"/>
                <w:sz w:val="18"/>
                <w:szCs w:val="18"/>
                <w:color w:val="auto"/>
                <w:w w:val="79"/>
                <w:shd w:val="clear" w:color="auto" w:fill="D1EDF4"/>
              </w:rPr>
              <w:t>$</w:t>
            </w:r>
          </w:p>
        </w:tc>
        <w:tc>
          <w:tcPr>
            <w:tcW w:w="840" w:type="dxa"/>
            <w:vAlign w:val="bottom"/>
            <w:shd w:val="clear" w:color="auto" w:fill="D1EDF4"/>
          </w:tcPr>
          <w:p>
            <w:pPr>
              <w:jc w:val="right"/>
              <w:spacing w:after="0"/>
              <w:rPr>
                <w:sz w:val="20"/>
                <w:szCs w:val="20"/>
                <w:color w:val="auto"/>
              </w:rPr>
            </w:pPr>
            <w:r>
              <w:rPr>
                <w:rFonts w:ascii="Arial" w:cs="Arial" w:eastAsia="Arial" w:hAnsi="Arial"/>
                <w:sz w:val="18"/>
                <w:szCs w:val="18"/>
                <w:color w:val="auto"/>
                <w:shd w:val="clear" w:color="auto" w:fill="D1EDF4"/>
              </w:rPr>
              <w:t>102,456</w:t>
            </w:r>
          </w:p>
        </w:tc>
        <w:tc>
          <w:tcPr>
            <w:tcW w:w="300" w:type="dxa"/>
            <w:vAlign w:val="bottom"/>
            <w:shd w:val="clear" w:color="auto" w:fill="D1EDF4"/>
          </w:tcPr>
          <w:p>
            <w:pPr>
              <w:spacing w:after="0"/>
              <w:rPr>
                <w:sz w:val="18"/>
                <w:szCs w:val="18"/>
                <w:color w:val="auto"/>
              </w:rPr>
            </w:pPr>
          </w:p>
        </w:tc>
      </w:tr>
      <w:tr>
        <w:trPr>
          <w:trHeight w:val="220"/>
        </w:trPr>
        <w:tc>
          <w:tcPr>
            <w:tcW w:w="7640" w:type="dxa"/>
            <w:vAlign w:val="bottom"/>
          </w:tcPr>
          <w:p>
            <w:pPr>
              <w:ind w:left="240"/>
              <w:spacing w:after="0"/>
              <w:rPr>
                <w:sz w:val="20"/>
                <w:szCs w:val="20"/>
                <w:color w:val="auto"/>
              </w:rPr>
            </w:pPr>
            <w:r>
              <w:rPr>
                <w:rFonts w:ascii="Arial" w:cs="Arial" w:eastAsia="Arial" w:hAnsi="Arial"/>
                <w:sz w:val="18"/>
                <w:szCs w:val="18"/>
                <w:color w:val="auto"/>
              </w:rPr>
              <w:t>Operating lease liabilities</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44,397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47,724</w:t>
            </w:r>
          </w:p>
        </w:tc>
        <w:tc>
          <w:tcPr>
            <w:tcW w:w="300" w:type="dxa"/>
            <w:vAlign w:val="bottom"/>
          </w:tcPr>
          <w:p>
            <w:pPr>
              <w:spacing w:after="0"/>
              <w:rPr>
                <w:sz w:val="19"/>
                <w:szCs w:val="19"/>
                <w:color w:val="auto"/>
              </w:rPr>
            </w:pPr>
          </w:p>
        </w:tc>
      </w:tr>
      <w:tr>
        <w:trPr>
          <w:trHeight w:val="220"/>
        </w:trPr>
        <w:tc>
          <w:tcPr>
            <w:tcW w:w="7640" w:type="dxa"/>
            <w:vAlign w:val="bottom"/>
            <w:shd w:val="clear" w:color="auto" w:fill="D1EDF4"/>
          </w:tcPr>
          <w:p>
            <w:pPr>
              <w:ind w:left="240"/>
              <w:spacing w:after="0"/>
              <w:rPr>
                <w:sz w:val="20"/>
                <w:szCs w:val="20"/>
                <w:color w:val="auto"/>
              </w:rPr>
            </w:pPr>
            <w:r>
              <w:rPr>
                <w:rFonts w:ascii="Arial" w:cs="Arial" w:eastAsia="Arial" w:hAnsi="Arial"/>
                <w:sz w:val="18"/>
                <w:szCs w:val="18"/>
                <w:color w:val="auto"/>
              </w:rPr>
              <w:t>Accrued expenses</w:t>
            </w:r>
          </w:p>
        </w:tc>
        <w:tc>
          <w:tcPr>
            <w:tcW w:w="22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80" w:type="dxa"/>
            <w:vAlign w:val="bottom"/>
            <w:shd w:val="clear" w:color="auto" w:fill="D1EDF4"/>
          </w:tcPr>
          <w:p>
            <w:pPr>
              <w:spacing w:after="0"/>
              <w:rPr>
                <w:sz w:val="19"/>
                <w:szCs w:val="19"/>
                <w:color w:val="auto"/>
              </w:rPr>
            </w:pPr>
          </w:p>
        </w:tc>
        <w:tc>
          <w:tcPr>
            <w:tcW w:w="1200" w:type="dxa"/>
            <w:vAlign w:val="bottom"/>
            <w:shd w:val="clear" w:color="auto" w:fill="D1EDF4"/>
          </w:tcPr>
          <w:p>
            <w:pPr>
              <w:jc w:val="right"/>
              <w:spacing w:after="0"/>
              <w:rPr>
                <w:sz w:val="20"/>
                <w:szCs w:val="20"/>
                <w:color w:val="auto"/>
              </w:rPr>
            </w:pPr>
            <w:r>
              <w:rPr>
                <w:rFonts w:ascii="Arial" w:cs="Arial" w:eastAsia="Arial" w:hAnsi="Arial"/>
                <w:sz w:val="18"/>
                <w:szCs w:val="18"/>
                <w:color w:val="auto"/>
              </w:rPr>
              <w:t>15,134</w:t>
            </w:r>
          </w:p>
        </w:tc>
        <w:tc>
          <w:tcPr>
            <w:tcW w:w="22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60" w:type="dxa"/>
            <w:vAlign w:val="bottom"/>
            <w:shd w:val="clear" w:color="auto" w:fill="D1EDF4"/>
          </w:tcPr>
          <w:p>
            <w:pPr>
              <w:spacing w:after="0"/>
              <w:rPr>
                <w:sz w:val="19"/>
                <w:szCs w:val="19"/>
                <w:color w:val="auto"/>
              </w:rPr>
            </w:pPr>
          </w:p>
        </w:tc>
        <w:tc>
          <w:tcPr>
            <w:tcW w:w="840" w:type="dxa"/>
            <w:vAlign w:val="bottom"/>
            <w:shd w:val="clear" w:color="auto" w:fill="D1EDF4"/>
          </w:tcPr>
          <w:p>
            <w:pPr>
              <w:jc w:val="right"/>
              <w:spacing w:after="0"/>
              <w:rPr>
                <w:sz w:val="20"/>
                <w:szCs w:val="20"/>
                <w:color w:val="auto"/>
              </w:rPr>
            </w:pPr>
            <w:r>
              <w:rPr>
                <w:rFonts w:ascii="Arial" w:cs="Arial" w:eastAsia="Arial" w:hAnsi="Arial"/>
                <w:sz w:val="18"/>
                <w:szCs w:val="18"/>
                <w:color w:val="auto"/>
                <w:shd w:val="clear" w:color="auto" w:fill="D1EDF4"/>
              </w:rPr>
              <w:t>16,647</w:t>
            </w:r>
          </w:p>
        </w:tc>
        <w:tc>
          <w:tcPr>
            <w:tcW w:w="300" w:type="dxa"/>
            <w:vAlign w:val="bottom"/>
            <w:shd w:val="clear" w:color="auto" w:fill="D1EDF4"/>
          </w:tcPr>
          <w:p>
            <w:pPr>
              <w:spacing w:after="0"/>
              <w:rPr>
                <w:sz w:val="19"/>
                <w:szCs w:val="19"/>
                <w:color w:val="auto"/>
              </w:rPr>
            </w:pPr>
          </w:p>
        </w:tc>
      </w:tr>
      <w:tr>
        <w:trPr>
          <w:trHeight w:val="220"/>
        </w:trPr>
        <w:tc>
          <w:tcPr>
            <w:tcW w:w="7640" w:type="dxa"/>
            <w:vAlign w:val="bottom"/>
          </w:tcPr>
          <w:p>
            <w:pPr>
              <w:ind w:left="240"/>
              <w:spacing w:after="0"/>
              <w:rPr>
                <w:sz w:val="20"/>
                <w:szCs w:val="20"/>
                <w:color w:val="auto"/>
              </w:rPr>
            </w:pPr>
            <w:r>
              <w:rPr>
                <w:rFonts w:ascii="Arial" w:cs="Arial" w:eastAsia="Arial" w:hAnsi="Arial"/>
                <w:sz w:val="18"/>
                <w:szCs w:val="18"/>
                <w:color w:val="auto"/>
              </w:rPr>
              <w:t>Accrued compensation</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12,800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7,176</w:t>
            </w:r>
          </w:p>
        </w:tc>
        <w:tc>
          <w:tcPr>
            <w:tcW w:w="300" w:type="dxa"/>
            <w:vAlign w:val="bottom"/>
          </w:tcPr>
          <w:p>
            <w:pPr>
              <w:spacing w:after="0"/>
              <w:rPr>
                <w:sz w:val="19"/>
                <w:szCs w:val="19"/>
                <w:color w:val="auto"/>
              </w:rPr>
            </w:pPr>
          </w:p>
        </w:tc>
      </w:tr>
      <w:tr>
        <w:trPr>
          <w:trHeight w:val="220"/>
        </w:trPr>
        <w:tc>
          <w:tcPr>
            <w:tcW w:w="7640" w:type="dxa"/>
            <w:vAlign w:val="bottom"/>
            <w:shd w:val="clear" w:color="auto" w:fill="D1EDF4"/>
          </w:tcPr>
          <w:p>
            <w:pPr>
              <w:ind w:left="240"/>
              <w:spacing w:after="0"/>
              <w:rPr>
                <w:sz w:val="20"/>
                <w:szCs w:val="20"/>
                <w:color w:val="auto"/>
              </w:rPr>
            </w:pPr>
            <w:r>
              <w:rPr>
                <w:rFonts w:ascii="Arial" w:cs="Arial" w:eastAsia="Arial" w:hAnsi="Arial"/>
                <w:sz w:val="18"/>
                <w:szCs w:val="18"/>
                <w:color w:val="auto"/>
              </w:rPr>
              <w:t>Layaway deposits</w:t>
            </w:r>
          </w:p>
        </w:tc>
        <w:tc>
          <w:tcPr>
            <w:tcW w:w="22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80" w:type="dxa"/>
            <w:vAlign w:val="bottom"/>
            <w:tcBorders>
              <w:bottom w:val="single" w:sz="8" w:color="auto"/>
            </w:tcBorders>
            <w:shd w:val="clear" w:color="auto" w:fill="D1EDF4"/>
          </w:tcPr>
          <w:p>
            <w:pPr>
              <w:spacing w:after="0"/>
              <w:rPr>
                <w:sz w:val="19"/>
                <w:szCs w:val="19"/>
                <w:color w:val="auto"/>
              </w:rPr>
            </w:pPr>
          </w:p>
        </w:tc>
        <w:tc>
          <w:tcPr>
            <w:tcW w:w="1200" w:type="dxa"/>
            <w:vAlign w:val="bottom"/>
            <w:tcBorders>
              <w:bottom w:val="single" w:sz="8" w:color="auto"/>
            </w:tcBorders>
            <w:shd w:val="clear" w:color="auto" w:fill="D1EDF4"/>
          </w:tcPr>
          <w:p>
            <w:pPr>
              <w:jc w:val="right"/>
              <w:spacing w:after="0"/>
              <w:rPr>
                <w:sz w:val="20"/>
                <w:szCs w:val="20"/>
                <w:color w:val="auto"/>
              </w:rPr>
            </w:pPr>
            <w:r>
              <w:rPr>
                <w:rFonts w:ascii="Arial" w:cs="Arial" w:eastAsia="Arial" w:hAnsi="Arial"/>
                <w:sz w:val="18"/>
                <w:szCs w:val="18"/>
                <w:color w:val="auto"/>
              </w:rPr>
              <w:t>383</w:t>
            </w:r>
          </w:p>
        </w:tc>
        <w:tc>
          <w:tcPr>
            <w:tcW w:w="22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60" w:type="dxa"/>
            <w:vAlign w:val="bottom"/>
            <w:tcBorders>
              <w:bottom w:val="single" w:sz="8" w:color="auto"/>
            </w:tcBorders>
            <w:shd w:val="clear" w:color="auto" w:fill="D1EDF4"/>
          </w:tcPr>
          <w:p>
            <w:pPr>
              <w:spacing w:after="0"/>
              <w:rPr>
                <w:sz w:val="19"/>
                <w:szCs w:val="19"/>
                <w:color w:val="auto"/>
              </w:rPr>
            </w:pPr>
          </w:p>
        </w:tc>
        <w:tc>
          <w:tcPr>
            <w:tcW w:w="840" w:type="dxa"/>
            <w:vAlign w:val="bottom"/>
            <w:tcBorders>
              <w:bottom w:val="single" w:sz="8" w:color="auto"/>
            </w:tcBorders>
            <w:shd w:val="clear" w:color="auto" w:fill="D1EDF4"/>
          </w:tcPr>
          <w:p>
            <w:pPr>
              <w:jc w:val="right"/>
              <w:spacing w:after="0"/>
              <w:rPr>
                <w:sz w:val="20"/>
                <w:szCs w:val="20"/>
                <w:color w:val="auto"/>
              </w:rPr>
            </w:pPr>
            <w:r>
              <w:rPr>
                <w:rFonts w:ascii="Arial" w:cs="Arial" w:eastAsia="Arial" w:hAnsi="Arial"/>
                <w:sz w:val="18"/>
                <w:szCs w:val="18"/>
                <w:color w:val="auto"/>
              </w:rPr>
              <w:t>388</w:t>
            </w:r>
          </w:p>
        </w:tc>
        <w:tc>
          <w:tcPr>
            <w:tcW w:w="300" w:type="dxa"/>
            <w:vAlign w:val="bottom"/>
            <w:shd w:val="clear" w:color="auto" w:fill="D1EDF4"/>
          </w:tcPr>
          <w:p>
            <w:pPr>
              <w:spacing w:after="0"/>
              <w:rPr>
                <w:sz w:val="19"/>
                <w:szCs w:val="19"/>
                <w:color w:val="auto"/>
              </w:rPr>
            </w:pPr>
          </w:p>
        </w:tc>
      </w:tr>
      <w:tr>
        <w:trPr>
          <w:trHeight w:val="209"/>
        </w:trPr>
        <w:tc>
          <w:tcPr>
            <w:tcW w:w="764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173,407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174,391</w:t>
            </w:r>
          </w:p>
        </w:tc>
        <w:tc>
          <w:tcPr>
            <w:tcW w:w="300" w:type="dxa"/>
            <w:vAlign w:val="bottom"/>
          </w:tcPr>
          <w:p>
            <w:pPr>
              <w:spacing w:after="0"/>
              <w:rPr>
                <w:sz w:val="18"/>
                <w:szCs w:val="18"/>
                <w:color w:val="auto"/>
              </w:rPr>
            </w:pPr>
          </w:p>
        </w:tc>
      </w:tr>
      <w:tr>
        <w:trPr>
          <w:trHeight w:val="220"/>
        </w:trPr>
        <w:tc>
          <w:tcPr>
            <w:tcW w:w="7640" w:type="dxa"/>
            <w:vAlign w:val="bottom"/>
            <w:shd w:val="clear" w:color="auto" w:fill="D1EDF4"/>
          </w:tcPr>
          <w:p>
            <w:pPr>
              <w:spacing w:after="0"/>
              <w:rPr>
                <w:sz w:val="20"/>
                <w:szCs w:val="20"/>
                <w:color w:val="auto"/>
              </w:rPr>
            </w:pPr>
            <w:r>
              <w:rPr>
                <w:rFonts w:ascii="Arial" w:cs="Arial" w:eastAsia="Arial" w:hAnsi="Arial"/>
                <w:sz w:val="18"/>
                <w:szCs w:val="18"/>
                <w:color w:val="auto"/>
              </w:rPr>
              <w:t>Noncurrent operating lease liabilities</w:t>
            </w:r>
          </w:p>
        </w:tc>
        <w:tc>
          <w:tcPr>
            <w:tcW w:w="22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80" w:type="dxa"/>
            <w:vAlign w:val="bottom"/>
            <w:shd w:val="clear" w:color="auto" w:fill="D1EDF4"/>
          </w:tcPr>
          <w:p>
            <w:pPr>
              <w:spacing w:after="0"/>
              <w:rPr>
                <w:sz w:val="19"/>
                <w:szCs w:val="19"/>
                <w:color w:val="auto"/>
              </w:rPr>
            </w:pPr>
          </w:p>
        </w:tc>
        <w:tc>
          <w:tcPr>
            <w:tcW w:w="1200" w:type="dxa"/>
            <w:vAlign w:val="bottom"/>
            <w:shd w:val="clear" w:color="auto" w:fill="D1EDF4"/>
          </w:tcPr>
          <w:p>
            <w:pPr>
              <w:jc w:val="right"/>
              <w:spacing w:after="0"/>
              <w:rPr>
                <w:sz w:val="20"/>
                <w:szCs w:val="20"/>
                <w:color w:val="auto"/>
              </w:rPr>
            </w:pPr>
            <w:r>
              <w:rPr>
                <w:rFonts w:ascii="Arial" w:cs="Arial" w:eastAsia="Arial" w:hAnsi="Arial"/>
                <w:sz w:val="18"/>
                <w:szCs w:val="18"/>
                <w:color w:val="auto"/>
              </w:rPr>
              <w:t>178,921</w:t>
            </w:r>
          </w:p>
        </w:tc>
        <w:tc>
          <w:tcPr>
            <w:tcW w:w="22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60" w:type="dxa"/>
            <w:vAlign w:val="bottom"/>
            <w:shd w:val="clear" w:color="auto" w:fill="D1EDF4"/>
          </w:tcPr>
          <w:p>
            <w:pPr>
              <w:spacing w:after="0"/>
              <w:rPr>
                <w:sz w:val="19"/>
                <w:szCs w:val="19"/>
                <w:color w:val="auto"/>
              </w:rPr>
            </w:pPr>
          </w:p>
        </w:tc>
        <w:tc>
          <w:tcPr>
            <w:tcW w:w="840" w:type="dxa"/>
            <w:vAlign w:val="bottom"/>
            <w:shd w:val="clear" w:color="auto" w:fill="D1EDF4"/>
          </w:tcPr>
          <w:p>
            <w:pPr>
              <w:jc w:val="right"/>
              <w:spacing w:after="0"/>
              <w:rPr>
                <w:sz w:val="20"/>
                <w:szCs w:val="20"/>
                <w:color w:val="auto"/>
              </w:rPr>
            </w:pPr>
            <w:r>
              <w:rPr>
                <w:rFonts w:ascii="Arial" w:cs="Arial" w:eastAsia="Arial" w:hAnsi="Arial"/>
                <w:sz w:val="18"/>
                <w:szCs w:val="18"/>
                <w:color w:val="auto"/>
                <w:shd w:val="clear" w:color="auto" w:fill="D1EDF4"/>
              </w:rPr>
              <w:t>172,675</w:t>
            </w:r>
          </w:p>
        </w:tc>
        <w:tc>
          <w:tcPr>
            <w:tcW w:w="300" w:type="dxa"/>
            <w:vAlign w:val="bottom"/>
            <w:shd w:val="clear" w:color="auto" w:fill="D1EDF4"/>
          </w:tcPr>
          <w:p>
            <w:pPr>
              <w:spacing w:after="0"/>
              <w:rPr>
                <w:sz w:val="19"/>
                <w:szCs w:val="19"/>
                <w:color w:val="auto"/>
              </w:rPr>
            </w:pPr>
          </w:p>
        </w:tc>
      </w:tr>
      <w:tr>
        <w:trPr>
          <w:trHeight w:val="220"/>
        </w:trPr>
        <w:tc>
          <w:tcPr>
            <w:tcW w:w="7640" w:type="dxa"/>
            <w:vAlign w:val="bottom"/>
          </w:tcPr>
          <w:p>
            <w:pPr>
              <w:spacing w:after="0"/>
              <w:rPr>
                <w:sz w:val="20"/>
                <w:szCs w:val="20"/>
                <w:color w:val="auto"/>
              </w:rPr>
            </w:pPr>
            <w:r>
              <w:rPr>
                <w:rFonts w:ascii="Arial" w:cs="Arial" w:eastAsia="Arial" w:hAnsi="Arial"/>
                <w:sz w:val="18"/>
                <w:szCs w:val="18"/>
                <w:color w:val="auto"/>
              </w:rPr>
              <w:t>Deferred Tax Liability</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142</w:t>
            </w:r>
          </w:p>
        </w:tc>
        <w:tc>
          <w:tcPr>
            <w:tcW w:w="300" w:type="dxa"/>
            <w:vAlign w:val="bottom"/>
          </w:tcPr>
          <w:p>
            <w:pPr>
              <w:spacing w:after="0"/>
              <w:rPr>
                <w:sz w:val="19"/>
                <w:szCs w:val="19"/>
                <w:color w:val="auto"/>
              </w:rPr>
            </w:pPr>
          </w:p>
        </w:tc>
      </w:tr>
      <w:tr>
        <w:trPr>
          <w:trHeight w:val="220"/>
        </w:trPr>
        <w:tc>
          <w:tcPr>
            <w:tcW w:w="7640" w:type="dxa"/>
            <w:vAlign w:val="bottom"/>
            <w:shd w:val="clear" w:color="auto" w:fill="D1EDF4"/>
          </w:tcPr>
          <w:p>
            <w:pPr>
              <w:spacing w:after="0"/>
              <w:rPr>
                <w:sz w:val="20"/>
                <w:szCs w:val="20"/>
                <w:color w:val="auto"/>
              </w:rPr>
            </w:pPr>
            <w:r>
              <w:rPr>
                <w:rFonts w:ascii="Arial" w:cs="Arial" w:eastAsia="Arial" w:hAnsi="Arial"/>
                <w:sz w:val="18"/>
                <w:szCs w:val="18"/>
                <w:color w:val="auto"/>
              </w:rPr>
              <w:t>Other long-term liabilities</w:t>
            </w:r>
          </w:p>
        </w:tc>
        <w:tc>
          <w:tcPr>
            <w:tcW w:w="22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80" w:type="dxa"/>
            <w:vAlign w:val="bottom"/>
            <w:tcBorders>
              <w:bottom w:val="single" w:sz="8" w:color="auto"/>
            </w:tcBorders>
            <w:shd w:val="clear" w:color="auto" w:fill="D1EDF4"/>
          </w:tcPr>
          <w:p>
            <w:pPr>
              <w:spacing w:after="0"/>
              <w:rPr>
                <w:sz w:val="19"/>
                <w:szCs w:val="19"/>
                <w:color w:val="auto"/>
              </w:rPr>
            </w:pPr>
          </w:p>
        </w:tc>
        <w:tc>
          <w:tcPr>
            <w:tcW w:w="1200" w:type="dxa"/>
            <w:vAlign w:val="bottom"/>
            <w:tcBorders>
              <w:bottom w:val="single" w:sz="8" w:color="auto"/>
            </w:tcBorders>
            <w:shd w:val="clear" w:color="auto" w:fill="D1EDF4"/>
          </w:tcPr>
          <w:p>
            <w:pPr>
              <w:jc w:val="right"/>
              <w:spacing w:after="0"/>
              <w:rPr>
                <w:sz w:val="20"/>
                <w:szCs w:val="20"/>
                <w:color w:val="auto"/>
              </w:rPr>
            </w:pPr>
            <w:r>
              <w:rPr>
                <w:rFonts w:ascii="Arial" w:cs="Arial" w:eastAsia="Arial" w:hAnsi="Arial"/>
                <w:sz w:val="18"/>
                <w:szCs w:val="18"/>
                <w:color w:val="auto"/>
              </w:rPr>
              <w:t>2,278</w:t>
            </w:r>
          </w:p>
        </w:tc>
        <w:tc>
          <w:tcPr>
            <w:tcW w:w="22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60" w:type="dxa"/>
            <w:vAlign w:val="bottom"/>
            <w:tcBorders>
              <w:bottom w:val="single" w:sz="8" w:color="auto"/>
            </w:tcBorders>
            <w:shd w:val="clear" w:color="auto" w:fill="D1EDF4"/>
          </w:tcPr>
          <w:p>
            <w:pPr>
              <w:spacing w:after="0"/>
              <w:rPr>
                <w:sz w:val="19"/>
                <w:szCs w:val="19"/>
                <w:color w:val="auto"/>
              </w:rPr>
            </w:pPr>
          </w:p>
        </w:tc>
        <w:tc>
          <w:tcPr>
            <w:tcW w:w="840" w:type="dxa"/>
            <w:vAlign w:val="bottom"/>
            <w:tcBorders>
              <w:bottom w:val="single" w:sz="8" w:color="auto"/>
            </w:tcBorders>
            <w:shd w:val="clear" w:color="auto" w:fill="D1EDF4"/>
          </w:tcPr>
          <w:p>
            <w:pPr>
              <w:jc w:val="right"/>
              <w:spacing w:after="0"/>
              <w:rPr>
                <w:sz w:val="20"/>
                <w:szCs w:val="20"/>
                <w:color w:val="auto"/>
              </w:rPr>
            </w:pPr>
            <w:r>
              <w:rPr>
                <w:rFonts w:ascii="Arial" w:cs="Arial" w:eastAsia="Arial" w:hAnsi="Arial"/>
                <w:sz w:val="18"/>
                <w:szCs w:val="18"/>
                <w:color w:val="auto"/>
              </w:rPr>
              <w:t>2,385</w:t>
            </w:r>
          </w:p>
        </w:tc>
        <w:tc>
          <w:tcPr>
            <w:tcW w:w="300" w:type="dxa"/>
            <w:vAlign w:val="bottom"/>
            <w:shd w:val="clear" w:color="auto" w:fill="D1EDF4"/>
          </w:tcPr>
          <w:p>
            <w:pPr>
              <w:spacing w:after="0"/>
              <w:rPr>
                <w:sz w:val="19"/>
                <w:szCs w:val="19"/>
                <w:color w:val="auto"/>
              </w:rPr>
            </w:pPr>
          </w:p>
        </w:tc>
      </w:tr>
      <w:tr>
        <w:trPr>
          <w:trHeight w:val="209"/>
        </w:trPr>
        <w:tc>
          <w:tcPr>
            <w:tcW w:w="7640" w:type="dxa"/>
            <w:vAlign w:val="bottom"/>
            <w:tcBorders>
              <w:bottom w:val="single" w:sz="8" w:color="D1EDF4"/>
            </w:tcBorders>
          </w:tcPr>
          <w:p>
            <w:pPr>
              <w:ind w:left="36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D1EDF4"/>
            </w:tcBorders>
          </w:tcPr>
          <w:p>
            <w:pPr>
              <w:spacing w:after="0"/>
              <w:rPr>
                <w:sz w:val="18"/>
                <w:szCs w:val="18"/>
                <w:color w:val="auto"/>
              </w:rPr>
            </w:pPr>
          </w:p>
        </w:tc>
        <w:tc>
          <w:tcPr>
            <w:tcW w:w="20" w:type="dxa"/>
            <w:vAlign w:val="bottom"/>
            <w:tcBorders>
              <w:bottom w:val="single" w:sz="8" w:color="D1EDF4"/>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354,851</w:t>
            </w:r>
          </w:p>
        </w:tc>
        <w:tc>
          <w:tcPr>
            <w:tcW w:w="220" w:type="dxa"/>
            <w:vAlign w:val="bottom"/>
            <w:tcBorders>
              <w:bottom w:val="single" w:sz="8" w:color="D1EDF4"/>
            </w:tcBorders>
          </w:tcPr>
          <w:p>
            <w:pPr>
              <w:spacing w:after="0"/>
              <w:rPr>
                <w:sz w:val="18"/>
                <w:szCs w:val="18"/>
                <w:color w:val="auto"/>
              </w:rPr>
            </w:pPr>
          </w:p>
        </w:tc>
        <w:tc>
          <w:tcPr>
            <w:tcW w:w="20" w:type="dxa"/>
            <w:vAlign w:val="bottom"/>
            <w:tcBorders>
              <w:bottom w:val="single" w:sz="8" w:color="D1EDF4"/>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349,593</w:t>
            </w:r>
          </w:p>
        </w:tc>
        <w:tc>
          <w:tcPr>
            <w:tcW w:w="300" w:type="dxa"/>
            <w:vAlign w:val="bottom"/>
            <w:tcBorders>
              <w:bottom w:val="single" w:sz="8" w:color="D1EDF4"/>
            </w:tcBorders>
          </w:tcPr>
          <w:p>
            <w:pPr>
              <w:spacing w:after="0"/>
              <w:rPr>
                <w:sz w:val="18"/>
                <w:szCs w:val="18"/>
                <w:color w:val="auto"/>
              </w:rPr>
            </w:pPr>
          </w:p>
        </w:tc>
      </w:tr>
      <w:tr>
        <w:trPr>
          <w:trHeight w:val="209"/>
        </w:trPr>
        <w:tc>
          <w:tcPr>
            <w:tcW w:w="7640" w:type="dxa"/>
            <w:vAlign w:val="bottom"/>
            <w:shd w:val="clear" w:color="auto" w:fill="D1EDF4"/>
          </w:tcPr>
          <w:p>
            <w:pPr>
              <w:spacing w:after="0"/>
              <w:rPr>
                <w:sz w:val="18"/>
                <w:szCs w:val="18"/>
                <w:color w:val="auto"/>
              </w:rPr>
            </w:pPr>
          </w:p>
        </w:tc>
        <w:tc>
          <w:tcPr>
            <w:tcW w:w="22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180" w:type="dxa"/>
            <w:vAlign w:val="bottom"/>
            <w:shd w:val="clear" w:color="auto" w:fill="D1EDF4"/>
          </w:tcPr>
          <w:p>
            <w:pPr>
              <w:spacing w:after="0"/>
              <w:rPr>
                <w:sz w:val="18"/>
                <w:szCs w:val="18"/>
                <w:color w:val="auto"/>
              </w:rPr>
            </w:pPr>
          </w:p>
        </w:tc>
        <w:tc>
          <w:tcPr>
            <w:tcW w:w="1200" w:type="dxa"/>
            <w:vAlign w:val="bottom"/>
            <w:shd w:val="clear" w:color="auto" w:fill="D1EDF4"/>
          </w:tcPr>
          <w:p>
            <w:pPr>
              <w:spacing w:after="0"/>
              <w:rPr>
                <w:sz w:val="18"/>
                <w:szCs w:val="18"/>
                <w:color w:val="auto"/>
              </w:rPr>
            </w:pPr>
          </w:p>
        </w:tc>
        <w:tc>
          <w:tcPr>
            <w:tcW w:w="22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160" w:type="dxa"/>
            <w:vAlign w:val="bottom"/>
            <w:shd w:val="clear" w:color="auto" w:fill="D1EDF4"/>
          </w:tcPr>
          <w:p>
            <w:pPr>
              <w:spacing w:after="0"/>
              <w:rPr>
                <w:sz w:val="18"/>
                <w:szCs w:val="18"/>
                <w:color w:val="auto"/>
              </w:rPr>
            </w:pPr>
          </w:p>
        </w:tc>
        <w:tc>
          <w:tcPr>
            <w:tcW w:w="840" w:type="dxa"/>
            <w:vAlign w:val="bottom"/>
            <w:shd w:val="clear" w:color="auto" w:fill="D1EDF4"/>
          </w:tcPr>
          <w:p>
            <w:pPr>
              <w:spacing w:after="0"/>
              <w:rPr>
                <w:sz w:val="18"/>
                <w:szCs w:val="18"/>
                <w:color w:val="auto"/>
              </w:rPr>
            </w:pPr>
          </w:p>
        </w:tc>
        <w:tc>
          <w:tcPr>
            <w:tcW w:w="300" w:type="dxa"/>
            <w:vAlign w:val="bottom"/>
            <w:shd w:val="clear" w:color="auto" w:fill="D1EDF4"/>
          </w:tcPr>
          <w:p>
            <w:pPr>
              <w:spacing w:after="0"/>
              <w:rPr>
                <w:sz w:val="18"/>
                <w:szCs w:val="18"/>
                <w:color w:val="auto"/>
              </w:rPr>
            </w:pPr>
          </w:p>
        </w:tc>
      </w:tr>
      <w:tr>
        <w:trPr>
          <w:trHeight w:val="220"/>
        </w:trPr>
        <w:tc>
          <w:tcPr>
            <w:tcW w:w="7640" w:type="dxa"/>
            <w:vAlign w:val="bottom"/>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189"/>
        </w:trPr>
        <w:tc>
          <w:tcPr>
            <w:tcW w:w="7640" w:type="dxa"/>
            <w:vAlign w:val="bottom"/>
            <w:shd w:val="clear" w:color="auto" w:fill="D1EDF4"/>
          </w:tcPr>
          <w:p>
            <w:pPr>
              <w:ind w:left="240"/>
              <w:spacing w:after="0" w:line="189" w:lineRule="exact"/>
              <w:rPr>
                <w:sz w:val="20"/>
                <w:szCs w:val="20"/>
                <w:color w:val="auto"/>
              </w:rPr>
            </w:pPr>
            <w:r>
              <w:rPr>
                <w:rFonts w:ascii="Arial" w:cs="Arial" w:eastAsia="Arial" w:hAnsi="Arial"/>
                <w:sz w:val="18"/>
                <w:szCs w:val="18"/>
                <w:color w:val="auto"/>
              </w:rPr>
              <w:t>Common stock, $0.01 par value. Authorized 32,000,000 shares; 16,545,723 shares issued</w:t>
            </w:r>
          </w:p>
        </w:tc>
        <w:tc>
          <w:tcPr>
            <w:tcW w:w="220" w:type="dxa"/>
            <w:vAlign w:val="bottom"/>
            <w:shd w:val="clear" w:color="auto" w:fill="D1EDF4"/>
          </w:tcPr>
          <w:p>
            <w:pPr>
              <w:spacing w:after="0"/>
              <w:rPr>
                <w:sz w:val="16"/>
                <w:szCs w:val="16"/>
                <w:color w:val="auto"/>
              </w:rPr>
            </w:pPr>
          </w:p>
        </w:tc>
        <w:tc>
          <w:tcPr>
            <w:tcW w:w="20" w:type="dxa"/>
            <w:vAlign w:val="bottom"/>
            <w:shd w:val="clear" w:color="auto" w:fill="D1EDF4"/>
          </w:tcPr>
          <w:p>
            <w:pPr>
              <w:spacing w:after="0"/>
              <w:rPr>
                <w:sz w:val="16"/>
                <w:szCs w:val="16"/>
                <w:color w:val="auto"/>
              </w:rPr>
            </w:pPr>
          </w:p>
        </w:tc>
        <w:tc>
          <w:tcPr>
            <w:tcW w:w="180" w:type="dxa"/>
            <w:vAlign w:val="bottom"/>
            <w:shd w:val="clear" w:color="auto" w:fill="D1EDF4"/>
          </w:tcPr>
          <w:p>
            <w:pPr>
              <w:spacing w:after="0"/>
              <w:rPr>
                <w:sz w:val="16"/>
                <w:szCs w:val="16"/>
                <w:color w:val="auto"/>
              </w:rPr>
            </w:pPr>
          </w:p>
        </w:tc>
        <w:tc>
          <w:tcPr>
            <w:tcW w:w="1200" w:type="dxa"/>
            <w:vAlign w:val="bottom"/>
            <w:shd w:val="clear" w:color="auto" w:fill="D1EDF4"/>
          </w:tcPr>
          <w:p>
            <w:pPr>
              <w:spacing w:after="0"/>
              <w:rPr>
                <w:sz w:val="16"/>
                <w:szCs w:val="16"/>
                <w:color w:val="auto"/>
              </w:rPr>
            </w:pPr>
          </w:p>
        </w:tc>
        <w:tc>
          <w:tcPr>
            <w:tcW w:w="220" w:type="dxa"/>
            <w:vAlign w:val="bottom"/>
            <w:shd w:val="clear" w:color="auto" w:fill="D1EDF4"/>
          </w:tcPr>
          <w:p>
            <w:pPr>
              <w:spacing w:after="0"/>
              <w:rPr>
                <w:sz w:val="16"/>
                <w:szCs w:val="16"/>
                <w:color w:val="auto"/>
              </w:rPr>
            </w:pPr>
          </w:p>
        </w:tc>
        <w:tc>
          <w:tcPr>
            <w:tcW w:w="20" w:type="dxa"/>
            <w:vAlign w:val="bottom"/>
            <w:shd w:val="clear" w:color="auto" w:fill="D1EDF4"/>
          </w:tcPr>
          <w:p>
            <w:pPr>
              <w:spacing w:after="0"/>
              <w:rPr>
                <w:sz w:val="16"/>
                <w:szCs w:val="16"/>
                <w:color w:val="auto"/>
              </w:rPr>
            </w:pPr>
          </w:p>
        </w:tc>
        <w:tc>
          <w:tcPr>
            <w:tcW w:w="160" w:type="dxa"/>
            <w:vAlign w:val="bottom"/>
            <w:shd w:val="clear" w:color="auto" w:fill="D1EDF4"/>
          </w:tcPr>
          <w:p>
            <w:pPr>
              <w:spacing w:after="0"/>
              <w:rPr>
                <w:sz w:val="16"/>
                <w:szCs w:val="16"/>
                <w:color w:val="auto"/>
              </w:rPr>
            </w:pPr>
          </w:p>
        </w:tc>
        <w:tc>
          <w:tcPr>
            <w:tcW w:w="840" w:type="dxa"/>
            <w:vAlign w:val="bottom"/>
            <w:shd w:val="clear" w:color="auto" w:fill="D1EDF4"/>
          </w:tcPr>
          <w:p>
            <w:pPr>
              <w:spacing w:after="0"/>
              <w:rPr>
                <w:sz w:val="16"/>
                <w:szCs w:val="16"/>
                <w:color w:val="auto"/>
              </w:rPr>
            </w:pPr>
          </w:p>
        </w:tc>
        <w:tc>
          <w:tcPr>
            <w:tcW w:w="300" w:type="dxa"/>
            <w:vAlign w:val="bottom"/>
            <w:shd w:val="clear" w:color="auto" w:fill="D1EDF4"/>
          </w:tcPr>
          <w:p>
            <w:pPr>
              <w:spacing w:after="0"/>
              <w:rPr>
                <w:sz w:val="16"/>
                <w:szCs w:val="16"/>
                <w:color w:val="auto"/>
              </w:rPr>
            </w:pPr>
          </w:p>
        </w:tc>
      </w:tr>
      <w:tr>
        <w:trPr>
          <w:trHeight w:val="206"/>
        </w:trPr>
        <w:tc>
          <w:tcPr>
            <w:tcW w:w="7640" w:type="dxa"/>
            <w:vAlign w:val="bottom"/>
            <w:shd w:val="clear" w:color="auto" w:fill="D1EDF4"/>
          </w:tcPr>
          <w:p>
            <w:pPr>
              <w:ind w:left="240"/>
              <w:spacing w:after="0"/>
              <w:rPr>
                <w:sz w:val="20"/>
                <w:szCs w:val="20"/>
                <w:color w:val="auto"/>
              </w:rPr>
            </w:pPr>
            <w:r>
              <w:rPr>
                <w:rFonts w:ascii="Arial" w:cs="Arial" w:eastAsia="Arial" w:hAnsi="Arial"/>
                <w:sz w:val="18"/>
                <w:szCs w:val="18"/>
                <w:color w:val="auto"/>
              </w:rPr>
              <w:t>as of January 31, 2026 and 16,497,092 shares issued as of February 1, 2025; 8,345,917</w:t>
            </w:r>
          </w:p>
        </w:tc>
        <w:tc>
          <w:tcPr>
            <w:tcW w:w="220" w:type="dxa"/>
            <w:vAlign w:val="bottom"/>
            <w:shd w:val="clear" w:color="auto" w:fill="D1EDF4"/>
          </w:tcPr>
          <w:p>
            <w:pPr>
              <w:spacing w:after="0"/>
              <w:rPr>
                <w:sz w:val="17"/>
                <w:szCs w:val="17"/>
                <w:color w:val="auto"/>
              </w:rPr>
            </w:pPr>
          </w:p>
        </w:tc>
        <w:tc>
          <w:tcPr>
            <w:tcW w:w="20" w:type="dxa"/>
            <w:vAlign w:val="bottom"/>
            <w:shd w:val="clear" w:color="auto" w:fill="D1EDF4"/>
          </w:tcPr>
          <w:p>
            <w:pPr>
              <w:spacing w:after="0"/>
              <w:rPr>
                <w:sz w:val="17"/>
                <w:szCs w:val="17"/>
                <w:color w:val="auto"/>
              </w:rPr>
            </w:pPr>
          </w:p>
        </w:tc>
        <w:tc>
          <w:tcPr>
            <w:tcW w:w="180" w:type="dxa"/>
            <w:vAlign w:val="bottom"/>
            <w:shd w:val="clear" w:color="auto" w:fill="D1EDF4"/>
          </w:tcPr>
          <w:p>
            <w:pPr>
              <w:spacing w:after="0"/>
              <w:rPr>
                <w:sz w:val="17"/>
                <w:szCs w:val="17"/>
                <w:color w:val="auto"/>
              </w:rPr>
            </w:pPr>
          </w:p>
        </w:tc>
        <w:tc>
          <w:tcPr>
            <w:tcW w:w="1200" w:type="dxa"/>
            <w:vAlign w:val="bottom"/>
            <w:shd w:val="clear" w:color="auto" w:fill="D1EDF4"/>
          </w:tcPr>
          <w:p>
            <w:pPr>
              <w:spacing w:after="0"/>
              <w:rPr>
                <w:sz w:val="17"/>
                <w:szCs w:val="17"/>
                <w:color w:val="auto"/>
              </w:rPr>
            </w:pPr>
          </w:p>
        </w:tc>
        <w:tc>
          <w:tcPr>
            <w:tcW w:w="220" w:type="dxa"/>
            <w:vAlign w:val="bottom"/>
            <w:shd w:val="clear" w:color="auto" w:fill="D1EDF4"/>
          </w:tcPr>
          <w:p>
            <w:pPr>
              <w:spacing w:after="0"/>
              <w:rPr>
                <w:sz w:val="17"/>
                <w:szCs w:val="17"/>
                <w:color w:val="auto"/>
              </w:rPr>
            </w:pPr>
          </w:p>
        </w:tc>
        <w:tc>
          <w:tcPr>
            <w:tcW w:w="20" w:type="dxa"/>
            <w:vAlign w:val="bottom"/>
            <w:shd w:val="clear" w:color="auto" w:fill="D1EDF4"/>
          </w:tcPr>
          <w:p>
            <w:pPr>
              <w:spacing w:after="0"/>
              <w:rPr>
                <w:sz w:val="17"/>
                <w:szCs w:val="17"/>
                <w:color w:val="auto"/>
              </w:rPr>
            </w:pPr>
          </w:p>
        </w:tc>
        <w:tc>
          <w:tcPr>
            <w:tcW w:w="160" w:type="dxa"/>
            <w:vAlign w:val="bottom"/>
            <w:shd w:val="clear" w:color="auto" w:fill="D1EDF4"/>
          </w:tcPr>
          <w:p>
            <w:pPr>
              <w:spacing w:after="0"/>
              <w:rPr>
                <w:sz w:val="17"/>
                <w:szCs w:val="17"/>
                <w:color w:val="auto"/>
              </w:rPr>
            </w:pPr>
          </w:p>
        </w:tc>
        <w:tc>
          <w:tcPr>
            <w:tcW w:w="840" w:type="dxa"/>
            <w:vAlign w:val="bottom"/>
            <w:shd w:val="clear" w:color="auto" w:fill="D1EDF4"/>
          </w:tcPr>
          <w:p>
            <w:pPr>
              <w:spacing w:after="0"/>
              <w:rPr>
                <w:sz w:val="17"/>
                <w:szCs w:val="17"/>
                <w:color w:val="auto"/>
              </w:rPr>
            </w:pPr>
          </w:p>
        </w:tc>
        <w:tc>
          <w:tcPr>
            <w:tcW w:w="300" w:type="dxa"/>
            <w:vAlign w:val="bottom"/>
            <w:shd w:val="clear" w:color="auto" w:fill="D1EDF4"/>
          </w:tcPr>
          <w:p>
            <w:pPr>
              <w:spacing w:after="0"/>
              <w:rPr>
                <w:sz w:val="17"/>
                <w:szCs w:val="17"/>
                <w:color w:val="auto"/>
              </w:rPr>
            </w:pPr>
          </w:p>
        </w:tc>
      </w:tr>
      <w:tr>
        <w:trPr>
          <w:trHeight w:val="215"/>
        </w:trPr>
        <w:tc>
          <w:tcPr>
            <w:tcW w:w="7640" w:type="dxa"/>
            <w:vAlign w:val="bottom"/>
            <w:shd w:val="clear" w:color="auto" w:fill="D1EDF4"/>
          </w:tcPr>
          <w:p>
            <w:pPr>
              <w:ind w:left="240"/>
              <w:spacing w:after="0"/>
              <w:rPr>
                <w:sz w:val="20"/>
                <w:szCs w:val="20"/>
                <w:color w:val="auto"/>
              </w:rPr>
            </w:pPr>
            <w:r>
              <w:rPr>
                <w:rFonts w:ascii="Arial" w:cs="Arial" w:eastAsia="Arial" w:hAnsi="Arial"/>
                <w:sz w:val="18"/>
                <w:szCs w:val="18"/>
                <w:color w:val="auto"/>
              </w:rPr>
              <w:t>shares outstanding as of January 31, 2026 and 8,547,841 shares outstanding as of</w:t>
            </w:r>
          </w:p>
        </w:tc>
        <w:tc>
          <w:tcPr>
            <w:tcW w:w="22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180" w:type="dxa"/>
            <w:vAlign w:val="bottom"/>
            <w:shd w:val="clear" w:color="auto" w:fill="D1EDF4"/>
          </w:tcPr>
          <w:p>
            <w:pPr>
              <w:spacing w:after="0"/>
              <w:rPr>
                <w:sz w:val="18"/>
                <w:szCs w:val="18"/>
                <w:color w:val="auto"/>
              </w:rPr>
            </w:pPr>
          </w:p>
        </w:tc>
        <w:tc>
          <w:tcPr>
            <w:tcW w:w="1200" w:type="dxa"/>
            <w:vAlign w:val="bottom"/>
            <w:shd w:val="clear" w:color="auto" w:fill="D1EDF4"/>
          </w:tcPr>
          <w:p>
            <w:pPr>
              <w:spacing w:after="0"/>
              <w:rPr>
                <w:sz w:val="18"/>
                <w:szCs w:val="18"/>
                <w:color w:val="auto"/>
              </w:rPr>
            </w:pPr>
          </w:p>
        </w:tc>
        <w:tc>
          <w:tcPr>
            <w:tcW w:w="22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160" w:type="dxa"/>
            <w:vAlign w:val="bottom"/>
            <w:shd w:val="clear" w:color="auto" w:fill="D1EDF4"/>
          </w:tcPr>
          <w:p>
            <w:pPr>
              <w:spacing w:after="0"/>
              <w:rPr>
                <w:sz w:val="18"/>
                <w:szCs w:val="18"/>
                <w:color w:val="auto"/>
              </w:rPr>
            </w:pPr>
          </w:p>
        </w:tc>
        <w:tc>
          <w:tcPr>
            <w:tcW w:w="840" w:type="dxa"/>
            <w:vAlign w:val="bottom"/>
            <w:shd w:val="clear" w:color="auto" w:fill="D1EDF4"/>
          </w:tcPr>
          <w:p>
            <w:pPr>
              <w:spacing w:after="0"/>
              <w:rPr>
                <w:sz w:val="18"/>
                <w:szCs w:val="18"/>
                <w:color w:val="auto"/>
              </w:rPr>
            </w:pPr>
          </w:p>
        </w:tc>
        <w:tc>
          <w:tcPr>
            <w:tcW w:w="300" w:type="dxa"/>
            <w:vAlign w:val="bottom"/>
            <w:shd w:val="clear" w:color="auto" w:fill="D1EDF4"/>
          </w:tcPr>
          <w:p>
            <w:pPr>
              <w:spacing w:after="0"/>
              <w:rPr>
                <w:sz w:val="18"/>
                <w:szCs w:val="18"/>
                <w:color w:val="auto"/>
              </w:rPr>
            </w:pPr>
          </w:p>
        </w:tc>
      </w:tr>
      <w:tr>
        <w:trPr>
          <w:trHeight w:val="220"/>
        </w:trPr>
        <w:tc>
          <w:tcPr>
            <w:tcW w:w="7640" w:type="dxa"/>
            <w:vAlign w:val="bottom"/>
            <w:shd w:val="clear" w:color="auto" w:fill="D1EDF4"/>
          </w:tcPr>
          <w:p>
            <w:pPr>
              <w:ind w:left="240"/>
              <w:spacing w:after="0"/>
              <w:rPr>
                <w:sz w:val="20"/>
                <w:szCs w:val="20"/>
                <w:color w:val="auto"/>
              </w:rPr>
            </w:pPr>
            <w:r>
              <w:rPr>
                <w:rFonts w:ascii="Arial" w:cs="Arial" w:eastAsia="Arial" w:hAnsi="Arial"/>
                <w:sz w:val="18"/>
                <w:szCs w:val="18"/>
                <w:color w:val="auto"/>
              </w:rPr>
              <w:t>February 1, 2025</w:t>
            </w:r>
          </w:p>
        </w:tc>
        <w:tc>
          <w:tcPr>
            <w:tcW w:w="22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80" w:type="dxa"/>
            <w:vAlign w:val="bottom"/>
            <w:shd w:val="clear" w:color="auto" w:fill="D1EDF4"/>
          </w:tcPr>
          <w:p>
            <w:pPr>
              <w:spacing w:after="0"/>
              <w:rPr>
                <w:sz w:val="19"/>
                <w:szCs w:val="19"/>
                <w:color w:val="auto"/>
              </w:rPr>
            </w:pPr>
          </w:p>
        </w:tc>
        <w:tc>
          <w:tcPr>
            <w:tcW w:w="1200" w:type="dxa"/>
            <w:vAlign w:val="bottom"/>
            <w:shd w:val="clear" w:color="auto" w:fill="D1EDF4"/>
          </w:tcPr>
          <w:p>
            <w:pPr>
              <w:jc w:val="right"/>
              <w:spacing w:after="0"/>
              <w:rPr>
                <w:sz w:val="20"/>
                <w:szCs w:val="20"/>
                <w:color w:val="auto"/>
              </w:rPr>
            </w:pPr>
            <w:r>
              <w:rPr>
                <w:rFonts w:ascii="Arial" w:cs="Arial" w:eastAsia="Arial" w:hAnsi="Arial"/>
                <w:sz w:val="18"/>
                <w:szCs w:val="18"/>
                <w:color w:val="auto"/>
              </w:rPr>
              <w:t>163</w:t>
            </w:r>
          </w:p>
        </w:tc>
        <w:tc>
          <w:tcPr>
            <w:tcW w:w="22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60" w:type="dxa"/>
            <w:vAlign w:val="bottom"/>
            <w:shd w:val="clear" w:color="auto" w:fill="D1EDF4"/>
          </w:tcPr>
          <w:p>
            <w:pPr>
              <w:spacing w:after="0"/>
              <w:rPr>
                <w:sz w:val="19"/>
                <w:szCs w:val="19"/>
                <w:color w:val="auto"/>
              </w:rPr>
            </w:pPr>
          </w:p>
        </w:tc>
        <w:tc>
          <w:tcPr>
            <w:tcW w:w="840" w:type="dxa"/>
            <w:vAlign w:val="bottom"/>
            <w:shd w:val="clear" w:color="auto" w:fill="D1EDF4"/>
          </w:tcPr>
          <w:p>
            <w:pPr>
              <w:jc w:val="right"/>
              <w:spacing w:after="0"/>
              <w:rPr>
                <w:sz w:val="20"/>
                <w:szCs w:val="20"/>
                <w:color w:val="auto"/>
              </w:rPr>
            </w:pPr>
            <w:r>
              <w:rPr>
                <w:rFonts w:ascii="Arial" w:cs="Arial" w:eastAsia="Arial" w:hAnsi="Arial"/>
                <w:sz w:val="18"/>
                <w:szCs w:val="18"/>
                <w:color w:val="auto"/>
              </w:rPr>
              <w:t>162</w:t>
            </w:r>
          </w:p>
        </w:tc>
        <w:tc>
          <w:tcPr>
            <w:tcW w:w="300" w:type="dxa"/>
            <w:vAlign w:val="bottom"/>
            <w:shd w:val="clear" w:color="auto" w:fill="D1EDF4"/>
          </w:tcPr>
          <w:p>
            <w:pPr>
              <w:spacing w:after="0"/>
              <w:rPr>
                <w:sz w:val="19"/>
                <w:szCs w:val="19"/>
                <w:color w:val="auto"/>
              </w:rPr>
            </w:pPr>
          </w:p>
        </w:tc>
      </w:tr>
      <w:tr>
        <w:trPr>
          <w:trHeight w:val="220"/>
        </w:trPr>
        <w:tc>
          <w:tcPr>
            <w:tcW w:w="7640" w:type="dxa"/>
            <w:vAlign w:val="bottom"/>
          </w:tcPr>
          <w:p>
            <w:pPr>
              <w:ind w:left="240"/>
              <w:spacing w:after="0"/>
              <w:rPr>
                <w:sz w:val="20"/>
                <w:szCs w:val="20"/>
                <w:color w:val="auto"/>
              </w:rPr>
            </w:pPr>
            <w:r>
              <w:rPr>
                <w:rFonts w:ascii="Arial" w:cs="Arial" w:eastAsia="Arial" w:hAnsi="Arial"/>
                <w:sz w:val="18"/>
                <w:szCs w:val="18"/>
                <w:color w:val="auto"/>
              </w:rPr>
              <w:t>Paid in capital</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112,352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108,101</w:t>
            </w:r>
          </w:p>
        </w:tc>
        <w:tc>
          <w:tcPr>
            <w:tcW w:w="300" w:type="dxa"/>
            <w:vAlign w:val="bottom"/>
          </w:tcPr>
          <w:p>
            <w:pPr>
              <w:spacing w:after="0"/>
              <w:rPr>
                <w:sz w:val="19"/>
                <w:szCs w:val="19"/>
                <w:color w:val="auto"/>
              </w:rPr>
            </w:pPr>
          </w:p>
        </w:tc>
      </w:tr>
      <w:tr>
        <w:trPr>
          <w:trHeight w:val="220"/>
        </w:trPr>
        <w:tc>
          <w:tcPr>
            <w:tcW w:w="7640" w:type="dxa"/>
            <w:vAlign w:val="bottom"/>
            <w:shd w:val="clear" w:color="auto" w:fill="D1EDF4"/>
          </w:tcPr>
          <w:p>
            <w:pPr>
              <w:ind w:left="240"/>
              <w:spacing w:after="0"/>
              <w:rPr>
                <w:sz w:val="20"/>
                <w:szCs w:val="20"/>
                <w:color w:val="auto"/>
              </w:rPr>
            </w:pPr>
            <w:r>
              <w:rPr>
                <w:rFonts w:ascii="Arial" w:cs="Arial" w:eastAsia="Arial" w:hAnsi="Arial"/>
                <w:sz w:val="18"/>
                <w:szCs w:val="18"/>
                <w:color w:val="auto"/>
              </w:rPr>
              <w:t>Retained earnings</w:t>
            </w:r>
          </w:p>
        </w:tc>
        <w:tc>
          <w:tcPr>
            <w:tcW w:w="22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80" w:type="dxa"/>
            <w:vAlign w:val="bottom"/>
            <w:shd w:val="clear" w:color="auto" w:fill="D1EDF4"/>
          </w:tcPr>
          <w:p>
            <w:pPr>
              <w:spacing w:after="0"/>
              <w:rPr>
                <w:sz w:val="19"/>
                <w:szCs w:val="19"/>
                <w:color w:val="auto"/>
              </w:rPr>
            </w:pPr>
          </w:p>
        </w:tc>
        <w:tc>
          <w:tcPr>
            <w:tcW w:w="1200" w:type="dxa"/>
            <w:vAlign w:val="bottom"/>
            <w:shd w:val="clear" w:color="auto" w:fill="D1EDF4"/>
          </w:tcPr>
          <w:p>
            <w:pPr>
              <w:jc w:val="right"/>
              <w:spacing w:after="0"/>
              <w:rPr>
                <w:sz w:val="20"/>
                <w:szCs w:val="20"/>
                <w:color w:val="auto"/>
              </w:rPr>
            </w:pPr>
            <w:r>
              <w:rPr>
                <w:rFonts w:ascii="Arial" w:cs="Arial" w:eastAsia="Arial" w:hAnsi="Arial"/>
                <w:sz w:val="18"/>
                <w:szCs w:val="18"/>
                <w:color w:val="auto"/>
              </w:rPr>
              <w:t>281,108</w:t>
            </w:r>
          </w:p>
        </w:tc>
        <w:tc>
          <w:tcPr>
            <w:tcW w:w="22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60" w:type="dxa"/>
            <w:vAlign w:val="bottom"/>
            <w:shd w:val="clear" w:color="auto" w:fill="D1EDF4"/>
          </w:tcPr>
          <w:p>
            <w:pPr>
              <w:spacing w:after="0"/>
              <w:rPr>
                <w:sz w:val="19"/>
                <w:szCs w:val="19"/>
                <w:color w:val="auto"/>
              </w:rPr>
            </w:pPr>
          </w:p>
        </w:tc>
        <w:tc>
          <w:tcPr>
            <w:tcW w:w="840" w:type="dxa"/>
            <w:vAlign w:val="bottom"/>
            <w:shd w:val="clear" w:color="auto" w:fill="D1EDF4"/>
          </w:tcPr>
          <w:p>
            <w:pPr>
              <w:jc w:val="right"/>
              <w:spacing w:after="0"/>
              <w:rPr>
                <w:sz w:val="20"/>
                <w:szCs w:val="20"/>
                <w:color w:val="auto"/>
              </w:rPr>
            </w:pPr>
            <w:r>
              <w:rPr>
                <w:rFonts w:ascii="Arial" w:cs="Arial" w:eastAsia="Arial" w:hAnsi="Arial"/>
                <w:sz w:val="18"/>
                <w:szCs w:val="18"/>
                <w:color w:val="auto"/>
                <w:shd w:val="clear" w:color="auto" w:fill="D1EDF4"/>
              </w:rPr>
              <w:t>275,901</w:t>
            </w:r>
          </w:p>
        </w:tc>
        <w:tc>
          <w:tcPr>
            <w:tcW w:w="300" w:type="dxa"/>
            <w:vAlign w:val="bottom"/>
            <w:shd w:val="clear" w:color="auto" w:fill="D1EDF4"/>
          </w:tcPr>
          <w:p>
            <w:pPr>
              <w:spacing w:after="0"/>
              <w:rPr>
                <w:sz w:val="19"/>
                <w:szCs w:val="19"/>
                <w:color w:val="auto"/>
              </w:rPr>
            </w:pPr>
          </w:p>
        </w:tc>
      </w:tr>
      <w:tr>
        <w:trPr>
          <w:trHeight w:val="189"/>
        </w:trPr>
        <w:tc>
          <w:tcPr>
            <w:tcW w:w="7640" w:type="dxa"/>
            <w:vAlign w:val="bottom"/>
          </w:tcPr>
          <w:p>
            <w:pPr>
              <w:ind w:left="240"/>
              <w:spacing w:after="0" w:line="189" w:lineRule="exact"/>
              <w:rPr>
                <w:sz w:val="20"/>
                <w:szCs w:val="20"/>
                <w:color w:val="auto"/>
              </w:rPr>
            </w:pPr>
            <w:r>
              <w:rPr>
                <w:rFonts w:ascii="Arial" w:cs="Arial" w:eastAsia="Arial" w:hAnsi="Arial"/>
                <w:sz w:val="18"/>
                <w:szCs w:val="18"/>
                <w:color w:val="auto"/>
              </w:rPr>
              <w:t>Treasury stock, at cost; 8,199,806 shares held as of January 31, 2026 and 7,949,251 shares</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27"/>
        </w:trPr>
        <w:tc>
          <w:tcPr>
            <w:tcW w:w="7640" w:type="dxa"/>
            <w:vAlign w:val="bottom"/>
          </w:tcPr>
          <w:p>
            <w:pPr>
              <w:ind w:left="240"/>
              <w:spacing w:after="0"/>
              <w:rPr>
                <w:sz w:val="20"/>
                <w:szCs w:val="20"/>
                <w:color w:val="auto"/>
              </w:rPr>
            </w:pPr>
            <w:r>
              <w:rPr>
                <w:rFonts w:ascii="Arial" w:cs="Arial" w:eastAsia="Arial" w:hAnsi="Arial"/>
                <w:sz w:val="18"/>
                <w:szCs w:val="18"/>
                <w:color w:val="auto"/>
              </w:rPr>
              <w:t>held as of February 1, 2025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(277,303)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(270,988)</w:t>
            </w:r>
          </w:p>
        </w:tc>
      </w:tr>
      <w:tr>
        <w:trPr>
          <w:trHeight w:val="209"/>
        </w:trPr>
        <w:tc>
          <w:tcPr>
            <w:tcW w:w="7640" w:type="dxa"/>
            <w:vAlign w:val="bottom"/>
            <w:tcBorders>
              <w:top w:val="single" w:sz="8" w:color="D1EDF4"/>
            </w:tcBorders>
            <w:shd w:val="clear" w:color="auto" w:fill="D1EDF4"/>
          </w:tcPr>
          <w:p>
            <w:pPr>
              <w:ind w:left="36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D1EDF4"/>
            </w:tcBorders>
            <w:shd w:val="clear" w:color="auto" w:fill="D1EDF4"/>
          </w:tcPr>
          <w:p>
            <w:pPr>
              <w:spacing w:after="0"/>
              <w:rPr>
                <w:sz w:val="18"/>
                <w:szCs w:val="18"/>
                <w:color w:val="auto"/>
              </w:rPr>
            </w:pPr>
          </w:p>
        </w:tc>
        <w:tc>
          <w:tcPr>
            <w:tcW w:w="20" w:type="dxa"/>
            <w:vAlign w:val="bottom"/>
            <w:tcBorders>
              <w:top w:val="single" w:sz="8" w:color="D1EDF4"/>
            </w:tcBorders>
            <w:shd w:val="clear" w:color="auto" w:fill="D1EDF4"/>
          </w:tcPr>
          <w:p>
            <w:pPr>
              <w:spacing w:after="0"/>
              <w:rPr>
                <w:sz w:val="18"/>
                <w:szCs w:val="18"/>
                <w:color w:val="auto"/>
              </w:rPr>
            </w:pPr>
          </w:p>
        </w:tc>
        <w:tc>
          <w:tcPr>
            <w:tcW w:w="180" w:type="dxa"/>
            <w:vAlign w:val="bottom"/>
            <w:tcBorders>
              <w:top w:val="single" w:sz="8" w:color="auto"/>
              <w:bottom w:val="single" w:sz="8" w:color="auto"/>
            </w:tcBorders>
            <w:shd w:val="clear" w:color="auto" w:fill="D1EDF4"/>
          </w:tcPr>
          <w:p>
            <w:pPr>
              <w:spacing w:after="0"/>
              <w:rPr>
                <w:sz w:val="18"/>
                <w:szCs w:val="18"/>
                <w:color w:val="auto"/>
              </w:rPr>
            </w:pPr>
          </w:p>
        </w:tc>
        <w:tc>
          <w:tcPr>
            <w:tcW w:w="1200" w:type="dxa"/>
            <w:vAlign w:val="bottom"/>
            <w:tcBorders>
              <w:top w:val="single" w:sz="8" w:color="auto"/>
              <w:bottom w:val="single" w:sz="8" w:color="auto"/>
            </w:tcBorders>
            <w:shd w:val="clear" w:color="auto" w:fill="D1EDF4"/>
          </w:tcPr>
          <w:p>
            <w:pPr>
              <w:jc w:val="right"/>
              <w:spacing w:after="0"/>
              <w:rPr>
                <w:sz w:val="20"/>
                <w:szCs w:val="20"/>
                <w:color w:val="auto"/>
              </w:rPr>
            </w:pPr>
            <w:r>
              <w:rPr>
                <w:rFonts w:ascii="Arial" w:cs="Arial" w:eastAsia="Arial" w:hAnsi="Arial"/>
                <w:sz w:val="18"/>
                <w:szCs w:val="18"/>
                <w:color w:val="auto"/>
              </w:rPr>
              <w:t>116,320</w:t>
            </w:r>
          </w:p>
        </w:tc>
        <w:tc>
          <w:tcPr>
            <w:tcW w:w="220" w:type="dxa"/>
            <w:vAlign w:val="bottom"/>
            <w:tcBorders>
              <w:top w:val="single" w:sz="8" w:color="D1EDF4"/>
            </w:tcBorders>
            <w:shd w:val="clear" w:color="auto" w:fill="D1EDF4"/>
          </w:tcPr>
          <w:p>
            <w:pPr>
              <w:spacing w:after="0"/>
              <w:rPr>
                <w:sz w:val="18"/>
                <w:szCs w:val="18"/>
                <w:color w:val="auto"/>
              </w:rPr>
            </w:pPr>
          </w:p>
        </w:tc>
        <w:tc>
          <w:tcPr>
            <w:tcW w:w="20" w:type="dxa"/>
            <w:vAlign w:val="bottom"/>
            <w:tcBorders>
              <w:top w:val="single" w:sz="8" w:color="D1EDF4"/>
            </w:tcBorders>
            <w:shd w:val="clear" w:color="auto" w:fill="D1EDF4"/>
          </w:tcPr>
          <w:p>
            <w:pPr>
              <w:spacing w:after="0"/>
              <w:rPr>
                <w:sz w:val="18"/>
                <w:szCs w:val="18"/>
                <w:color w:val="auto"/>
              </w:rPr>
            </w:pPr>
          </w:p>
        </w:tc>
        <w:tc>
          <w:tcPr>
            <w:tcW w:w="160" w:type="dxa"/>
            <w:vAlign w:val="bottom"/>
            <w:tcBorders>
              <w:top w:val="single" w:sz="8" w:color="auto"/>
              <w:bottom w:val="single" w:sz="8" w:color="auto"/>
            </w:tcBorders>
            <w:shd w:val="clear" w:color="auto" w:fill="D1EDF4"/>
          </w:tcPr>
          <w:p>
            <w:pPr>
              <w:spacing w:after="0"/>
              <w:rPr>
                <w:sz w:val="18"/>
                <w:szCs w:val="18"/>
                <w:color w:val="auto"/>
              </w:rPr>
            </w:pPr>
          </w:p>
        </w:tc>
        <w:tc>
          <w:tcPr>
            <w:tcW w:w="840" w:type="dxa"/>
            <w:vAlign w:val="bottom"/>
            <w:tcBorders>
              <w:top w:val="single" w:sz="8" w:color="auto"/>
              <w:bottom w:val="single" w:sz="8" w:color="auto"/>
            </w:tcBorders>
            <w:shd w:val="clear" w:color="auto" w:fill="D1EDF4"/>
          </w:tcPr>
          <w:p>
            <w:pPr>
              <w:jc w:val="right"/>
              <w:spacing w:after="0"/>
              <w:rPr>
                <w:sz w:val="20"/>
                <w:szCs w:val="20"/>
                <w:color w:val="auto"/>
              </w:rPr>
            </w:pPr>
            <w:r>
              <w:rPr>
                <w:rFonts w:ascii="Arial" w:cs="Arial" w:eastAsia="Arial" w:hAnsi="Arial"/>
                <w:sz w:val="18"/>
                <w:szCs w:val="18"/>
                <w:color w:val="auto"/>
                <w:shd w:val="clear" w:color="auto" w:fill="D1EDF4"/>
              </w:rPr>
              <w:t>113,176</w:t>
            </w:r>
          </w:p>
        </w:tc>
        <w:tc>
          <w:tcPr>
            <w:tcW w:w="300" w:type="dxa"/>
            <w:vAlign w:val="bottom"/>
            <w:tcBorders>
              <w:top w:val="single" w:sz="8" w:color="D1EDF4"/>
            </w:tcBorders>
            <w:shd w:val="clear" w:color="auto" w:fill="D1EDF4"/>
          </w:tcPr>
          <w:p>
            <w:pPr>
              <w:spacing w:after="0"/>
              <w:rPr>
                <w:sz w:val="18"/>
                <w:szCs w:val="18"/>
                <w:color w:val="auto"/>
              </w:rPr>
            </w:pPr>
          </w:p>
        </w:tc>
      </w:tr>
      <w:tr>
        <w:trPr>
          <w:trHeight w:val="209"/>
        </w:trPr>
        <w:tc>
          <w:tcPr>
            <w:tcW w:w="7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20"/>
        </w:trPr>
        <w:tc>
          <w:tcPr>
            <w:tcW w:w="7640" w:type="dxa"/>
            <w:vAlign w:val="bottom"/>
            <w:shd w:val="clear" w:color="auto" w:fill="D1EDF4"/>
          </w:tcPr>
          <w:p>
            <w:pPr>
              <w:spacing w:after="0"/>
              <w:rPr>
                <w:sz w:val="20"/>
                <w:szCs w:val="20"/>
                <w:color w:val="auto"/>
              </w:rPr>
            </w:pPr>
            <w:r>
              <w:rPr>
                <w:rFonts w:ascii="Arial" w:cs="Arial" w:eastAsia="Arial" w:hAnsi="Arial"/>
                <w:sz w:val="18"/>
                <w:szCs w:val="18"/>
                <w:color w:val="auto"/>
              </w:rPr>
              <w:t>Commitments and contingencies (Note 7)</w:t>
            </w:r>
          </w:p>
        </w:tc>
        <w:tc>
          <w:tcPr>
            <w:tcW w:w="22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80" w:type="dxa"/>
            <w:vAlign w:val="bottom"/>
            <w:shd w:val="clear" w:color="auto" w:fill="D1EDF4"/>
          </w:tcPr>
          <w:p>
            <w:pPr>
              <w:spacing w:after="0"/>
              <w:rPr>
                <w:sz w:val="19"/>
                <w:szCs w:val="19"/>
                <w:color w:val="auto"/>
              </w:rPr>
            </w:pPr>
          </w:p>
        </w:tc>
        <w:tc>
          <w:tcPr>
            <w:tcW w:w="1200" w:type="dxa"/>
            <w:vAlign w:val="bottom"/>
            <w:shd w:val="clear" w:color="auto" w:fill="D1EDF4"/>
          </w:tcPr>
          <w:p>
            <w:pPr>
              <w:spacing w:after="0"/>
              <w:rPr>
                <w:sz w:val="19"/>
                <w:szCs w:val="19"/>
                <w:color w:val="auto"/>
              </w:rPr>
            </w:pPr>
          </w:p>
        </w:tc>
        <w:tc>
          <w:tcPr>
            <w:tcW w:w="22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60" w:type="dxa"/>
            <w:vAlign w:val="bottom"/>
            <w:shd w:val="clear" w:color="auto" w:fill="D1EDF4"/>
          </w:tcPr>
          <w:p>
            <w:pPr>
              <w:spacing w:after="0"/>
              <w:rPr>
                <w:sz w:val="19"/>
                <w:szCs w:val="19"/>
                <w:color w:val="auto"/>
              </w:rPr>
            </w:pPr>
          </w:p>
        </w:tc>
        <w:tc>
          <w:tcPr>
            <w:tcW w:w="840" w:type="dxa"/>
            <w:vAlign w:val="bottom"/>
            <w:shd w:val="clear" w:color="auto" w:fill="D1EDF4"/>
          </w:tcPr>
          <w:p>
            <w:pPr>
              <w:spacing w:after="0"/>
              <w:rPr>
                <w:sz w:val="19"/>
                <w:szCs w:val="19"/>
                <w:color w:val="auto"/>
              </w:rPr>
            </w:pPr>
          </w:p>
        </w:tc>
        <w:tc>
          <w:tcPr>
            <w:tcW w:w="300" w:type="dxa"/>
            <w:vAlign w:val="bottom"/>
            <w:shd w:val="clear" w:color="auto" w:fill="D1EDF4"/>
          </w:tcPr>
          <w:p>
            <w:pPr>
              <w:spacing w:after="0"/>
              <w:rPr>
                <w:sz w:val="19"/>
                <w:szCs w:val="19"/>
                <w:color w:val="auto"/>
              </w:rPr>
            </w:pPr>
          </w:p>
        </w:tc>
      </w:tr>
      <w:tr>
        <w:trPr>
          <w:trHeight w:val="230"/>
        </w:trPr>
        <w:tc>
          <w:tcPr>
            <w:tcW w:w="7640" w:type="dxa"/>
            <w:vAlign w:val="bottom"/>
          </w:tcPr>
          <w:p>
            <w:pPr>
              <w:ind w:left="24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471,171</w:t>
            </w:r>
          </w:p>
        </w:tc>
        <w:tc>
          <w:tcPr>
            <w:tcW w:w="22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462,769</w:t>
            </w:r>
          </w:p>
        </w:tc>
        <w:tc>
          <w:tcPr>
            <w:tcW w:w="300" w:type="dxa"/>
            <w:vAlign w:val="bottom"/>
          </w:tcPr>
          <w:p>
            <w:pPr>
              <w:spacing w:after="0"/>
              <w:rPr>
                <w:sz w:val="19"/>
                <w:szCs w:val="19"/>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9"/>
          <w:szCs w:val="19"/>
          <w:color w:val="auto"/>
        </w:rPr>
        <w:t>See accompanying notes to consolidated financial statements</w:t>
      </w:r>
      <w:r>
        <w:rPr>
          <w:rFonts w:ascii="Arial" w:cs="Arial" w:eastAsia="Arial" w:hAnsi="Arial"/>
          <w:sz w:val="18"/>
          <w:szCs w:val="18"/>
          <w:color w:val="auto"/>
        </w:rPr>
        <w:t>.</w:t>
      </w:r>
    </w:p>
    <w:p>
      <w:pPr>
        <w:sectPr>
          <w:pgSz w:w="11880" w:h="15480" w:orient="portrait"/>
          <w:cols w:equalWidth="0" w:num="1">
            <w:col w:w="10800"/>
          </w:cols>
          <w:pgMar w:left="540" w:top="804" w:right="540" w:bottom="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ectPr>
          <w:pgSz w:w="11880" w:h="15480" w:orient="portrait"/>
          <w:cols w:equalWidth="0" w:num="1">
            <w:col w:w="10800"/>
          </w:cols>
          <w:pgMar w:left="540" w:top="804" w:right="540" w:bottom="16" w:gutter="0" w:footer="0" w:header="0"/>
          <w:type w:val="continuous"/>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Citi Trends,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6"/>
                <w:szCs w:val="16"/>
                <w:b w:val="1"/>
                <w:bCs w:val="1"/>
                <w:color w:val="auto"/>
              </w:rPr>
              <w:t>Fiscal Year</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7200" w:type="dxa"/>
            <w:vAlign w:val="bottom"/>
            <w:tcBorders>
              <w:bottom w:val="single" w:sz="8" w:color="D1EDF4"/>
            </w:tcBorders>
          </w:tcPr>
          <w:p>
            <w:pPr>
              <w:spacing w:after="0"/>
              <w:rPr>
                <w:sz w:val="15"/>
                <w:szCs w:val="15"/>
                <w:color w:val="auto"/>
              </w:rPr>
            </w:pPr>
          </w:p>
        </w:tc>
        <w:tc>
          <w:tcPr>
            <w:tcW w:w="220" w:type="dxa"/>
            <w:vAlign w:val="bottom"/>
            <w:tcBorders>
              <w:bottom w:val="single" w:sz="8" w:color="D1EDF4"/>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31"/>
              <w:spacing w:after="0" w:line="176" w:lineRule="exact"/>
              <w:rPr>
                <w:sz w:val="20"/>
                <w:szCs w:val="20"/>
                <w:color w:val="auto"/>
              </w:rPr>
            </w:pPr>
            <w:r>
              <w:rPr>
                <w:rFonts w:ascii="Arial" w:cs="Arial" w:eastAsia="Arial" w:hAnsi="Arial"/>
                <w:sz w:val="16"/>
                <w:szCs w:val="16"/>
                <w:b w:val="1"/>
                <w:bCs w:val="1"/>
                <w:color w:val="auto"/>
              </w:rPr>
              <w:t>2025</w:t>
            </w:r>
          </w:p>
        </w:tc>
        <w:tc>
          <w:tcPr>
            <w:tcW w:w="160" w:type="dxa"/>
            <w:vAlign w:val="bottom"/>
            <w:tcBorders>
              <w:bottom w:val="single" w:sz="8" w:color="D1EDF4"/>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31"/>
              <w:spacing w:after="0" w:line="176" w:lineRule="exact"/>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D1EDF4"/>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31"/>
              <w:spacing w:after="0" w:line="176" w:lineRule="exact"/>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D1EDF4"/>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200" w:type="dxa"/>
            <w:vAlign w:val="bottom"/>
            <w:shd w:val="clear" w:color="auto" w:fill="D1EDF4"/>
          </w:tcPr>
          <w:p>
            <w:pPr>
              <w:spacing w:after="0"/>
              <w:rPr>
                <w:sz w:val="20"/>
                <w:szCs w:val="20"/>
                <w:color w:val="auto"/>
              </w:rPr>
            </w:pPr>
            <w:r>
              <w:rPr>
                <w:rFonts w:ascii="Arial" w:cs="Arial" w:eastAsia="Arial" w:hAnsi="Arial"/>
                <w:sz w:val="18"/>
                <w:szCs w:val="18"/>
                <w:color w:val="auto"/>
              </w:rPr>
              <w:t>Net sales</w:t>
            </w:r>
          </w:p>
        </w:tc>
        <w:tc>
          <w:tcPr>
            <w:tcW w:w="220" w:type="dxa"/>
            <w:vAlign w:val="bottom"/>
            <w:tcBorders>
              <w:right w:val="single" w:sz="8" w:color="D1EDF4"/>
            </w:tcBorders>
            <w:shd w:val="clear" w:color="auto" w:fill="D1EDF4"/>
          </w:tcPr>
          <w:p>
            <w:pPr>
              <w:spacing w:after="0"/>
              <w:rPr>
                <w:sz w:val="18"/>
                <w:szCs w:val="18"/>
                <w:color w:val="auto"/>
              </w:rPr>
            </w:pPr>
          </w:p>
        </w:tc>
        <w:tc>
          <w:tcPr>
            <w:tcW w:w="140" w:type="dxa"/>
            <w:vAlign w:val="bottom"/>
            <w:shd w:val="clear" w:color="auto" w:fill="D1EDF4"/>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D1EDF4"/>
          </w:tcPr>
          <w:p>
            <w:pPr>
              <w:jc w:val="right"/>
              <w:spacing w:after="0"/>
              <w:rPr>
                <w:sz w:val="20"/>
                <w:szCs w:val="20"/>
                <w:color w:val="auto"/>
              </w:rPr>
            </w:pPr>
            <w:r>
              <w:rPr>
                <w:rFonts w:ascii="Arial" w:cs="Arial" w:eastAsia="Arial" w:hAnsi="Arial"/>
                <w:sz w:val="18"/>
                <w:szCs w:val="18"/>
                <w:color w:val="auto"/>
              </w:rPr>
              <w:t>819,962</w:t>
            </w:r>
          </w:p>
        </w:tc>
        <w:tc>
          <w:tcPr>
            <w:tcW w:w="320" w:type="dxa"/>
            <w:vAlign w:val="bottom"/>
            <w:gridSpan w:val="2"/>
            <w:shd w:val="clear" w:color="auto" w:fill="D1EDF4"/>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D1EDF4"/>
          </w:tcPr>
          <w:p>
            <w:pPr>
              <w:jc w:val="right"/>
              <w:spacing w:after="0"/>
              <w:rPr>
                <w:sz w:val="20"/>
                <w:szCs w:val="20"/>
                <w:color w:val="auto"/>
              </w:rPr>
            </w:pPr>
            <w:r>
              <w:rPr>
                <w:rFonts w:ascii="Arial" w:cs="Arial" w:eastAsia="Arial" w:hAnsi="Arial"/>
                <w:sz w:val="18"/>
                <w:szCs w:val="18"/>
                <w:color w:val="auto"/>
              </w:rPr>
              <w:t>753,079</w:t>
            </w:r>
          </w:p>
        </w:tc>
        <w:tc>
          <w:tcPr>
            <w:tcW w:w="260" w:type="dxa"/>
            <w:vAlign w:val="bottom"/>
            <w:gridSpan w:val="2"/>
            <w:shd w:val="clear" w:color="auto" w:fill="D1EDF4"/>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D1EDF4"/>
          </w:tcPr>
          <w:p>
            <w:pPr>
              <w:jc w:val="right"/>
              <w:spacing w:after="0"/>
              <w:rPr>
                <w:sz w:val="20"/>
                <w:szCs w:val="20"/>
                <w:color w:val="auto"/>
              </w:rPr>
            </w:pPr>
            <w:r>
              <w:rPr>
                <w:rFonts w:ascii="Arial" w:cs="Arial" w:eastAsia="Arial" w:hAnsi="Arial"/>
                <w:sz w:val="18"/>
                <w:szCs w:val="18"/>
                <w:color w:val="auto"/>
              </w:rPr>
              <w:t>747,941</w:t>
            </w:r>
          </w:p>
        </w:tc>
        <w:tc>
          <w:tcPr>
            <w:tcW w:w="120" w:type="dxa"/>
            <w:vAlign w:val="bottom"/>
            <w:shd w:val="clear" w:color="auto" w:fill="D1EDF4"/>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200" w:type="dxa"/>
            <w:vAlign w:val="bottom"/>
            <w:shd w:val="clear" w:color="auto" w:fill="D1EDF4"/>
          </w:tcPr>
          <w:p>
            <w:pPr>
              <w:spacing w:after="0"/>
              <w:rPr>
                <w:sz w:val="20"/>
                <w:szCs w:val="20"/>
                <w:color w:val="auto"/>
              </w:rPr>
            </w:pPr>
            <w:r>
              <w:rPr>
                <w:rFonts w:ascii="Arial" w:cs="Arial" w:eastAsia="Arial" w:hAnsi="Arial"/>
                <w:sz w:val="18"/>
                <w:szCs w:val="18"/>
                <w:color w:val="auto"/>
              </w:rPr>
              <w:t>Cost of sales (exclusive of depreciation shown separately below)</w:t>
            </w:r>
          </w:p>
        </w:tc>
        <w:tc>
          <w:tcPr>
            <w:tcW w:w="220" w:type="dxa"/>
            <w:vAlign w:val="bottom"/>
            <w:tcBorders>
              <w:right w:val="single" w:sz="8" w:color="D1EDF4"/>
            </w:tcBorders>
            <w:shd w:val="clear" w:color="auto" w:fill="D1EDF4"/>
          </w:tcPr>
          <w:p>
            <w:pPr>
              <w:spacing w:after="0"/>
              <w:rPr>
                <w:sz w:val="19"/>
                <w:szCs w:val="19"/>
                <w:color w:val="auto"/>
              </w:rPr>
            </w:pPr>
          </w:p>
        </w:tc>
        <w:tc>
          <w:tcPr>
            <w:tcW w:w="140" w:type="dxa"/>
            <w:vAlign w:val="bottom"/>
            <w:shd w:val="clear" w:color="auto" w:fill="D1EDF4"/>
          </w:tcPr>
          <w:p>
            <w:pPr>
              <w:spacing w:after="0"/>
              <w:rPr>
                <w:sz w:val="19"/>
                <w:szCs w:val="19"/>
                <w:color w:val="auto"/>
              </w:rPr>
            </w:pPr>
          </w:p>
        </w:tc>
        <w:tc>
          <w:tcPr>
            <w:tcW w:w="860" w:type="dxa"/>
            <w:vAlign w:val="bottom"/>
            <w:shd w:val="clear" w:color="auto" w:fill="D1EDF4"/>
          </w:tcPr>
          <w:p>
            <w:pPr>
              <w:jc w:val="right"/>
              <w:spacing w:after="0"/>
              <w:rPr>
                <w:sz w:val="20"/>
                <w:szCs w:val="20"/>
                <w:color w:val="auto"/>
              </w:rPr>
            </w:pPr>
            <w:r>
              <w:rPr>
                <w:rFonts w:ascii="Arial" w:cs="Arial" w:eastAsia="Arial" w:hAnsi="Arial"/>
                <w:sz w:val="18"/>
                <w:szCs w:val="18"/>
                <w:color w:val="auto"/>
                <w:shd w:val="clear" w:color="auto" w:fill="D1EDF4"/>
              </w:rPr>
              <w:t>(495,320)</w:t>
            </w:r>
          </w:p>
        </w:tc>
        <w:tc>
          <w:tcPr>
            <w:tcW w:w="160" w:type="dxa"/>
            <w:vAlign w:val="bottom"/>
            <w:tcBorders>
              <w:right w:val="single" w:sz="8" w:color="D1EDF4"/>
            </w:tcBorders>
            <w:shd w:val="clear" w:color="auto" w:fill="D1EDF4"/>
          </w:tcPr>
          <w:p>
            <w:pPr>
              <w:spacing w:after="0"/>
              <w:rPr>
                <w:sz w:val="19"/>
                <w:szCs w:val="19"/>
                <w:color w:val="auto"/>
              </w:rPr>
            </w:pPr>
          </w:p>
        </w:tc>
        <w:tc>
          <w:tcPr>
            <w:tcW w:w="160" w:type="dxa"/>
            <w:vAlign w:val="bottom"/>
            <w:shd w:val="clear" w:color="auto" w:fill="D1EDF4"/>
          </w:tcPr>
          <w:p>
            <w:pPr>
              <w:spacing w:after="0"/>
              <w:rPr>
                <w:sz w:val="19"/>
                <w:szCs w:val="19"/>
                <w:color w:val="auto"/>
              </w:rPr>
            </w:pPr>
          </w:p>
        </w:tc>
        <w:tc>
          <w:tcPr>
            <w:tcW w:w="840" w:type="dxa"/>
            <w:vAlign w:val="bottom"/>
            <w:shd w:val="clear" w:color="auto" w:fill="D1EDF4"/>
          </w:tcPr>
          <w:p>
            <w:pPr>
              <w:jc w:val="right"/>
              <w:spacing w:after="0"/>
              <w:rPr>
                <w:sz w:val="20"/>
                <w:szCs w:val="20"/>
                <w:color w:val="auto"/>
              </w:rPr>
            </w:pPr>
            <w:r>
              <w:rPr>
                <w:rFonts w:ascii="Arial" w:cs="Arial" w:eastAsia="Arial" w:hAnsi="Arial"/>
                <w:sz w:val="18"/>
                <w:szCs w:val="18"/>
                <w:color w:val="auto"/>
                <w:shd w:val="clear" w:color="auto" w:fill="D1EDF4"/>
              </w:rPr>
              <w:t>(471,036)</w:t>
            </w:r>
          </w:p>
        </w:tc>
        <w:tc>
          <w:tcPr>
            <w:tcW w:w="100" w:type="dxa"/>
            <w:vAlign w:val="bottom"/>
            <w:tcBorders>
              <w:right w:val="single" w:sz="8" w:color="D1EDF4"/>
            </w:tcBorders>
            <w:shd w:val="clear" w:color="auto" w:fill="D1EDF4"/>
          </w:tcPr>
          <w:p>
            <w:pPr>
              <w:spacing w:after="0"/>
              <w:rPr>
                <w:sz w:val="19"/>
                <w:szCs w:val="19"/>
                <w:color w:val="auto"/>
              </w:rPr>
            </w:pPr>
          </w:p>
        </w:tc>
        <w:tc>
          <w:tcPr>
            <w:tcW w:w="160" w:type="dxa"/>
            <w:vAlign w:val="bottom"/>
            <w:shd w:val="clear" w:color="auto" w:fill="D1EDF4"/>
          </w:tcPr>
          <w:p>
            <w:pPr>
              <w:spacing w:after="0"/>
              <w:rPr>
                <w:sz w:val="19"/>
                <w:szCs w:val="19"/>
                <w:color w:val="auto"/>
              </w:rPr>
            </w:pPr>
          </w:p>
        </w:tc>
        <w:tc>
          <w:tcPr>
            <w:tcW w:w="840" w:type="dxa"/>
            <w:vAlign w:val="bottom"/>
            <w:shd w:val="clear" w:color="auto" w:fill="D1EDF4"/>
          </w:tcPr>
          <w:p>
            <w:pPr>
              <w:jc w:val="right"/>
              <w:spacing w:after="0"/>
              <w:rPr>
                <w:sz w:val="20"/>
                <w:szCs w:val="20"/>
                <w:color w:val="auto"/>
              </w:rPr>
            </w:pPr>
            <w:r>
              <w:rPr>
                <w:rFonts w:ascii="Arial" w:cs="Arial" w:eastAsia="Arial" w:hAnsi="Arial"/>
                <w:sz w:val="18"/>
                <w:szCs w:val="18"/>
                <w:color w:val="auto"/>
                <w:shd w:val="clear" w:color="auto" w:fill="D1EDF4"/>
              </w:rPr>
              <w:t>(462,824)</w:t>
            </w:r>
          </w:p>
        </w:tc>
        <w:tc>
          <w:tcPr>
            <w:tcW w:w="120" w:type="dxa"/>
            <w:vAlign w:val="bottom"/>
            <w:shd w:val="clear" w:color="auto" w:fill="D1EDF4"/>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2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(313,171)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(300,173)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(284,530)</w:t>
            </w:r>
          </w:p>
        </w:tc>
        <w:tc>
          <w:tcPr>
            <w:tcW w:w="0" w:type="dxa"/>
            <w:vAlign w:val="bottom"/>
          </w:tcPr>
          <w:p>
            <w:pPr>
              <w:spacing w:after="0"/>
              <w:rPr>
                <w:sz w:val="1"/>
                <w:szCs w:val="1"/>
                <w:color w:val="auto"/>
              </w:rPr>
            </w:pPr>
          </w:p>
        </w:tc>
      </w:tr>
      <w:tr>
        <w:trPr>
          <w:trHeight w:val="220"/>
        </w:trPr>
        <w:tc>
          <w:tcPr>
            <w:tcW w:w="7200" w:type="dxa"/>
            <w:vAlign w:val="bottom"/>
            <w:shd w:val="clear" w:color="auto" w:fill="D1EDF4"/>
          </w:tcPr>
          <w:p>
            <w:pPr>
              <w:spacing w:after="0"/>
              <w:rPr>
                <w:sz w:val="20"/>
                <w:szCs w:val="20"/>
                <w:color w:val="auto"/>
              </w:rPr>
            </w:pPr>
            <w:r>
              <w:rPr>
                <w:rFonts w:ascii="Arial" w:cs="Arial" w:eastAsia="Arial" w:hAnsi="Arial"/>
                <w:sz w:val="18"/>
                <w:szCs w:val="18"/>
                <w:color w:val="auto"/>
              </w:rPr>
              <w:t>Depreciation</w:t>
            </w:r>
          </w:p>
        </w:tc>
        <w:tc>
          <w:tcPr>
            <w:tcW w:w="220" w:type="dxa"/>
            <w:vAlign w:val="bottom"/>
            <w:tcBorders>
              <w:right w:val="single" w:sz="8" w:color="D1EDF4"/>
            </w:tcBorders>
            <w:shd w:val="clear" w:color="auto" w:fill="D1EDF4"/>
          </w:tcPr>
          <w:p>
            <w:pPr>
              <w:spacing w:after="0"/>
              <w:rPr>
                <w:sz w:val="19"/>
                <w:szCs w:val="19"/>
                <w:color w:val="auto"/>
              </w:rPr>
            </w:pPr>
          </w:p>
        </w:tc>
        <w:tc>
          <w:tcPr>
            <w:tcW w:w="140" w:type="dxa"/>
            <w:vAlign w:val="bottom"/>
            <w:shd w:val="clear" w:color="auto" w:fill="D1EDF4"/>
          </w:tcPr>
          <w:p>
            <w:pPr>
              <w:spacing w:after="0"/>
              <w:rPr>
                <w:sz w:val="19"/>
                <w:szCs w:val="19"/>
                <w:color w:val="auto"/>
              </w:rPr>
            </w:pPr>
          </w:p>
        </w:tc>
        <w:tc>
          <w:tcPr>
            <w:tcW w:w="860" w:type="dxa"/>
            <w:vAlign w:val="bottom"/>
            <w:shd w:val="clear" w:color="auto" w:fill="D1EDF4"/>
          </w:tcPr>
          <w:p>
            <w:pPr>
              <w:jc w:val="right"/>
              <w:spacing w:after="0"/>
              <w:rPr>
                <w:sz w:val="20"/>
                <w:szCs w:val="20"/>
                <w:color w:val="auto"/>
              </w:rPr>
            </w:pPr>
            <w:r>
              <w:rPr>
                <w:rFonts w:ascii="Arial" w:cs="Arial" w:eastAsia="Arial" w:hAnsi="Arial"/>
                <w:sz w:val="18"/>
                <w:szCs w:val="18"/>
                <w:color w:val="auto"/>
                <w:shd w:val="clear" w:color="auto" w:fill="D1EDF4"/>
              </w:rPr>
              <w:t>(18,482)</w:t>
            </w:r>
          </w:p>
        </w:tc>
        <w:tc>
          <w:tcPr>
            <w:tcW w:w="160" w:type="dxa"/>
            <w:vAlign w:val="bottom"/>
            <w:tcBorders>
              <w:right w:val="single" w:sz="8" w:color="D1EDF4"/>
            </w:tcBorders>
            <w:shd w:val="clear" w:color="auto" w:fill="D1EDF4"/>
          </w:tcPr>
          <w:p>
            <w:pPr>
              <w:spacing w:after="0"/>
              <w:rPr>
                <w:sz w:val="19"/>
                <w:szCs w:val="19"/>
                <w:color w:val="auto"/>
              </w:rPr>
            </w:pPr>
          </w:p>
        </w:tc>
        <w:tc>
          <w:tcPr>
            <w:tcW w:w="160" w:type="dxa"/>
            <w:vAlign w:val="bottom"/>
            <w:shd w:val="clear" w:color="auto" w:fill="D1EDF4"/>
          </w:tcPr>
          <w:p>
            <w:pPr>
              <w:spacing w:after="0"/>
              <w:rPr>
                <w:sz w:val="19"/>
                <w:szCs w:val="19"/>
                <w:color w:val="auto"/>
              </w:rPr>
            </w:pPr>
          </w:p>
        </w:tc>
        <w:tc>
          <w:tcPr>
            <w:tcW w:w="840" w:type="dxa"/>
            <w:vAlign w:val="bottom"/>
            <w:shd w:val="clear" w:color="auto" w:fill="D1EDF4"/>
          </w:tcPr>
          <w:p>
            <w:pPr>
              <w:jc w:val="right"/>
              <w:spacing w:after="0"/>
              <w:rPr>
                <w:sz w:val="20"/>
                <w:szCs w:val="20"/>
                <w:color w:val="auto"/>
              </w:rPr>
            </w:pPr>
            <w:r>
              <w:rPr>
                <w:rFonts w:ascii="Arial" w:cs="Arial" w:eastAsia="Arial" w:hAnsi="Arial"/>
                <w:sz w:val="18"/>
                <w:szCs w:val="18"/>
                <w:color w:val="auto"/>
                <w:shd w:val="clear" w:color="auto" w:fill="D1EDF4"/>
              </w:rPr>
              <w:t>(18,822)</w:t>
            </w:r>
          </w:p>
        </w:tc>
        <w:tc>
          <w:tcPr>
            <w:tcW w:w="100" w:type="dxa"/>
            <w:vAlign w:val="bottom"/>
            <w:tcBorders>
              <w:right w:val="single" w:sz="8" w:color="D1EDF4"/>
            </w:tcBorders>
            <w:shd w:val="clear" w:color="auto" w:fill="D1EDF4"/>
          </w:tcPr>
          <w:p>
            <w:pPr>
              <w:spacing w:after="0"/>
              <w:rPr>
                <w:sz w:val="19"/>
                <w:szCs w:val="19"/>
                <w:color w:val="auto"/>
              </w:rPr>
            </w:pPr>
          </w:p>
        </w:tc>
        <w:tc>
          <w:tcPr>
            <w:tcW w:w="160" w:type="dxa"/>
            <w:vAlign w:val="bottom"/>
            <w:shd w:val="clear" w:color="auto" w:fill="D1EDF4"/>
          </w:tcPr>
          <w:p>
            <w:pPr>
              <w:spacing w:after="0"/>
              <w:rPr>
                <w:sz w:val="19"/>
                <w:szCs w:val="19"/>
                <w:color w:val="auto"/>
              </w:rPr>
            </w:pPr>
          </w:p>
        </w:tc>
        <w:tc>
          <w:tcPr>
            <w:tcW w:w="840" w:type="dxa"/>
            <w:vAlign w:val="bottom"/>
            <w:shd w:val="clear" w:color="auto" w:fill="D1EDF4"/>
          </w:tcPr>
          <w:p>
            <w:pPr>
              <w:jc w:val="right"/>
              <w:spacing w:after="0"/>
              <w:rPr>
                <w:sz w:val="20"/>
                <w:szCs w:val="20"/>
                <w:color w:val="auto"/>
              </w:rPr>
            </w:pPr>
            <w:r>
              <w:rPr>
                <w:rFonts w:ascii="Arial" w:cs="Arial" w:eastAsia="Arial" w:hAnsi="Arial"/>
                <w:sz w:val="18"/>
                <w:szCs w:val="18"/>
                <w:color w:val="auto"/>
                <w:shd w:val="clear" w:color="auto" w:fill="D1EDF4"/>
              </w:rPr>
              <w:t>(18,990)</w:t>
            </w:r>
          </w:p>
        </w:tc>
        <w:tc>
          <w:tcPr>
            <w:tcW w:w="120" w:type="dxa"/>
            <w:vAlign w:val="bottom"/>
            <w:shd w:val="clear" w:color="auto" w:fill="D1EDF4"/>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200" w:type="dxa"/>
            <w:vAlign w:val="bottom"/>
          </w:tcPr>
          <w:p>
            <w:pPr>
              <w:spacing w:after="0"/>
              <w:rPr>
                <w:sz w:val="20"/>
                <w:szCs w:val="20"/>
                <w:color w:val="auto"/>
              </w:rPr>
            </w:pPr>
            <w:r>
              <w:rPr>
                <w:rFonts w:ascii="Arial" w:cs="Arial" w:eastAsia="Arial" w:hAnsi="Arial"/>
                <w:sz w:val="18"/>
                <w:szCs w:val="18"/>
                <w:color w:val="auto"/>
              </w:rPr>
              <w:t>Asset impairment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20"/>
        </w:trPr>
        <w:tc>
          <w:tcPr>
            <w:tcW w:w="7200" w:type="dxa"/>
            <w:vAlign w:val="bottom"/>
            <w:shd w:val="clear" w:color="auto" w:fill="D1EDF4"/>
          </w:tcPr>
          <w:p>
            <w:pPr>
              <w:spacing w:after="0"/>
              <w:rPr>
                <w:sz w:val="20"/>
                <w:szCs w:val="20"/>
                <w:color w:val="auto"/>
              </w:rPr>
            </w:pPr>
            <w:r>
              <w:rPr>
                <w:rFonts w:ascii="Arial" w:cs="Arial" w:eastAsia="Arial" w:hAnsi="Arial"/>
                <w:sz w:val="18"/>
                <w:szCs w:val="18"/>
                <w:color w:val="auto"/>
              </w:rPr>
              <w:t>Gain on sale of building</w:t>
            </w:r>
          </w:p>
        </w:tc>
        <w:tc>
          <w:tcPr>
            <w:tcW w:w="220" w:type="dxa"/>
            <w:vAlign w:val="bottom"/>
            <w:tcBorders>
              <w:right w:val="single" w:sz="8" w:color="D1EDF4"/>
            </w:tcBorders>
            <w:shd w:val="clear" w:color="auto" w:fill="D1EDF4"/>
          </w:tcPr>
          <w:p>
            <w:pPr>
              <w:spacing w:after="0"/>
              <w:rPr>
                <w:sz w:val="19"/>
                <w:szCs w:val="19"/>
                <w:color w:val="auto"/>
              </w:rPr>
            </w:pPr>
          </w:p>
        </w:tc>
        <w:tc>
          <w:tcPr>
            <w:tcW w:w="140" w:type="dxa"/>
            <w:vAlign w:val="bottom"/>
            <w:shd w:val="clear" w:color="auto" w:fill="D1EDF4"/>
          </w:tcPr>
          <w:p>
            <w:pPr>
              <w:spacing w:after="0"/>
              <w:rPr>
                <w:sz w:val="19"/>
                <w:szCs w:val="19"/>
                <w:color w:val="auto"/>
              </w:rPr>
            </w:pPr>
          </w:p>
        </w:tc>
        <w:tc>
          <w:tcPr>
            <w:tcW w:w="860" w:type="dxa"/>
            <w:vAlign w:val="bottom"/>
            <w:shd w:val="clear" w:color="auto" w:fill="D1EDF4"/>
          </w:tcPr>
          <w:p>
            <w:pPr>
              <w:jc w:val="right"/>
              <w:spacing w:after="0"/>
              <w:rPr>
                <w:sz w:val="20"/>
                <w:szCs w:val="20"/>
                <w:color w:val="auto"/>
              </w:rPr>
            </w:pPr>
            <w:r>
              <w:rPr>
                <w:rFonts w:ascii="Arial" w:cs="Arial" w:eastAsia="Arial" w:hAnsi="Arial"/>
                <w:sz w:val="18"/>
                <w:szCs w:val="18"/>
                <w:color w:val="auto"/>
              </w:rPr>
              <w:t>10,960</w:t>
            </w:r>
          </w:p>
        </w:tc>
        <w:tc>
          <w:tcPr>
            <w:tcW w:w="160" w:type="dxa"/>
            <w:vAlign w:val="bottom"/>
            <w:tcBorders>
              <w:right w:val="single" w:sz="8" w:color="D1EDF4"/>
            </w:tcBorders>
            <w:shd w:val="clear" w:color="auto" w:fill="D1EDF4"/>
          </w:tcPr>
          <w:p>
            <w:pPr>
              <w:spacing w:after="0"/>
              <w:rPr>
                <w:sz w:val="19"/>
                <w:szCs w:val="19"/>
                <w:color w:val="auto"/>
              </w:rPr>
            </w:pPr>
          </w:p>
        </w:tc>
        <w:tc>
          <w:tcPr>
            <w:tcW w:w="160" w:type="dxa"/>
            <w:vAlign w:val="bottom"/>
            <w:shd w:val="clear" w:color="auto" w:fill="D1EDF4"/>
          </w:tcPr>
          <w:p>
            <w:pPr>
              <w:spacing w:after="0"/>
              <w:rPr>
                <w:sz w:val="19"/>
                <w:szCs w:val="19"/>
                <w:color w:val="auto"/>
              </w:rPr>
            </w:pPr>
          </w:p>
        </w:tc>
        <w:tc>
          <w:tcPr>
            <w:tcW w:w="840" w:type="dxa"/>
            <w:vAlign w:val="bottom"/>
            <w:shd w:val="clear" w:color="auto" w:fill="D1EDF4"/>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D1EDF4"/>
            </w:tcBorders>
            <w:shd w:val="clear" w:color="auto" w:fill="D1EDF4"/>
          </w:tcPr>
          <w:p>
            <w:pPr>
              <w:spacing w:after="0"/>
              <w:rPr>
                <w:sz w:val="19"/>
                <w:szCs w:val="19"/>
                <w:color w:val="auto"/>
              </w:rPr>
            </w:pPr>
          </w:p>
        </w:tc>
        <w:tc>
          <w:tcPr>
            <w:tcW w:w="160" w:type="dxa"/>
            <w:vAlign w:val="bottom"/>
            <w:shd w:val="clear" w:color="auto" w:fill="D1EDF4"/>
          </w:tcPr>
          <w:p>
            <w:pPr>
              <w:spacing w:after="0"/>
              <w:rPr>
                <w:sz w:val="19"/>
                <w:szCs w:val="19"/>
                <w:color w:val="auto"/>
              </w:rPr>
            </w:pPr>
          </w:p>
        </w:tc>
        <w:tc>
          <w:tcPr>
            <w:tcW w:w="840" w:type="dxa"/>
            <w:vAlign w:val="bottom"/>
            <w:shd w:val="clear" w:color="auto" w:fill="D1EDF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EDF4"/>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200" w:type="dxa"/>
            <w:vAlign w:val="bottom"/>
          </w:tcPr>
          <w:p>
            <w:pPr>
              <w:spacing w:after="0"/>
              <w:rPr>
                <w:sz w:val="20"/>
                <w:szCs w:val="20"/>
                <w:color w:val="auto"/>
              </w:rPr>
            </w:pPr>
            <w:r>
              <w:rPr>
                <w:rFonts w:ascii="Arial" w:cs="Arial" w:eastAsia="Arial" w:hAnsi="Arial"/>
                <w:sz w:val="18"/>
                <w:szCs w:val="18"/>
                <w:color w:val="auto"/>
              </w:rPr>
              <w:t>Gain on insurance</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200" w:type="dxa"/>
            <w:vAlign w:val="bottom"/>
            <w:tcBorders>
              <w:top w:val="single" w:sz="8" w:color="D1EDF4"/>
            </w:tcBorders>
            <w:shd w:val="clear" w:color="auto" w:fill="D1EDF4"/>
          </w:tcPr>
          <w:p>
            <w:pPr>
              <w:ind w:left="240"/>
              <w:spacing w:after="0"/>
              <w:rPr>
                <w:sz w:val="20"/>
                <w:szCs w:val="20"/>
                <w:color w:val="auto"/>
              </w:rPr>
            </w:pPr>
            <w:r>
              <w:rPr>
                <w:rFonts w:ascii="Arial" w:cs="Arial" w:eastAsia="Arial" w:hAnsi="Arial"/>
                <w:sz w:val="18"/>
                <w:szCs w:val="18"/>
                <w:color w:val="auto"/>
              </w:rPr>
              <w:t>Income (loss) from operations</w:t>
            </w:r>
          </w:p>
        </w:tc>
        <w:tc>
          <w:tcPr>
            <w:tcW w:w="220" w:type="dxa"/>
            <w:vAlign w:val="bottom"/>
            <w:tcBorders>
              <w:top w:val="single" w:sz="8" w:color="D1EDF4"/>
              <w:right w:val="single" w:sz="8" w:color="D1EDF4"/>
            </w:tcBorders>
            <w:shd w:val="clear" w:color="auto" w:fill="D1EDF4"/>
          </w:tcPr>
          <w:p>
            <w:pPr>
              <w:spacing w:after="0"/>
              <w:rPr>
                <w:sz w:val="18"/>
                <w:szCs w:val="18"/>
                <w:color w:val="auto"/>
              </w:rPr>
            </w:pPr>
          </w:p>
        </w:tc>
        <w:tc>
          <w:tcPr>
            <w:tcW w:w="140" w:type="dxa"/>
            <w:vAlign w:val="bottom"/>
            <w:tcBorders>
              <w:top w:val="single" w:sz="8" w:color="auto"/>
            </w:tcBorders>
            <w:shd w:val="clear" w:color="auto" w:fill="D1EDF4"/>
          </w:tcPr>
          <w:p>
            <w:pPr>
              <w:spacing w:after="0"/>
              <w:rPr>
                <w:sz w:val="18"/>
                <w:szCs w:val="18"/>
                <w:color w:val="auto"/>
              </w:rPr>
            </w:pPr>
          </w:p>
        </w:tc>
        <w:tc>
          <w:tcPr>
            <w:tcW w:w="860" w:type="dxa"/>
            <w:vAlign w:val="bottom"/>
            <w:tcBorders>
              <w:top w:val="single" w:sz="8" w:color="auto"/>
            </w:tcBorders>
            <w:shd w:val="clear" w:color="auto" w:fill="D1EDF4"/>
          </w:tcPr>
          <w:p>
            <w:pPr>
              <w:jc w:val="right"/>
              <w:spacing w:after="0"/>
              <w:rPr>
                <w:sz w:val="20"/>
                <w:szCs w:val="20"/>
                <w:color w:val="auto"/>
              </w:rPr>
            </w:pPr>
            <w:r>
              <w:rPr>
                <w:rFonts w:ascii="Arial" w:cs="Arial" w:eastAsia="Arial" w:hAnsi="Arial"/>
                <w:sz w:val="18"/>
                <w:szCs w:val="18"/>
                <w:color w:val="auto"/>
              </w:rPr>
              <w:t>3,852</w:t>
            </w:r>
          </w:p>
        </w:tc>
        <w:tc>
          <w:tcPr>
            <w:tcW w:w="160" w:type="dxa"/>
            <w:vAlign w:val="bottom"/>
            <w:tcBorders>
              <w:top w:val="single" w:sz="8" w:color="D1EDF4"/>
              <w:right w:val="single" w:sz="8" w:color="D1EDF4"/>
            </w:tcBorders>
            <w:shd w:val="clear" w:color="auto" w:fill="D1EDF4"/>
          </w:tcPr>
          <w:p>
            <w:pPr>
              <w:spacing w:after="0"/>
              <w:rPr>
                <w:sz w:val="18"/>
                <w:szCs w:val="18"/>
                <w:color w:val="auto"/>
              </w:rPr>
            </w:pPr>
          </w:p>
        </w:tc>
        <w:tc>
          <w:tcPr>
            <w:tcW w:w="160" w:type="dxa"/>
            <w:vAlign w:val="bottom"/>
            <w:tcBorders>
              <w:top w:val="single" w:sz="8" w:color="auto"/>
            </w:tcBorders>
            <w:shd w:val="clear" w:color="auto" w:fill="D1EDF4"/>
          </w:tcPr>
          <w:p>
            <w:pPr>
              <w:spacing w:after="0"/>
              <w:rPr>
                <w:sz w:val="18"/>
                <w:szCs w:val="18"/>
                <w:color w:val="auto"/>
              </w:rPr>
            </w:pPr>
          </w:p>
        </w:tc>
        <w:tc>
          <w:tcPr>
            <w:tcW w:w="840" w:type="dxa"/>
            <w:vAlign w:val="bottom"/>
            <w:tcBorders>
              <w:top w:val="single" w:sz="8" w:color="auto"/>
            </w:tcBorders>
            <w:shd w:val="clear" w:color="auto" w:fill="D1EDF4"/>
          </w:tcPr>
          <w:p>
            <w:pPr>
              <w:jc w:val="right"/>
              <w:spacing w:after="0"/>
              <w:rPr>
                <w:sz w:val="20"/>
                <w:szCs w:val="20"/>
                <w:color w:val="auto"/>
              </w:rPr>
            </w:pPr>
            <w:r>
              <w:rPr>
                <w:rFonts w:ascii="Arial" w:cs="Arial" w:eastAsia="Arial" w:hAnsi="Arial"/>
                <w:sz w:val="18"/>
                <w:szCs w:val="18"/>
                <w:color w:val="auto"/>
              </w:rPr>
              <w:t>(39,488)</w:t>
            </w:r>
          </w:p>
        </w:tc>
        <w:tc>
          <w:tcPr>
            <w:tcW w:w="100" w:type="dxa"/>
            <w:vAlign w:val="bottom"/>
            <w:tcBorders>
              <w:top w:val="single" w:sz="8" w:color="D1EDF4"/>
              <w:right w:val="single" w:sz="8" w:color="D1EDF4"/>
            </w:tcBorders>
            <w:shd w:val="clear" w:color="auto" w:fill="D1EDF4"/>
          </w:tcPr>
          <w:p>
            <w:pPr>
              <w:spacing w:after="0"/>
              <w:rPr>
                <w:sz w:val="18"/>
                <w:szCs w:val="18"/>
                <w:color w:val="auto"/>
              </w:rPr>
            </w:pPr>
          </w:p>
        </w:tc>
        <w:tc>
          <w:tcPr>
            <w:tcW w:w="160" w:type="dxa"/>
            <w:vAlign w:val="bottom"/>
            <w:tcBorders>
              <w:top w:val="single" w:sz="8" w:color="auto"/>
            </w:tcBorders>
            <w:shd w:val="clear" w:color="auto" w:fill="D1EDF4"/>
          </w:tcPr>
          <w:p>
            <w:pPr>
              <w:spacing w:after="0"/>
              <w:rPr>
                <w:sz w:val="18"/>
                <w:szCs w:val="18"/>
                <w:color w:val="auto"/>
              </w:rPr>
            </w:pPr>
          </w:p>
        </w:tc>
        <w:tc>
          <w:tcPr>
            <w:tcW w:w="840" w:type="dxa"/>
            <w:vAlign w:val="bottom"/>
            <w:tcBorders>
              <w:top w:val="single" w:sz="8" w:color="auto"/>
            </w:tcBorders>
            <w:shd w:val="clear" w:color="auto" w:fill="D1EDF4"/>
          </w:tcPr>
          <w:p>
            <w:pPr>
              <w:jc w:val="right"/>
              <w:spacing w:after="0"/>
              <w:rPr>
                <w:sz w:val="20"/>
                <w:szCs w:val="20"/>
                <w:color w:val="auto"/>
              </w:rPr>
            </w:pPr>
            <w:r>
              <w:rPr>
                <w:rFonts w:ascii="Arial" w:cs="Arial" w:eastAsia="Arial" w:hAnsi="Arial"/>
                <w:sz w:val="18"/>
                <w:szCs w:val="18"/>
                <w:color w:val="auto"/>
              </w:rPr>
              <w:t>(19,454)</w:t>
            </w:r>
          </w:p>
        </w:tc>
        <w:tc>
          <w:tcPr>
            <w:tcW w:w="120" w:type="dxa"/>
            <w:vAlign w:val="bottom"/>
            <w:tcBorders>
              <w:top w:val="single" w:sz="8" w:color="D1EDF4"/>
            </w:tcBorders>
            <w:shd w:val="clear" w:color="auto" w:fill="D1EDF4"/>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200" w:type="dxa"/>
            <w:vAlign w:val="bottom"/>
          </w:tcPr>
          <w:p>
            <w:pPr>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1,993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2,473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7200" w:type="dxa"/>
            <w:vAlign w:val="bottom"/>
            <w:tcBorders>
              <w:bottom w:val="single" w:sz="8" w:color="D1EDF4"/>
            </w:tcBorders>
            <w:shd w:val="clear" w:color="auto" w:fill="D1EDF4"/>
          </w:tcPr>
          <w:p>
            <w:pPr>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D1EDF4"/>
              <w:right w:val="single" w:sz="8" w:color="D1EDF4"/>
            </w:tcBorders>
            <w:shd w:val="clear" w:color="auto" w:fill="D1EDF4"/>
          </w:tcPr>
          <w:p>
            <w:pPr>
              <w:spacing w:after="0"/>
              <w:rPr>
                <w:sz w:val="20"/>
                <w:szCs w:val="20"/>
                <w:color w:val="auto"/>
              </w:rPr>
            </w:pPr>
          </w:p>
        </w:tc>
        <w:tc>
          <w:tcPr>
            <w:tcW w:w="140" w:type="dxa"/>
            <w:vAlign w:val="bottom"/>
            <w:tcBorders>
              <w:bottom w:val="single" w:sz="8" w:color="auto"/>
            </w:tcBorders>
            <w:shd w:val="clear" w:color="auto" w:fill="D1EDF4"/>
          </w:tcPr>
          <w:p>
            <w:pPr>
              <w:spacing w:after="0"/>
              <w:rPr>
                <w:sz w:val="20"/>
                <w:szCs w:val="20"/>
                <w:color w:val="auto"/>
              </w:rPr>
            </w:pPr>
          </w:p>
        </w:tc>
        <w:tc>
          <w:tcPr>
            <w:tcW w:w="860" w:type="dxa"/>
            <w:vAlign w:val="bottom"/>
            <w:tcBorders>
              <w:bottom w:val="single" w:sz="8" w:color="auto"/>
            </w:tcBorders>
            <w:shd w:val="clear" w:color="auto" w:fill="D1EDF4"/>
          </w:tcPr>
          <w:p>
            <w:pPr>
              <w:jc w:val="right"/>
              <w:spacing w:after="0"/>
              <w:rPr>
                <w:sz w:val="20"/>
                <w:szCs w:val="20"/>
                <w:color w:val="auto"/>
              </w:rPr>
            </w:pPr>
            <w:r>
              <w:rPr>
                <w:rFonts w:ascii="Arial" w:cs="Arial" w:eastAsia="Arial" w:hAnsi="Arial"/>
                <w:sz w:val="18"/>
                <w:szCs w:val="18"/>
                <w:color w:val="auto"/>
              </w:rPr>
              <w:t>(342)</w:t>
            </w:r>
          </w:p>
        </w:tc>
        <w:tc>
          <w:tcPr>
            <w:tcW w:w="160" w:type="dxa"/>
            <w:vAlign w:val="bottom"/>
            <w:tcBorders>
              <w:bottom w:val="single" w:sz="8" w:color="D1EDF4"/>
              <w:right w:val="single" w:sz="8" w:color="D1EDF4"/>
            </w:tcBorders>
            <w:shd w:val="clear" w:color="auto" w:fill="D1EDF4"/>
          </w:tcPr>
          <w:p>
            <w:pPr>
              <w:spacing w:after="0"/>
              <w:rPr>
                <w:sz w:val="20"/>
                <w:szCs w:val="20"/>
                <w:color w:val="auto"/>
              </w:rPr>
            </w:pPr>
          </w:p>
        </w:tc>
        <w:tc>
          <w:tcPr>
            <w:tcW w:w="160" w:type="dxa"/>
            <w:vAlign w:val="bottom"/>
            <w:tcBorders>
              <w:bottom w:val="single" w:sz="8" w:color="auto"/>
            </w:tcBorders>
            <w:shd w:val="clear" w:color="auto" w:fill="D1EDF4"/>
          </w:tcPr>
          <w:p>
            <w:pPr>
              <w:spacing w:after="0"/>
              <w:rPr>
                <w:sz w:val="20"/>
                <w:szCs w:val="20"/>
                <w:color w:val="auto"/>
              </w:rPr>
            </w:pPr>
          </w:p>
        </w:tc>
        <w:tc>
          <w:tcPr>
            <w:tcW w:w="840" w:type="dxa"/>
            <w:vAlign w:val="bottom"/>
            <w:tcBorders>
              <w:bottom w:val="single" w:sz="8" w:color="auto"/>
            </w:tcBorders>
            <w:shd w:val="clear" w:color="auto" w:fill="D1EDF4"/>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D1EDF4"/>
              <w:right w:val="single" w:sz="8" w:color="D1EDF4"/>
            </w:tcBorders>
            <w:shd w:val="clear" w:color="auto" w:fill="D1EDF4"/>
          </w:tcPr>
          <w:p>
            <w:pPr>
              <w:spacing w:after="0"/>
              <w:rPr>
                <w:sz w:val="20"/>
                <w:szCs w:val="20"/>
                <w:color w:val="auto"/>
              </w:rPr>
            </w:pPr>
          </w:p>
        </w:tc>
        <w:tc>
          <w:tcPr>
            <w:tcW w:w="160" w:type="dxa"/>
            <w:vAlign w:val="bottom"/>
            <w:tcBorders>
              <w:bottom w:val="single" w:sz="8" w:color="auto"/>
            </w:tcBorders>
            <w:shd w:val="clear" w:color="auto" w:fill="D1EDF4"/>
          </w:tcPr>
          <w:p>
            <w:pPr>
              <w:spacing w:after="0"/>
              <w:rPr>
                <w:sz w:val="20"/>
                <w:szCs w:val="20"/>
                <w:color w:val="auto"/>
              </w:rPr>
            </w:pPr>
          </w:p>
        </w:tc>
        <w:tc>
          <w:tcPr>
            <w:tcW w:w="840" w:type="dxa"/>
            <w:vAlign w:val="bottom"/>
            <w:tcBorders>
              <w:bottom w:val="single" w:sz="8" w:color="auto"/>
            </w:tcBorders>
            <w:shd w:val="clear" w:color="auto" w:fill="D1EDF4"/>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Borders>
              <w:bottom w:val="single" w:sz="8" w:color="D1EDF4"/>
            </w:tcBorders>
            <w:shd w:val="clear" w:color="auto" w:fill="D1EDF4"/>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7200" w:type="dxa"/>
            <w:vAlign w:val="bottom"/>
          </w:tcPr>
          <w:p>
            <w:pPr>
              <w:ind w:left="240"/>
              <w:spacing w:after="0" w:line="190" w:lineRule="exact"/>
              <w:rPr>
                <w:sz w:val="20"/>
                <w:szCs w:val="20"/>
                <w:color w:val="auto"/>
              </w:rPr>
            </w:pPr>
            <w:r>
              <w:rPr>
                <w:rFonts w:ascii="Arial" w:cs="Arial" w:eastAsia="Arial" w:hAnsi="Arial"/>
                <w:sz w:val="18"/>
                <w:szCs w:val="18"/>
                <w:color w:val="auto"/>
              </w:rPr>
              <w:t>Income (loss) before income taxes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line="190" w:lineRule="exact"/>
              <w:rPr>
                <w:sz w:val="20"/>
                <w:szCs w:val="20"/>
                <w:color w:val="auto"/>
              </w:rPr>
            </w:pPr>
            <w:r>
              <w:rPr>
                <w:rFonts w:ascii="Arial" w:cs="Arial" w:eastAsia="Arial" w:hAnsi="Arial"/>
                <w:sz w:val="18"/>
                <w:szCs w:val="18"/>
                <w:color w:val="auto"/>
              </w:rPr>
              <w:t>5,503</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line="190" w:lineRule="exact"/>
              <w:rPr>
                <w:sz w:val="20"/>
                <w:szCs w:val="20"/>
                <w:color w:val="auto"/>
              </w:rPr>
            </w:pPr>
            <w:r>
              <w:rPr>
                <w:rFonts w:ascii="Arial" w:cs="Arial" w:eastAsia="Arial" w:hAnsi="Arial"/>
                <w:sz w:val="18"/>
                <w:szCs w:val="18"/>
                <w:color w:val="auto"/>
              </w:rPr>
              <w:t>(37,334)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line="190" w:lineRule="exact"/>
              <w:rPr>
                <w:sz w:val="20"/>
                <w:szCs w:val="20"/>
                <w:color w:val="auto"/>
              </w:rPr>
            </w:pPr>
            <w:r>
              <w:rPr>
                <w:rFonts w:ascii="Arial" w:cs="Arial" w:eastAsia="Arial" w:hAnsi="Arial"/>
                <w:sz w:val="18"/>
                <w:szCs w:val="18"/>
                <w:color w:val="auto"/>
              </w:rPr>
              <w:t>(15,886)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200" w:type="dxa"/>
            <w:vAlign w:val="bottom"/>
            <w:shd w:val="clear" w:color="auto" w:fill="D1EDF4"/>
          </w:tcPr>
          <w:p>
            <w:pPr>
              <w:spacing w:after="0"/>
              <w:rPr>
                <w:sz w:val="20"/>
                <w:szCs w:val="20"/>
                <w:color w:val="auto"/>
              </w:rPr>
            </w:pPr>
            <w:r>
              <w:rPr>
                <w:rFonts w:ascii="Arial" w:cs="Arial" w:eastAsia="Arial" w:hAnsi="Arial"/>
                <w:sz w:val="18"/>
                <w:szCs w:val="18"/>
                <w:color w:val="auto"/>
              </w:rPr>
              <w:t>Income tax (expense) benefit</w:t>
            </w:r>
          </w:p>
        </w:tc>
        <w:tc>
          <w:tcPr>
            <w:tcW w:w="220" w:type="dxa"/>
            <w:vAlign w:val="bottom"/>
            <w:tcBorders>
              <w:right w:val="single" w:sz="8" w:color="D1EDF4"/>
            </w:tcBorders>
            <w:shd w:val="clear" w:color="auto" w:fill="D1EDF4"/>
          </w:tcPr>
          <w:p>
            <w:pPr>
              <w:spacing w:after="0"/>
              <w:rPr>
                <w:sz w:val="18"/>
                <w:szCs w:val="18"/>
                <w:color w:val="auto"/>
              </w:rPr>
            </w:pPr>
          </w:p>
        </w:tc>
        <w:tc>
          <w:tcPr>
            <w:tcW w:w="140" w:type="dxa"/>
            <w:vAlign w:val="bottom"/>
            <w:tcBorders>
              <w:bottom w:val="single" w:sz="8" w:color="auto"/>
            </w:tcBorders>
            <w:shd w:val="clear" w:color="auto" w:fill="D1EDF4"/>
          </w:tcPr>
          <w:p>
            <w:pPr>
              <w:spacing w:after="0"/>
              <w:rPr>
                <w:sz w:val="18"/>
                <w:szCs w:val="18"/>
                <w:color w:val="auto"/>
              </w:rPr>
            </w:pPr>
          </w:p>
        </w:tc>
        <w:tc>
          <w:tcPr>
            <w:tcW w:w="860" w:type="dxa"/>
            <w:vAlign w:val="bottom"/>
            <w:tcBorders>
              <w:bottom w:val="single" w:sz="8" w:color="auto"/>
            </w:tcBorders>
            <w:shd w:val="clear" w:color="auto" w:fill="D1EDF4"/>
          </w:tcPr>
          <w:p>
            <w:pPr>
              <w:jc w:val="right"/>
              <w:spacing w:after="0"/>
              <w:rPr>
                <w:sz w:val="20"/>
                <w:szCs w:val="20"/>
                <w:color w:val="auto"/>
              </w:rPr>
            </w:pPr>
            <w:r>
              <w:rPr>
                <w:rFonts w:ascii="Arial" w:cs="Arial" w:eastAsia="Arial" w:hAnsi="Arial"/>
                <w:sz w:val="18"/>
                <w:szCs w:val="18"/>
                <w:color w:val="auto"/>
              </w:rPr>
              <w:t>(296)</w:t>
            </w:r>
          </w:p>
        </w:tc>
        <w:tc>
          <w:tcPr>
            <w:tcW w:w="160" w:type="dxa"/>
            <w:vAlign w:val="bottom"/>
            <w:tcBorders>
              <w:right w:val="single" w:sz="8" w:color="D1EDF4"/>
            </w:tcBorders>
            <w:shd w:val="clear" w:color="auto" w:fill="D1EDF4"/>
          </w:tcPr>
          <w:p>
            <w:pPr>
              <w:spacing w:after="0"/>
              <w:rPr>
                <w:sz w:val="18"/>
                <w:szCs w:val="18"/>
                <w:color w:val="auto"/>
              </w:rPr>
            </w:pPr>
          </w:p>
        </w:tc>
        <w:tc>
          <w:tcPr>
            <w:tcW w:w="160" w:type="dxa"/>
            <w:vAlign w:val="bottom"/>
            <w:tcBorders>
              <w:bottom w:val="single" w:sz="8" w:color="auto"/>
            </w:tcBorders>
            <w:shd w:val="clear" w:color="auto" w:fill="D1EDF4"/>
          </w:tcPr>
          <w:p>
            <w:pPr>
              <w:spacing w:after="0"/>
              <w:rPr>
                <w:sz w:val="18"/>
                <w:szCs w:val="18"/>
                <w:color w:val="auto"/>
              </w:rPr>
            </w:pPr>
          </w:p>
        </w:tc>
        <w:tc>
          <w:tcPr>
            <w:tcW w:w="840" w:type="dxa"/>
            <w:vAlign w:val="bottom"/>
            <w:tcBorders>
              <w:bottom w:val="single" w:sz="8" w:color="auto"/>
            </w:tcBorders>
            <w:shd w:val="clear" w:color="auto" w:fill="D1EDF4"/>
          </w:tcPr>
          <w:p>
            <w:pPr>
              <w:jc w:val="right"/>
              <w:spacing w:after="0"/>
              <w:rPr>
                <w:sz w:val="20"/>
                <w:szCs w:val="20"/>
                <w:color w:val="auto"/>
              </w:rPr>
            </w:pPr>
            <w:r>
              <w:rPr>
                <w:rFonts w:ascii="Arial" w:cs="Arial" w:eastAsia="Arial" w:hAnsi="Arial"/>
                <w:sz w:val="18"/>
                <w:szCs w:val="18"/>
                <w:color w:val="auto"/>
              </w:rPr>
              <w:t>(5,836)</w:t>
            </w:r>
          </w:p>
        </w:tc>
        <w:tc>
          <w:tcPr>
            <w:tcW w:w="100" w:type="dxa"/>
            <w:vAlign w:val="bottom"/>
            <w:tcBorders>
              <w:right w:val="single" w:sz="8" w:color="D1EDF4"/>
            </w:tcBorders>
            <w:shd w:val="clear" w:color="auto" w:fill="D1EDF4"/>
          </w:tcPr>
          <w:p>
            <w:pPr>
              <w:spacing w:after="0"/>
              <w:rPr>
                <w:sz w:val="18"/>
                <w:szCs w:val="18"/>
                <w:color w:val="auto"/>
              </w:rPr>
            </w:pPr>
          </w:p>
        </w:tc>
        <w:tc>
          <w:tcPr>
            <w:tcW w:w="160" w:type="dxa"/>
            <w:vAlign w:val="bottom"/>
            <w:tcBorders>
              <w:bottom w:val="single" w:sz="8" w:color="auto"/>
            </w:tcBorders>
            <w:shd w:val="clear" w:color="auto" w:fill="D1EDF4"/>
          </w:tcPr>
          <w:p>
            <w:pPr>
              <w:spacing w:after="0"/>
              <w:rPr>
                <w:sz w:val="18"/>
                <w:szCs w:val="18"/>
                <w:color w:val="auto"/>
              </w:rPr>
            </w:pPr>
          </w:p>
        </w:tc>
        <w:tc>
          <w:tcPr>
            <w:tcW w:w="840" w:type="dxa"/>
            <w:vAlign w:val="bottom"/>
            <w:tcBorders>
              <w:bottom w:val="single" w:sz="8" w:color="auto"/>
            </w:tcBorders>
            <w:shd w:val="clear" w:color="auto" w:fill="D1EDF4"/>
          </w:tcPr>
          <w:p>
            <w:pPr>
              <w:jc w:val="right"/>
              <w:spacing w:after="0"/>
              <w:rPr>
                <w:sz w:val="20"/>
                <w:szCs w:val="20"/>
                <w:color w:val="auto"/>
              </w:rPr>
            </w:pPr>
            <w:r>
              <w:rPr>
                <w:rFonts w:ascii="Arial" w:cs="Arial" w:eastAsia="Arial" w:hAnsi="Arial"/>
                <w:sz w:val="18"/>
                <w:szCs w:val="18"/>
                <w:color w:val="auto"/>
              </w:rPr>
              <w:t>3,907</w:t>
            </w:r>
          </w:p>
        </w:tc>
        <w:tc>
          <w:tcPr>
            <w:tcW w:w="120" w:type="dxa"/>
            <w:vAlign w:val="bottom"/>
            <w:shd w:val="clear" w:color="auto" w:fill="D1EDF4"/>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200" w:type="dxa"/>
            <w:vAlign w:val="bottom"/>
            <w:tcBorders>
              <w:bottom w:val="single" w:sz="8" w:color="D1EDF4"/>
            </w:tcBorders>
          </w:tcPr>
          <w:p>
            <w:pPr>
              <w:ind w:left="24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D1EDF4"/>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5,207</w:t>
            </w:r>
          </w:p>
        </w:tc>
        <w:tc>
          <w:tcPr>
            <w:tcW w:w="160" w:type="dxa"/>
            <w:vAlign w:val="bottom"/>
            <w:tcBorders>
              <w:bottom w:val="single" w:sz="8" w:color="D1EDF4"/>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(43,170)</w:t>
            </w:r>
          </w:p>
        </w:tc>
        <w:tc>
          <w:tcPr>
            <w:tcW w:w="100" w:type="dxa"/>
            <w:vAlign w:val="bottom"/>
            <w:tcBorders>
              <w:bottom w:val="single" w:sz="8" w:color="D1EDF4"/>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(11,979)</w:t>
            </w:r>
          </w:p>
        </w:tc>
        <w:tc>
          <w:tcPr>
            <w:tcW w:w="120" w:type="dxa"/>
            <w:vAlign w:val="bottom"/>
            <w:tcBorders>
              <w:bottom w:val="single" w:sz="8" w:color="D1EDF4"/>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200" w:type="dxa"/>
            <w:vAlign w:val="bottom"/>
            <w:shd w:val="clear" w:color="auto" w:fill="D1EDF4"/>
          </w:tcPr>
          <w:p>
            <w:pPr>
              <w:spacing w:after="0"/>
              <w:rPr>
                <w:sz w:val="19"/>
                <w:szCs w:val="19"/>
                <w:color w:val="auto"/>
              </w:rPr>
            </w:pPr>
          </w:p>
        </w:tc>
        <w:tc>
          <w:tcPr>
            <w:tcW w:w="220" w:type="dxa"/>
            <w:vAlign w:val="bottom"/>
            <w:tcBorders>
              <w:right w:val="single" w:sz="8" w:color="D1EDF4"/>
            </w:tcBorders>
            <w:shd w:val="clear" w:color="auto" w:fill="D1EDF4"/>
          </w:tcPr>
          <w:p>
            <w:pPr>
              <w:spacing w:after="0"/>
              <w:rPr>
                <w:sz w:val="19"/>
                <w:szCs w:val="19"/>
                <w:color w:val="auto"/>
              </w:rPr>
            </w:pPr>
          </w:p>
        </w:tc>
        <w:tc>
          <w:tcPr>
            <w:tcW w:w="140" w:type="dxa"/>
            <w:vAlign w:val="bottom"/>
            <w:shd w:val="clear" w:color="auto" w:fill="D1EDF4"/>
          </w:tcPr>
          <w:p>
            <w:pPr>
              <w:spacing w:after="0"/>
              <w:rPr>
                <w:sz w:val="19"/>
                <w:szCs w:val="19"/>
                <w:color w:val="auto"/>
              </w:rPr>
            </w:pPr>
          </w:p>
        </w:tc>
        <w:tc>
          <w:tcPr>
            <w:tcW w:w="860" w:type="dxa"/>
            <w:vAlign w:val="bottom"/>
            <w:shd w:val="clear" w:color="auto" w:fill="D1EDF4"/>
          </w:tcPr>
          <w:p>
            <w:pPr>
              <w:spacing w:after="0"/>
              <w:rPr>
                <w:sz w:val="19"/>
                <w:szCs w:val="19"/>
                <w:color w:val="auto"/>
              </w:rPr>
            </w:pPr>
          </w:p>
        </w:tc>
        <w:tc>
          <w:tcPr>
            <w:tcW w:w="160" w:type="dxa"/>
            <w:vAlign w:val="bottom"/>
            <w:tcBorders>
              <w:right w:val="single" w:sz="8" w:color="D1EDF4"/>
            </w:tcBorders>
            <w:shd w:val="clear" w:color="auto" w:fill="D1EDF4"/>
          </w:tcPr>
          <w:p>
            <w:pPr>
              <w:spacing w:after="0"/>
              <w:rPr>
                <w:sz w:val="19"/>
                <w:szCs w:val="19"/>
                <w:color w:val="auto"/>
              </w:rPr>
            </w:pPr>
          </w:p>
        </w:tc>
        <w:tc>
          <w:tcPr>
            <w:tcW w:w="160" w:type="dxa"/>
            <w:vAlign w:val="bottom"/>
            <w:shd w:val="clear" w:color="auto" w:fill="D1EDF4"/>
          </w:tcPr>
          <w:p>
            <w:pPr>
              <w:spacing w:after="0"/>
              <w:rPr>
                <w:sz w:val="19"/>
                <w:szCs w:val="19"/>
                <w:color w:val="auto"/>
              </w:rPr>
            </w:pPr>
          </w:p>
        </w:tc>
        <w:tc>
          <w:tcPr>
            <w:tcW w:w="840" w:type="dxa"/>
            <w:vAlign w:val="bottom"/>
            <w:shd w:val="clear" w:color="auto" w:fill="D1EDF4"/>
          </w:tcPr>
          <w:p>
            <w:pPr>
              <w:spacing w:after="0"/>
              <w:rPr>
                <w:sz w:val="19"/>
                <w:szCs w:val="19"/>
                <w:color w:val="auto"/>
              </w:rPr>
            </w:pPr>
          </w:p>
        </w:tc>
        <w:tc>
          <w:tcPr>
            <w:tcW w:w="100" w:type="dxa"/>
            <w:vAlign w:val="bottom"/>
            <w:tcBorders>
              <w:right w:val="single" w:sz="8" w:color="D1EDF4"/>
            </w:tcBorders>
            <w:shd w:val="clear" w:color="auto" w:fill="D1EDF4"/>
          </w:tcPr>
          <w:p>
            <w:pPr>
              <w:spacing w:after="0"/>
              <w:rPr>
                <w:sz w:val="19"/>
                <w:szCs w:val="19"/>
                <w:color w:val="auto"/>
              </w:rPr>
            </w:pPr>
          </w:p>
        </w:tc>
        <w:tc>
          <w:tcPr>
            <w:tcW w:w="160" w:type="dxa"/>
            <w:vAlign w:val="bottom"/>
            <w:shd w:val="clear" w:color="auto" w:fill="D1EDF4"/>
          </w:tcPr>
          <w:p>
            <w:pPr>
              <w:spacing w:after="0"/>
              <w:rPr>
                <w:sz w:val="19"/>
                <w:szCs w:val="19"/>
                <w:color w:val="auto"/>
              </w:rPr>
            </w:pPr>
          </w:p>
        </w:tc>
        <w:tc>
          <w:tcPr>
            <w:tcW w:w="840" w:type="dxa"/>
            <w:vAlign w:val="bottom"/>
            <w:shd w:val="clear" w:color="auto" w:fill="D1EDF4"/>
          </w:tcPr>
          <w:p>
            <w:pPr>
              <w:spacing w:after="0"/>
              <w:rPr>
                <w:sz w:val="19"/>
                <w:szCs w:val="19"/>
                <w:color w:val="auto"/>
              </w:rPr>
            </w:pPr>
          </w:p>
        </w:tc>
        <w:tc>
          <w:tcPr>
            <w:tcW w:w="120" w:type="dxa"/>
            <w:vAlign w:val="bottom"/>
            <w:shd w:val="clear" w:color="auto" w:fill="D1EDF4"/>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200" w:type="dxa"/>
            <w:vAlign w:val="bottom"/>
          </w:tcPr>
          <w:p>
            <w:pPr>
              <w:spacing w:after="0"/>
              <w:rPr>
                <w:sz w:val="20"/>
                <w:szCs w:val="20"/>
                <w:color w:val="auto"/>
              </w:rPr>
            </w:pPr>
            <w:r>
              <w:rPr>
                <w:rFonts w:ascii="Arial" w:cs="Arial" w:eastAsia="Arial" w:hAnsi="Arial"/>
                <w:sz w:val="18"/>
                <w:szCs w:val="18"/>
                <w:color w:val="auto"/>
              </w:rPr>
              <w:t>Basic net income (loss) per common share</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0.65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(5.19)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7200" w:type="dxa"/>
            <w:vAlign w:val="bottom"/>
            <w:vMerge w:val="restart"/>
            <w:shd w:val="clear" w:color="auto" w:fill="D1EDF4"/>
          </w:tcPr>
          <w:p>
            <w:pPr>
              <w:spacing w:after="0"/>
              <w:rPr>
                <w:sz w:val="20"/>
                <w:szCs w:val="20"/>
                <w:color w:val="auto"/>
              </w:rPr>
            </w:pPr>
            <w:r>
              <w:rPr>
                <w:rFonts w:ascii="Arial" w:cs="Arial" w:eastAsia="Arial" w:hAnsi="Arial"/>
                <w:sz w:val="18"/>
                <w:szCs w:val="18"/>
                <w:color w:val="auto"/>
              </w:rPr>
              <w:t>Diluted net income (loss) per common share</w:t>
            </w:r>
          </w:p>
        </w:tc>
        <w:tc>
          <w:tcPr>
            <w:tcW w:w="220" w:type="dxa"/>
            <w:vAlign w:val="bottom"/>
            <w:tcBorders>
              <w:right w:val="single" w:sz="8" w:color="D1EDF4"/>
            </w:tcBorders>
            <w:shd w:val="clear" w:color="auto" w:fill="D1EDF4"/>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Borders>
              <w:right w:val="single" w:sz="8" w:color="D1EDF4"/>
            </w:tcBorders>
            <w:shd w:val="clear" w:color="auto" w:fill="D1EDF4"/>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Borders>
              <w:right w:val="single" w:sz="8" w:color="D1EDF4"/>
            </w:tcBorders>
            <w:shd w:val="clear" w:color="auto" w:fill="D1EDF4"/>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D1EDF4"/>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7200" w:type="dxa"/>
            <w:vAlign w:val="bottom"/>
            <w:vMerge w:val="continue"/>
            <w:shd w:val="clear" w:color="auto" w:fill="D1EDF4"/>
          </w:tcPr>
          <w:p>
            <w:pPr>
              <w:spacing w:after="0"/>
              <w:rPr>
                <w:sz w:val="19"/>
                <w:szCs w:val="19"/>
                <w:color w:val="auto"/>
              </w:rPr>
            </w:pPr>
          </w:p>
        </w:tc>
        <w:tc>
          <w:tcPr>
            <w:tcW w:w="220" w:type="dxa"/>
            <w:vAlign w:val="bottom"/>
            <w:tcBorders>
              <w:right w:val="single" w:sz="8" w:color="D1EDF4"/>
            </w:tcBorders>
            <w:shd w:val="clear" w:color="auto" w:fill="D1EDF4"/>
          </w:tcPr>
          <w:p>
            <w:pPr>
              <w:spacing w:after="0"/>
              <w:rPr>
                <w:sz w:val="19"/>
                <w:szCs w:val="19"/>
                <w:color w:val="auto"/>
              </w:rPr>
            </w:pPr>
          </w:p>
        </w:tc>
        <w:tc>
          <w:tcPr>
            <w:tcW w:w="140" w:type="dxa"/>
            <w:vAlign w:val="bottom"/>
            <w:shd w:val="clear" w:color="auto" w:fill="D1EDF4"/>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D1EDF4"/>
          </w:tcPr>
          <w:p>
            <w:pPr>
              <w:jc w:val="right"/>
              <w:spacing w:after="0"/>
              <w:rPr>
                <w:sz w:val="20"/>
                <w:szCs w:val="20"/>
                <w:color w:val="auto"/>
              </w:rPr>
            </w:pPr>
            <w:r>
              <w:rPr>
                <w:rFonts w:ascii="Arial" w:cs="Arial" w:eastAsia="Arial" w:hAnsi="Arial"/>
                <w:sz w:val="18"/>
                <w:szCs w:val="18"/>
                <w:color w:val="auto"/>
              </w:rPr>
              <w:t>0.63</w:t>
            </w:r>
          </w:p>
        </w:tc>
        <w:tc>
          <w:tcPr>
            <w:tcW w:w="320" w:type="dxa"/>
            <w:vAlign w:val="bottom"/>
            <w:gridSpan w:val="2"/>
            <w:shd w:val="clear" w:color="auto" w:fill="D1EDF4"/>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D1EDF4"/>
          </w:tcPr>
          <w:p>
            <w:pPr>
              <w:jc w:val="right"/>
              <w:spacing w:after="0"/>
              <w:rPr>
                <w:sz w:val="20"/>
                <w:szCs w:val="20"/>
                <w:color w:val="auto"/>
              </w:rPr>
            </w:pPr>
            <w:r>
              <w:rPr>
                <w:rFonts w:ascii="Arial" w:cs="Arial" w:eastAsia="Arial" w:hAnsi="Arial"/>
                <w:sz w:val="18"/>
                <w:szCs w:val="18"/>
                <w:color w:val="auto"/>
              </w:rPr>
              <w:t>(5.19)</w:t>
            </w:r>
          </w:p>
        </w:tc>
        <w:tc>
          <w:tcPr>
            <w:tcW w:w="260" w:type="dxa"/>
            <w:vAlign w:val="bottom"/>
            <w:gridSpan w:val="2"/>
            <w:shd w:val="clear" w:color="auto" w:fill="D1EDF4"/>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D1EDF4"/>
          </w:tcPr>
          <w:p>
            <w:pPr>
              <w:jc w:val="right"/>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D1EDF4"/>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200" w:type="dxa"/>
            <w:vAlign w:val="bottom"/>
            <w:shd w:val="clear" w:color="auto" w:fill="D1EDF4"/>
          </w:tcPr>
          <w:p>
            <w:pPr>
              <w:spacing w:after="0"/>
              <w:rPr>
                <w:sz w:val="20"/>
                <w:szCs w:val="20"/>
                <w:color w:val="auto"/>
              </w:rPr>
            </w:pPr>
            <w:r>
              <w:rPr>
                <w:rFonts w:ascii="Arial" w:cs="Arial" w:eastAsia="Arial" w:hAnsi="Arial"/>
                <w:sz w:val="18"/>
                <w:szCs w:val="18"/>
                <w:color w:val="auto"/>
              </w:rPr>
              <w:t>Weighted average number of shares outstanding</w:t>
            </w:r>
          </w:p>
        </w:tc>
        <w:tc>
          <w:tcPr>
            <w:tcW w:w="220" w:type="dxa"/>
            <w:vAlign w:val="bottom"/>
            <w:tcBorders>
              <w:right w:val="single" w:sz="8" w:color="D1EDF4"/>
            </w:tcBorders>
            <w:shd w:val="clear" w:color="auto" w:fill="D1EDF4"/>
          </w:tcPr>
          <w:p>
            <w:pPr>
              <w:spacing w:after="0"/>
              <w:rPr>
                <w:sz w:val="19"/>
                <w:szCs w:val="19"/>
                <w:color w:val="auto"/>
              </w:rPr>
            </w:pPr>
          </w:p>
        </w:tc>
        <w:tc>
          <w:tcPr>
            <w:tcW w:w="140" w:type="dxa"/>
            <w:vAlign w:val="bottom"/>
            <w:shd w:val="clear" w:color="auto" w:fill="D1EDF4"/>
          </w:tcPr>
          <w:p>
            <w:pPr>
              <w:spacing w:after="0"/>
              <w:rPr>
                <w:sz w:val="19"/>
                <w:szCs w:val="19"/>
                <w:color w:val="auto"/>
              </w:rPr>
            </w:pPr>
          </w:p>
        </w:tc>
        <w:tc>
          <w:tcPr>
            <w:tcW w:w="860" w:type="dxa"/>
            <w:vAlign w:val="bottom"/>
            <w:shd w:val="clear" w:color="auto" w:fill="D1EDF4"/>
          </w:tcPr>
          <w:p>
            <w:pPr>
              <w:spacing w:after="0"/>
              <w:rPr>
                <w:sz w:val="19"/>
                <w:szCs w:val="19"/>
                <w:color w:val="auto"/>
              </w:rPr>
            </w:pPr>
          </w:p>
        </w:tc>
        <w:tc>
          <w:tcPr>
            <w:tcW w:w="160" w:type="dxa"/>
            <w:vAlign w:val="bottom"/>
            <w:tcBorders>
              <w:right w:val="single" w:sz="8" w:color="D1EDF4"/>
            </w:tcBorders>
            <w:shd w:val="clear" w:color="auto" w:fill="D1EDF4"/>
          </w:tcPr>
          <w:p>
            <w:pPr>
              <w:spacing w:after="0"/>
              <w:rPr>
                <w:sz w:val="19"/>
                <w:szCs w:val="19"/>
                <w:color w:val="auto"/>
              </w:rPr>
            </w:pPr>
          </w:p>
        </w:tc>
        <w:tc>
          <w:tcPr>
            <w:tcW w:w="160" w:type="dxa"/>
            <w:vAlign w:val="bottom"/>
            <w:shd w:val="clear" w:color="auto" w:fill="D1EDF4"/>
          </w:tcPr>
          <w:p>
            <w:pPr>
              <w:spacing w:after="0"/>
              <w:rPr>
                <w:sz w:val="19"/>
                <w:szCs w:val="19"/>
                <w:color w:val="auto"/>
              </w:rPr>
            </w:pPr>
          </w:p>
        </w:tc>
        <w:tc>
          <w:tcPr>
            <w:tcW w:w="840" w:type="dxa"/>
            <w:vAlign w:val="bottom"/>
            <w:shd w:val="clear" w:color="auto" w:fill="D1EDF4"/>
          </w:tcPr>
          <w:p>
            <w:pPr>
              <w:spacing w:after="0"/>
              <w:rPr>
                <w:sz w:val="19"/>
                <w:szCs w:val="19"/>
                <w:color w:val="auto"/>
              </w:rPr>
            </w:pPr>
          </w:p>
        </w:tc>
        <w:tc>
          <w:tcPr>
            <w:tcW w:w="100" w:type="dxa"/>
            <w:vAlign w:val="bottom"/>
            <w:tcBorders>
              <w:right w:val="single" w:sz="8" w:color="D1EDF4"/>
            </w:tcBorders>
            <w:shd w:val="clear" w:color="auto" w:fill="D1EDF4"/>
          </w:tcPr>
          <w:p>
            <w:pPr>
              <w:spacing w:after="0"/>
              <w:rPr>
                <w:sz w:val="19"/>
                <w:szCs w:val="19"/>
                <w:color w:val="auto"/>
              </w:rPr>
            </w:pPr>
          </w:p>
        </w:tc>
        <w:tc>
          <w:tcPr>
            <w:tcW w:w="160" w:type="dxa"/>
            <w:vAlign w:val="bottom"/>
            <w:shd w:val="clear" w:color="auto" w:fill="D1EDF4"/>
          </w:tcPr>
          <w:p>
            <w:pPr>
              <w:spacing w:after="0"/>
              <w:rPr>
                <w:sz w:val="19"/>
                <w:szCs w:val="19"/>
                <w:color w:val="auto"/>
              </w:rPr>
            </w:pPr>
          </w:p>
        </w:tc>
        <w:tc>
          <w:tcPr>
            <w:tcW w:w="840" w:type="dxa"/>
            <w:vAlign w:val="bottom"/>
            <w:shd w:val="clear" w:color="auto" w:fill="D1EDF4"/>
          </w:tcPr>
          <w:p>
            <w:pPr>
              <w:spacing w:after="0"/>
              <w:rPr>
                <w:sz w:val="19"/>
                <w:szCs w:val="19"/>
                <w:color w:val="auto"/>
              </w:rPr>
            </w:pPr>
          </w:p>
        </w:tc>
        <w:tc>
          <w:tcPr>
            <w:tcW w:w="120" w:type="dxa"/>
            <w:vAlign w:val="bottom"/>
            <w:shd w:val="clear" w:color="auto" w:fill="D1EDF4"/>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200" w:type="dxa"/>
            <w:vAlign w:val="bottom"/>
            <w:tcBorders>
              <w:bottom w:val="single" w:sz="8" w:color="D1EDF4"/>
            </w:tcBorders>
          </w:tcPr>
          <w:p>
            <w:pPr>
              <w:ind w:left="24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D1EDF4"/>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8,057</w:t>
            </w:r>
          </w:p>
        </w:tc>
        <w:tc>
          <w:tcPr>
            <w:tcW w:w="160" w:type="dxa"/>
            <w:vAlign w:val="bottom"/>
            <w:tcBorders>
              <w:bottom w:val="single" w:sz="8" w:color="D1EDF4"/>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8,315</w:t>
            </w:r>
          </w:p>
        </w:tc>
        <w:tc>
          <w:tcPr>
            <w:tcW w:w="100" w:type="dxa"/>
            <w:vAlign w:val="bottom"/>
            <w:tcBorders>
              <w:bottom w:val="single" w:sz="8" w:color="D1EDF4"/>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8,221</w:t>
            </w:r>
          </w:p>
        </w:tc>
        <w:tc>
          <w:tcPr>
            <w:tcW w:w="120" w:type="dxa"/>
            <w:vAlign w:val="bottom"/>
            <w:tcBorders>
              <w:bottom w:val="single" w:sz="8" w:color="D1EDF4"/>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7200" w:type="dxa"/>
            <w:vAlign w:val="bottom"/>
            <w:shd w:val="clear" w:color="auto" w:fill="D1EDF4"/>
          </w:tcPr>
          <w:p>
            <w:pPr>
              <w:ind w:left="240"/>
              <w:spacing w:after="0"/>
              <w:rPr>
                <w:sz w:val="20"/>
                <w:szCs w:val="20"/>
                <w:color w:val="auto"/>
              </w:rPr>
            </w:pPr>
            <w:r>
              <w:rPr>
                <w:rFonts w:ascii="Arial" w:cs="Arial" w:eastAsia="Arial" w:hAnsi="Arial"/>
                <w:sz w:val="18"/>
                <w:szCs w:val="18"/>
                <w:color w:val="auto"/>
              </w:rPr>
              <w:t>Diluted</w:t>
            </w:r>
          </w:p>
        </w:tc>
        <w:tc>
          <w:tcPr>
            <w:tcW w:w="220" w:type="dxa"/>
            <w:vAlign w:val="bottom"/>
            <w:tcBorders>
              <w:right w:val="single" w:sz="8" w:color="D1EDF4"/>
            </w:tcBorders>
            <w:shd w:val="clear" w:color="auto" w:fill="D1EDF4"/>
          </w:tcPr>
          <w:p>
            <w:pPr>
              <w:spacing w:after="0"/>
              <w:rPr>
                <w:sz w:val="20"/>
                <w:szCs w:val="20"/>
                <w:color w:val="auto"/>
              </w:rPr>
            </w:pPr>
          </w:p>
        </w:tc>
        <w:tc>
          <w:tcPr>
            <w:tcW w:w="140" w:type="dxa"/>
            <w:vAlign w:val="bottom"/>
            <w:tcBorders>
              <w:bottom w:val="single" w:sz="8" w:color="auto"/>
            </w:tcBorders>
            <w:shd w:val="clear" w:color="auto" w:fill="D1EDF4"/>
          </w:tcPr>
          <w:p>
            <w:pPr>
              <w:spacing w:after="0"/>
              <w:rPr>
                <w:sz w:val="20"/>
                <w:szCs w:val="20"/>
                <w:color w:val="auto"/>
              </w:rPr>
            </w:pPr>
          </w:p>
        </w:tc>
        <w:tc>
          <w:tcPr>
            <w:tcW w:w="860" w:type="dxa"/>
            <w:vAlign w:val="bottom"/>
            <w:tcBorders>
              <w:bottom w:val="single" w:sz="8" w:color="auto"/>
            </w:tcBorders>
            <w:shd w:val="clear" w:color="auto" w:fill="D1EDF4"/>
          </w:tcPr>
          <w:p>
            <w:pPr>
              <w:jc w:val="right"/>
              <w:spacing w:after="0"/>
              <w:rPr>
                <w:sz w:val="20"/>
                <w:szCs w:val="20"/>
                <w:color w:val="auto"/>
              </w:rPr>
            </w:pPr>
            <w:r>
              <w:rPr>
                <w:rFonts w:ascii="Arial" w:cs="Arial" w:eastAsia="Arial" w:hAnsi="Arial"/>
                <w:sz w:val="18"/>
                <w:szCs w:val="18"/>
                <w:color w:val="auto"/>
              </w:rPr>
              <w:t>8,300</w:t>
            </w:r>
          </w:p>
        </w:tc>
        <w:tc>
          <w:tcPr>
            <w:tcW w:w="160" w:type="dxa"/>
            <w:vAlign w:val="bottom"/>
            <w:tcBorders>
              <w:right w:val="single" w:sz="8" w:color="D1EDF4"/>
            </w:tcBorders>
            <w:shd w:val="clear" w:color="auto" w:fill="D1EDF4"/>
          </w:tcPr>
          <w:p>
            <w:pPr>
              <w:spacing w:after="0"/>
              <w:rPr>
                <w:sz w:val="20"/>
                <w:szCs w:val="20"/>
                <w:color w:val="auto"/>
              </w:rPr>
            </w:pPr>
          </w:p>
        </w:tc>
        <w:tc>
          <w:tcPr>
            <w:tcW w:w="160" w:type="dxa"/>
            <w:vAlign w:val="bottom"/>
            <w:tcBorders>
              <w:bottom w:val="single" w:sz="8" w:color="auto"/>
            </w:tcBorders>
            <w:shd w:val="clear" w:color="auto" w:fill="D1EDF4"/>
          </w:tcPr>
          <w:p>
            <w:pPr>
              <w:spacing w:after="0"/>
              <w:rPr>
                <w:sz w:val="20"/>
                <w:szCs w:val="20"/>
                <w:color w:val="auto"/>
              </w:rPr>
            </w:pPr>
          </w:p>
        </w:tc>
        <w:tc>
          <w:tcPr>
            <w:tcW w:w="840" w:type="dxa"/>
            <w:vAlign w:val="bottom"/>
            <w:tcBorders>
              <w:bottom w:val="single" w:sz="8" w:color="auto"/>
            </w:tcBorders>
            <w:shd w:val="clear" w:color="auto" w:fill="D1EDF4"/>
          </w:tcPr>
          <w:p>
            <w:pPr>
              <w:jc w:val="right"/>
              <w:spacing w:after="0"/>
              <w:rPr>
                <w:sz w:val="20"/>
                <w:szCs w:val="20"/>
                <w:color w:val="auto"/>
              </w:rPr>
            </w:pPr>
            <w:r>
              <w:rPr>
                <w:rFonts w:ascii="Arial" w:cs="Arial" w:eastAsia="Arial" w:hAnsi="Arial"/>
                <w:sz w:val="18"/>
                <w:szCs w:val="18"/>
                <w:color w:val="auto"/>
              </w:rPr>
              <w:t>8,315</w:t>
            </w:r>
          </w:p>
        </w:tc>
        <w:tc>
          <w:tcPr>
            <w:tcW w:w="100" w:type="dxa"/>
            <w:vAlign w:val="bottom"/>
            <w:tcBorders>
              <w:right w:val="single" w:sz="8" w:color="D1EDF4"/>
            </w:tcBorders>
            <w:shd w:val="clear" w:color="auto" w:fill="D1EDF4"/>
          </w:tcPr>
          <w:p>
            <w:pPr>
              <w:spacing w:after="0"/>
              <w:rPr>
                <w:sz w:val="20"/>
                <w:szCs w:val="20"/>
                <w:color w:val="auto"/>
              </w:rPr>
            </w:pPr>
          </w:p>
        </w:tc>
        <w:tc>
          <w:tcPr>
            <w:tcW w:w="160" w:type="dxa"/>
            <w:vAlign w:val="bottom"/>
            <w:tcBorders>
              <w:bottom w:val="single" w:sz="8" w:color="auto"/>
            </w:tcBorders>
            <w:shd w:val="clear" w:color="auto" w:fill="D1EDF4"/>
          </w:tcPr>
          <w:p>
            <w:pPr>
              <w:spacing w:after="0"/>
              <w:rPr>
                <w:sz w:val="20"/>
                <w:szCs w:val="20"/>
                <w:color w:val="auto"/>
              </w:rPr>
            </w:pPr>
          </w:p>
        </w:tc>
        <w:tc>
          <w:tcPr>
            <w:tcW w:w="840" w:type="dxa"/>
            <w:vAlign w:val="bottom"/>
            <w:tcBorders>
              <w:bottom w:val="single" w:sz="8" w:color="auto"/>
            </w:tcBorders>
            <w:shd w:val="clear" w:color="auto" w:fill="D1EDF4"/>
          </w:tcPr>
          <w:p>
            <w:pPr>
              <w:jc w:val="right"/>
              <w:spacing w:after="0"/>
              <w:rPr>
                <w:sz w:val="20"/>
                <w:szCs w:val="20"/>
                <w:color w:val="auto"/>
              </w:rPr>
            </w:pPr>
            <w:r>
              <w:rPr>
                <w:rFonts w:ascii="Arial" w:cs="Arial" w:eastAsia="Arial" w:hAnsi="Arial"/>
                <w:sz w:val="18"/>
                <w:szCs w:val="18"/>
                <w:color w:val="auto"/>
              </w:rPr>
              <w:t>8,221</w:t>
            </w:r>
          </w:p>
        </w:tc>
        <w:tc>
          <w:tcPr>
            <w:tcW w:w="120" w:type="dxa"/>
            <w:vAlign w:val="bottom"/>
            <w:shd w:val="clear" w:color="auto" w:fill="D1EDF4"/>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See accompanying notes to consolidated financial statements.</w:t>
      </w:r>
    </w:p>
    <w:p>
      <w:pPr>
        <w:sectPr>
          <w:pgSz w:w="11880" w:h="15480" w:orient="portrait"/>
          <w:cols w:equalWidth="0" w:num="1">
            <w:col w:w="10800"/>
          </w:cols>
          <w:pgMar w:left="540" w:top="804" w:right="540" w:bottom="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ectPr>
          <w:pgSz w:w="11880" w:h="15480" w:orient="portrait"/>
          <w:cols w:equalWidth="0" w:num="1">
            <w:col w:w="10800"/>
          </w:cols>
          <w:pgMar w:left="540" w:top="804" w:right="540" w:bottom="16" w:gutter="0" w:footer="0" w:header="0"/>
          <w:type w:val="continuous"/>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Citi Trends,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rPr>
              <w:t>Fiscal Year</w:t>
            </w: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74"/>
        </w:trPr>
        <w:tc>
          <w:tcPr>
            <w:tcW w:w="7320" w:type="dxa"/>
            <w:vAlign w:val="bottom"/>
            <w:tcBorders>
              <w:bottom w:val="single" w:sz="8" w:color="D1EDF4"/>
            </w:tcBorders>
          </w:tcPr>
          <w:p>
            <w:pPr>
              <w:spacing w:after="0"/>
              <w:rPr>
                <w:sz w:val="15"/>
                <w:szCs w:val="15"/>
                <w:color w:val="auto"/>
              </w:rPr>
            </w:pPr>
          </w:p>
        </w:tc>
        <w:tc>
          <w:tcPr>
            <w:tcW w:w="180" w:type="dxa"/>
            <w:vAlign w:val="bottom"/>
            <w:tcBorders>
              <w:bottom w:val="single" w:sz="8" w:color="D1EDF4"/>
            </w:tcBorders>
          </w:tcPr>
          <w:p>
            <w:pPr>
              <w:spacing w:after="0"/>
              <w:rPr>
                <w:sz w:val="15"/>
                <w:szCs w:val="15"/>
                <w:color w:val="auto"/>
              </w:rPr>
            </w:pPr>
          </w:p>
        </w:tc>
        <w:tc>
          <w:tcPr>
            <w:tcW w:w="20" w:type="dxa"/>
            <w:vAlign w:val="bottom"/>
            <w:tcBorders>
              <w:bottom w:val="single" w:sz="8" w:color="D1EDF4"/>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0"/>
              <w:spacing w:after="0" w:line="175" w:lineRule="exact"/>
              <w:rPr>
                <w:sz w:val="20"/>
                <w:szCs w:val="20"/>
                <w:color w:val="auto"/>
              </w:rPr>
            </w:pPr>
            <w:r>
              <w:rPr>
                <w:rFonts w:ascii="Arial" w:cs="Arial" w:eastAsia="Arial" w:hAnsi="Arial"/>
                <w:sz w:val="16"/>
                <w:szCs w:val="16"/>
                <w:b w:val="1"/>
                <w:bCs w:val="1"/>
                <w:color w:val="auto"/>
              </w:rPr>
              <w:t>2025</w:t>
            </w:r>
          </w:p>
        </w:tc>
        <w:tc>
          <w:tcPr>
            <w:tcW w:w="200" w:type="dxa"/>
            <w:vAlign w:val="bottom"/>
            <w:tcBorders>
              <w:bottom w:val="single" w:sz="8" w:color="D1EDF4"/>
            </w:tcBorders>
          </w:tcPr>
          <w:p>
            <w:pPr>
              <w:spacing w:after="0"/>
              <w:rPr>
                <w:sz w:val="15"/>
                <w:szCs w:val="15"/>
                <w:color w:val="auto"/>
              </w:rPr>
            </w:pPr>
          </w:p>
        </w:tc>
        <w:tc>
          <w:tcPr>
            <w:tcW w:w="20" w:type="dxa"/>
            <w:vAlign w:val="bottom"/>
            <w:tcBorders>
              <w:bottom w:val="single" w:sz="8" w:color="D1EDF4"/>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0"/>
              <w:spacing w:after="0" w:line="175" w:lineRule="exact"/>
              <w:rPr>
                <w:sz w:val="20"/>
                <w:szCs w:val="20"/>
                <w:color w:val="auto"/>
              </w:rPr>
            </w:pPr>
            <w:r>
              <w:rPr>
                <w:rFonts w:ascii="Arial" w:cs="Arial" w:eastAsia="Arial" w:hAnsi="Arial"/>
                <w:sz w:val="16"/>
                <w:szCs w:val="16"/>
                <w:b w:val="1"/>
                <w:bCs w:val="1"/>
                <w:color w:val="auto"/>
              </w:rPr>
              <w:t>2024</w:t>
            </w:r>
          </w:p>
        </w:tc>
        <w:tc>
          <w:tcPr>
            <w:tcW w:w="200" w:type="dxa"/>
            <w:vAlign w:val="bottom"/>
            <w:tcBorders>
              <w:bottom w:val="single" w:sz="8" w:color="D1EDF4"/>
            </w:tcBorders>
          </w:tcPr>
          <w:p>
            <w:pPr>
              <w:spacing w:after="0"/>
              <w:rPr>
                <w:sz w:val="15"/>
                <w:szCs w:val="15"/>
                <w:color w:val="auto"/>
              </w:rPr>
            </w:pPr>
          </w:p>
        </w:tc>
        <w:tc>
          <w:tcPr>
            <w:tcW w:w="20" w:type="dxa"/>
            <w:vAlign w:val="bottom"/>
            <w:tcBorders>
              <w:bottom w:val="single" w:sz="8" w:color="D1EDF4"/>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90"/>
              <w:spacing w:after="0" w:line="175" w:lineRule="exact"/>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D1EDF4"/>
            </w:tcBorders>
          </w:tcPr>
          <w:p>
            <w:pPr>
              <w:spacing w:after="0"/>
              <w:rPr>
                <w:sz w:val="15"/>
                <w:szCs w:val="15"/>
                <w:color w:val="auto"/>
              </w:rPr>
            </w:pPr>
          </w:p>
        </w:tc>
      </w:tr>
      <w:tr>
        <w:trPr>
          <w:trHeight w:val="198"/>
        </w:trPr>
        <w:tc>
          <w:tcPr>
            <w:tcW w:w="7320" w:type="dxa"/>
            <w:vAlign w:val="bottom"/>
            <w:shd w:val="clear" w:color="auto" w:fill="D1EDF4"/>
          </w:tcPr>
          <w:p>
            <w:pPr>
              <w:spacing w:after="0" w:line="199" w:lineRule="exact"/>
              <w:rPr>
                <w:sz w:val="20"/>
                <w:szCs w:val="20"/>
                <w:color w:val="auto"/>
              </w:rPr>
            </w:pPr>
            <w:r>
              <w:rPr>
                <w:rFonts w:ascii="Arial" w:cs="Arial" w:eastAsia="Arial" w:hAnsi="Arial"/>
                <w:sz w:val="18"/>
                <w:szCs w:val="18"/>
                <w:color w:val="auto"/>
              </w:rPr>
              <w:t>Operating activities:</w:t>
            </w:r>
          </w:p>
        </w:tc>
        <w:tc>
          <w:tcPr>
            <w:tcW w:w="180" w:type="dxa"/>
            <w:vAlign w:val="bottom"/>
            <w:shd w:val="clear" w:color="auto" w:fill="D1EDF4"/>
          </w:tcPr>
          <w:p>
            <w:pPr>
              <w:spacing w:after="0"/>
              <w:rPr>
                <w:sz w:val="17"/>
                <w:szCs w:val="17"/>
                <w:color w:val="auto"/>
              </w:rPr>
            </w:pPr>
          </w:p>
        </w:tc>
        <w:tc>
          <w:tcPr>
            <w:tcW w:w="20" w:type="dxa"/>
            <w:vAlign w:val="bottom"/>
            <w:shd w:val="clear" w:color="auto" w:fill="D1EDF4"/>
          </w:tcPr>
          <w:p>
            <w:pPr>
              <w:spacing w:after="0"/>
              <w:rPr>
                <w:sz w:val="17"/>
                <w:szCs w:val="17"/>
                <w:color w:val="auto"/>
              </w:rPr>
            </w:pPr>
          </w:p>
        </w:tc>
        <w:tc>
          <w:tcPr>
            <w:tcW w:w="160" w:type="dxa"/>
            <w:vAlign w:val="bottom"/>
            <w:shd w:val="clear" w:color="auto" w:fill="D1EDF4"/>
          </w:tcPr>
          <w:p>
            <w:pPr>
              <w:spacing w:after="0"/>
              <w:rPr>
                <w:sz w:val="17"/>
                <w:szCs w:val="17"/>
                <w:color w:val="auto"/>
              </w:rPr>
            </w:pPr>
          </w:p>
        </w:tc>
        <w:tc>
          <w:tcPr>
            <w:tcW w:w="740" w:type="dxa"/>
            <w:vAlign w:val="bottom"/>
            <w:shd w:val="clear" w:color="auto" w:fill="D1EDF4"/>
          </w:tcPr>
          <w:p>
            <w:pPr>
              <w:spacing w:after="0"/>
              <w:rPr>
                <w:sz w:val="17"/>
                <w:szCs w:val="17"/>
                <w:color w:val="auto"/>
              </w:rPr>
            </w:pPr>
          </w:p>
        </w:tc>
        <w:tc>
          <w:tcPr>
            <w:tcW w:w="200" w:type="dxa"/>
            <w:vAlign w:val="bottom"/>
            <w:shd w:val="clear" w:color="auto" w:fill="D1EDF4"/>
          </w:tcPr>
          <w:p>
            <w:pPr>
              <w:spacing w:after="0"/>
              <w:rPr>
                <w:sz w:val="17"/>
                <w:szCs w:val="17"/>
                <w:color w:val="auto"/>
              </w:rPr>
            </w:pPr>
          </w:p>
        </w:tc>
        <w:tc>
          <w:tcPr>
            <w:tcW w:w="20" w:type="dxa"/>
            <w:vAlign w:val="bottom"/>
            <w:shd w:val="clear" w:color="auto" w:fill="D1EDF4"/>
          </w:tcPr>
          <w:p>
            <w:pPr>
              <w:spacing w:after="0"/>
              <w:rPr>
                <w:sz w:val="17"/>
                <w:szCs w:val="17"/>
                <w:color w:val="auto"/>
              </w:rPr>
            </w:pPr>
          </w:p>
        </w:tc>
        <w:tc>
          <w:tcPr>
            <w:tcW w:w="180" w:type="dxa"/>
            <w:vAlign w:val="bottom"/>
            <w:shd w:val="clear" w:color="auto" w:fill="D1EDF4"/>
          </w:tcPr>
          <w:p>
            <w:pPr>
              <w:spacing w:after="0"/>
              <w:rPr>
                <w:sz w:val="17"/>
                <w:szCs w:val="17"/>
                <w:color w:val="auto"/>
              </w:rPr>
            </w:pPr>
          </w:p>
        </w:tc>
        <w:tc>
          <w:tcPr>
            <w:tcW w:w="740" w:type="dxa"/>
            <w:vAlign w:val="bottom"/>
            <w:shd w:val="clear" w:color="auto" w:fill="D1EDF4"/>
          </w:tcPr>
          <w:p>
            <w:pPr>
              <w:spacing w:after="0"/>
              <w:rPr>
                <w:sz w:val="17"/>
                <w:szCs w:val="17"/>
                <w:color w:val="auto"/>
              </w:rPr>
            </w:pPr>
          </w:p>
        </w:tc>
        <w:tc>
          <w:tcPr>
            <w:tcW w:w="200" w:type="dxa"/>
            <w:vAlign w:val="bottom"/>
            <w:shd w:val="clear" w:color="auto" w:fill="D1EDF4"/>
          </w:tcPr>
          <w:p>
            <w:pPr>
              <w:spacing w:after="0"/>
              <w:rPr>
                <w:sz w:val="17"/>
                <w:szCs w:val="17"/>
                <w:color w:val="auto"/>
              </w:rPr>
            </w:pPr>
          </w:p>
        </w:tc>
        <w:tc>
          <w:tcPr>
            <w:tcW w:w="20" w:type="dxa"/>
            <w:vAlign w:val="bottom"/>
            <w:shd w:val="clear" w:color="auto" w:fill="D1EDF4"/>
          </w:tcPr>
          <w:p>
            <w:pPr>
              <w:spacing w:after="0"/>
              <w:rPr>
                <w:sz w:val="17"/>
                <w:szCs w:val="17"/>
                <w:color w:val="auto"/>
              </w:rPr>
            </w:pPr>
          </w:p>
        </w:tc>
        <w:tc>
          <w:tcPr>
            <w:tcW w:w="160" w:type="dxa"/>
            <w:vAlign w:val="bottom"/>
            <w:shd w:val="clear" w:color="auto" w:fill="D1EDF4"/>
          </w:tcPr>
          <w:p>
            <w:pPr>
              <w:spacing w:after="0"/>
              <w:rPr>
                <w:sz w:val="17"/>
                <w:szCs w:val="17"/>
                <w:color w:val="auto"/>
              </w:rPr>
            </w:pPr>
          </w:p>
        </w:tc>
        <w:tc>
          <w:tcPr>
            <w:tcW w:w="760" w:type="dxa"/>
            <w:vAlign w:val="bottom"/>
            <w:shd w:val="clear" w:color="auto" w:fill="D1EDF4"/>
          </w:tcPr>
          <w:p>
            <w:pPr>
              <w:spacing w:after="0"/>
              <w:rPr>
                <w:sz w:val="17"/>
                <w:szCs w:val="17"/>
                <w:color w:val="auto"/>
              </w:rPr>
            </w:pPr>
          </w:p>
        </w:tc>
        <w:tc>
          <w:tcPr>
            <w:tcW w:w="100" w:type="dxa"/>
            <w:vAlign w:val="bottom"/>
            <w:shd w:val="clear" w:color="auto" w:fill="D1EDF4"/>
          </w:tcPr>
          <w:p>
            <w:pPr>
              <w:spacing w:after="0"/>
              <w:rPr>
                <w:sz w:val="17"/>
                <w:szCs w:val="17"/>
                <w:color w:val="auto"/>
              </w:rPr>
            </w:pPr>
          </w:p>
        </w:tc>
      </w:tr>
      <w:tr>
        <w:trPr>
          <w:trHeight w:val="208"/>
        </w:trPr>
        <w:tc>
          <w:tcPr>
            <w:tcW w:w="7320" w:type="dxa"/>
            <w:vAlign w:val="bottom"/>
          </w:tcPr>
          <w:p>
            <w:pPr>
              <w:ind w:left="240"/>
              <w:spacing w:after="0"/>
              <w:rPr>
                <w:sz w:val="20"/>
                <w:szCs w:val="20"/>
                <w:color w:val="auto"/>
              </w:rPr>
            </w:pPr>
            <w:r>
              <w:rPr>
                <w:rFonts w:ascii="Arial" w:cs="Arial" w:eastAsia="Arial" w:hAnsi="Arial"/>
                <w:sz w:val="18"/>
                <w:szCs w:val="18"/>
                <w:color w:val="auto"/>
              </w:rPr>
              <w:t>Net income (loss)</w:t>
            </w:r>
          </w:p>
        </w:tc>
        <w:tc>
          <w:tcPr>
            <w:tcW w:w="360" w:type="dxa"/>
            <w:vAlign w:val="bottom"/>
            <w:gridSpan w:val="3"/>
          </w:tcPr>
          <w:p>
            <w:pPr>
              <w:jc w:val="right"/>
              <w:ind w:right="5"/>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5,207</w:t>
            </w:r>
          </w:p>
        </w:tc>
        <w:tc>
          <w:tcPr>
            <w:tcW w:w="2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(43,170)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(11,979)</w:t>
            </w:r>
          </w:p>
        </w:tc>
        <w:tc>
          <w:tcPr>
            <w:tcW w:w="100" w:type="dxa"/>
            <w:vAlign w:val="bottom"/>
          </w:tcPr>
          <w:p>
            <w:pPr>
              <w:spacing w:after="0"/>
              <w:rPr>
                <w:sz w:val="18"/>
                <w:szCs w:val="18"/>
                <w:color w:val="auto"/>
              </w:rPr>
            </w:pPr>
          </w:p>
        </w:tc>
      </w:tr>
      <w:tr>
        <w:trPr>
          <w:trHeight w:val="208"/>
        </w:trPr>
        <w:tc>
          <w:tcPr>
            <w:tcW w:w="7320" w:type="dxa"/>
            <w:vAlign w:val="bottom"/>
            <w:shd w:val="clear" w:color="auto" w:fill="D1EDF4"/>
          </w:tcPr>
          <w:p>
            <w:pPr>
              <w:ind w:left="240"/>
              <w:spacing w:after="0"/>
              <w:rPr>
                <w:sz w:val="20"/>
                <w:szCs w:val="20"/>
                <w:color w:val="auto"/>
              </w:rPr>
            </w:pPr>
            <w:r>
              <w:rPr>
                <w:rFonts w:ascii="Arial" w:cs="Arial" w:eastAsia="Arial" w:hAnsi="Arial"/>
                <w:sz w:val="18"/>
                <w:szCs w:val="18"/>
                <w:color w:val="auto"/>
              </w:rPr>
              <w:t>Adjustments to reconcile net income (loss) to net cash provided by (used in) operating</w:t>
            </w:r>
          </w:p>
        </w:tc>
        <w:tc>
          <w:tcPr>
            <w:tcW w:w="18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160" w:type="dxa"/>
            <w:vAlign w:val="bottom"/>
            <w:shd w:val="clear" w:color="auto" w:fill="D1EDF4"/>
          </w:tcPr>
          <w:p>
            <w:pPr>
              <w:spacing w:after="0"/>
              <w:rPr>
                <w:sz w:val="18"/>
                <w:szCs w:val="18"/>
                <w:color w:val="auto"/>
              </w:rPr>
            </w:pPr>
          </w:p>
        </w:tc>
        <w:tc>
          <w:tcPr>
            <w:tcW w:w="740" w:type="dxa"/>
            <w:vAlign w:val="bottom"/>
            <w:shd w:val="clear" w:color="auto" w:fill="D1EDF4"/>
          </w:tcPr>
          <w:p>
            <w:pPr>
              <w:spacing w:after="0"/>
              <w:rPr>
                <w:sz w:val="18"/>
                <w:szCs w:val="18"/>
                <w:color w:val="auto"/>
              </w:rPr>
            </w:pPr>
          </w:p>
        </w:tc>
        <w:tc>
          <w:tcPr>
            <w:tcW w:w="20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180" w:type="dxa"/>
            <w:vAlign w:val="bottom"/>
            <w:shd w:val="clear" w:color="auto" w:fill="D1EDF4"/>
          </w:tcPr>
          <w:p>
            <w:pPr>
              <w:spacing w:after="0"/>
              <w:rPr>
                <w:sz w:val="18"/>
                <w:szCs w:val="18"/>
                <w:color w:val="auto"/>
              </w:rPr>
            </w:pPr>
          </w:p>
        </w:tc>
        <w:tc>
          <w:tcPr>
            <w:tcW w:w="740" w:type="dxa"/>
            <w:vAlign w:val="bottom"/>
            <w:shd w:val="clear" w:color="auto" w:fill="D1EDF4"/>
          </w:tcPr>
          <w:p>
            <w:pPr>
              <w:spacing w:after="0"/>
              <w:rPr>
                <w:sz w:val="18"/>
                <w:szCs w:val="18"/>
                <w:color w:val="auto"/>
              </w:rPr>
            </w:pPr>
          </w:p>
        </w:tc>
        <w:tc>
          <w:tcPr>
            <w:tcW w:w="20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160" w:type="dxa"/>
            <w:vAlign w:val="bottom"/>
            <w:shd w:val="clear" w:color="auto" w:fill="D1EDF4"/>
          </w:tcPr>
          <w:p>
            <w:pPr>
              <w:spacing w:after="0"/>
              <w:rPr>
                <w:sz w:val="18"/>
                <w:szCs w:val="18"/>
                <w:color w:val="auto"/>
              </w:rPr>
            </w:pPr>
          </w:p>
        </w:tc>
        <w:tc>
          <w:tcPr>
            <w:tcW w:w="760" w:type="dxa"/>
            <w:vAlign w:val="bottom"/>
            <w:shd w:val="clear" w:color="auto" w:fill="D1EDF4"/>
          </w:tcPr>
          <w:p>
            <w:pPr>
              <w:spacing w:after="0"/>
              <w:rPr>
                <w:sz w:val="18"/>
                <w:szCs w:val="18"/>
                <w:color w:val="auto"/>
              </w:rPr>
            </w:pPr>
          </w:p>
        </w:tc>
        <w:tc>
          <w:tcPr>
            <w:tcW w:w="100" w:type="dxa"/>
            <w:vAlign w:val="bottom"/>
            <w:shd w:val="clear" w:color="auto" w:fill="D1EDF4"/>
          </w:tcPr>
          <w:p>
            <w:pPr>
              <w:spacing w:after="0"/>
              <w:rPr>
                <w:sz w:val="18"/>
                <w:szCs w:val="18"/>
                <w:color w:val="auto"/>
              </w:rPr>
            </w:pPr>
          </w:p>
        </w:tc>
      </w:tr>
      <w:tr>
        <w:trPr>
          <w:trHeight w:val="208"/>
        </w:trPr>
        <w:tc>
          <w:tcPr>
            <w:tcW w:w="7320" w:type="dxa"/>
            <w:vAlign w:val="bottom"/>
            <w:shd w:val="clear" w:color="auto" w:fill="D1EDF4"/>
          </w:tcPr>
          <w:p>
            <w:pPr>
              <w:ind w:left="240"/>
              <w:spacing w:after="0"/>
              <w:rPr>
                <w:sz w:val="20"/>
                <w:szCs w:val="20"/>
                <w:color w:val="auto"/>
              </w:rPr>
            </w:pPr>
            <w:r>
              <w:rPr>
                <w:rFonts w:ascii="Arial" w:cs="Arial" w:eastAsia="Arial" w:hAnsi="Arial"/>
                <w:sz w:val="18"/>
                <w:szCs w:val="18"/>
                <w:color w:val="auto"/>
              </w:rPr>
              <w:t>activities:</w:t>
            </w:r>
          </w:p>
        </w:tc>
        <w:tc>
          <w:tcPr>
            <w:tcW w:w="18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160" w:type="dxa"/>
            <w:vAlign w:val="bottom"/>
            <w:shd w:val="clear" w:color="auto" w:fill="D1EDF4"/>
          </w:tcPr>
          <w:p>
            <w:pPr>
              <w:spacing w:after="0"/>
              <w:rPr>
                <w:sz w:val="18"/>
                <w:szCs w:val="18"/>
                <w:color w:val="auto"/>
              </w:rPr>
            </w:pPr>
          </w:p>
        </w:tc>
        <w:tc>
          <w:tcPr>
            <w:tcW w:w="740" w:type="dxa"/>
            <w:vAlign w:val="bottom"/>
            <w:shd w:val="clear" w:color="auto" w:fill="D1EDF4"/>
          </w:tcPr>
          <w:p>
            <w:pPr>
              <w:spacing w:after="0"/>
              <w:rPr>
                <w:sz w:val="18"/>
                <w:szCs w:val="18"/>
                <w:color w:val="auto"/>
              </w:rPr>
            </w:pPr>
          </w:p>
        </w:tc>
        <w:tc>
          <w:tcPr>
            <w:tcW w:w="20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180" w:type="dxa"/>
            <w:vAlign w:val="bottom"/>
            <w:shd w:val="clear" w:color="auto" w:fill="D1EDF4"/>
          </w:tcPr>
          <w:p>
            <w:pPr>
              <w:spacing w:after="0"/>
              <w:rPr>
                <w:sz w:val="18"/>
                <w:szCs w:val="18"/>
                <w:color w:val="auto"/>
              </w:rPr>
            </w:pPr>
          </w:p>
        </w:tc>
        <w:tc>
          <w:tcPr>
            <w:tcW w:w="740" w:type="dxa"/>
            <w:vAlign w:val="bottom"/>
            <w:shd w:val="clear" w:color="auto" w:fill="D1EDF4"/>
          </w:tcPr>
          <w:p>
            <w:pPr>
              <w:spacing w:after="0"/>
              <w:rPr>
                <w:sz w:val="18"/>
                <w:szCs w:val="18"/>
                <w:color w:val="auto"/>
              </w:rPr>
            </w:pPr>
          </w:p>
        </w:tc>
        <w:tc>
          <w:tcPr>
            <w:tcW w:w="20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160" w:type="dxa"/>
            <w:vAlign w:val="bottom"/>
            <w:shd w:val="clear" w:color="auto" w:fill="D1EDF4"/>
          </w:tcPr>
          <w:p>
            <w:pPr>
              <w:spacing w:after="0"/>
              <w:rPr>
                <w:sz w:val="18"/>
                <w:szCs w:val="18"/>
                <w:color w:val="auto"/>
              </w:rPr>
            </w:pPr>
          </w:p>
        </w:tc>
        <w:tc>
          <w:tcPr>
            <w:tcW w:w="760" w:type="dxa"/>
            <w:vAlign w:val="bottom"/>
            <w:shd w:val="clear" w:color="auto" w:fill="D1EDF4"/>
          </w:tcPr>
          <w:p>
            <w:pPr>
              <w:spacing w:after="0"/>
              <w:rPr>
                <w:sz w:val="18"/>
                <w:szCs w:val="18"/>
                <w:color w:val="auto"/>
              </w:rPr>
            </w:pPr>
          </w:p>
        </w:tc>
        <w:tc>
          <w:tcPr>
            <w:tcW w:w="100" w:type="dxa"/>
            <w:vAlign w:val="bottom"/>
            <w:shd w:val="clear" w:color="auto" w:fill="D1EDF4"/>
          </w:tcPr>
          <w:p>
            <w:pPr>
              <w:spacing w:after="0"/>
              <w:rPr>
                <w:sz w:val="18"/>
                <w:szCs w:val="18"/>
                <w:color w:val="auto"/>
              </w:rPr>
            </w:pPr>
          </w:p>
        </w:tc>
      </w:tr>
      <w:tr>
        <w:trPr>
          <w:trHeight w:val="208"/>
        </w:trPr>
        <w:tc>
          <w:tcPr>
            <w:tcW w:w="7320" w:type="dxa"/>
            <w:vAlign w:val="bottom"/>
          </w:tcPr>
          <w:p>
            <w:pPr>
              <w:ind w:left="360"/>
              <w:spacing w:after="0"/>
              <w:rPr>
                <w:sz w:val="20"/>
                <w:szCs w:val="20"/>
                <w:color w:val="auto"/>
              </w:rPr>
            </w:pPr>
            <w:r>
              <w:rPr>
                <w:rFonts w:ascii="Arial" w:cs="Arial" w:eastAsia="Arial" w:hAnsi="Arial"/>
                <w:sz w:val="18"/>
                <w:szCs w:val="18"/>
                <w:color w:val="auto"/>
              </w:rPr>
              <w:t>Depreciation</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18,482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18,822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18,990</w:t>
            </w:r>
          </w:p>
        </w:tc>
        <w:tc>
          <w:tcPr>
            <w:tcW w:w="100" w:type="dxa"/>
            <w:vAlign w:val="bottom"/>
          </w:tcPr>
          <w:p>
            <w:pPr>
              <w:spacing w:after="0"/>
              <w:rPr>
                <w:sz w:val="18"/>
                <w:szCs w:val="18"/>
                <w:color w:val="auto"/>
              </w:rPr>
            </w:pPr>
          </w:p>
        </w:tc>
      </w:tr>
      <w:tr>
        <w:trPr>
          <w:trHeight w:val="209"/>
        </w:trPr>
        <w:tc>
          <w:tcPr>
            <w:tcW w:w="7320" w:type="dxa"/>
            <w:vAlign w:val="bottom"/>
            <w:shd w:val="clear" w:color="auto" w:fill="D1EDF4"/>
          </w:tcPr>
          <w:p>
            <w:pPr>
              <w:ind w:left="360"/>
              <w:spacing w:after="0"/>
              <w:rPr>
                <w:sz w:val="20"/>
                <w:szCs w:val="20"/>
                <w:color w:val="auto"/>
              </w:rPr>
            </w:pPr>
            <w:r>
              <w:rPr>
                <w:rFonts w:ascii="Arial" w:cs="Arial" w:eastAsia="Arial" w:hAnsi="Arial"/>
                <w:sz w:val="18"/>
                <w:szCs w:val="18"/>
                <w:color w:val="auto"/>
              </w:rPr>
              <w:t>Non-cash operating lease costs</w:t>
            </w:r>
          </w:p>
        </w:tc>
        <w:tc>
          <w:tcPr>
            <w:tcW w:w="18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160" w:type="dxa"/>
            <w:vAlign w:val="bottom"/>
            <w:shd w:val="clear" w:color="auto" w:fill="D1EDF4"/>
          </w:tcPr>
          <w:p>
            <w:pPr>
              <w:spacing w:after="0"/>
              <w:rPr>
                <w:sz w:val="18"/>
                <w:szCs w:val="18"/>
                <w:color w:val="auto"/>
              </w:rPr>
            </w:pPr>
          </w:p>
        </w:tc>
        <w:tc>
          <w:tcPr>
            <w:tcW w:w="740" w:type="dxa"/>
            <w:vAlign w:val="bottom"/>
            <w:shd w:val="clear" w:color="auto" w:fill="D1EDF4"/>
          </w:tcPr>
          <w:p>
            <w:pPr>
              <w:jc w:val="right"/>
              <w:spacing w:after="0"/>
              <w:rPr>
                <w:sz w:val="20"/>
                <w:szCs w:val="20"/>
                <w:color w:val="auto"/>
              </w:rPr>
            </w:pPr>
            <w:r>
              <w:rPr>
                <w:rFonts w:ascii="Arial" w:cs="Arial" w:eastAsia="Arial" w:hAnsi="Arial"/>
                <w:sz w:val="18"/>
                <w:szCs w:val="18"/>
                <w:color w:val="auto"/>
              </w:rPr>
              <w:t>47,733</w:t>
            </w:r>
          </w:p>
        </w:tc>
        <w:tc>
          <w:tcPr>
            <w:tcW w:w="20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180" w:type="dxa"/>
            <w:vAlign w:val="bottom"/>
            <w:shd w:val="clear" w:color="auto" w:fill="D1EDF4"/>
          </w:tcPr>
          <w:p>
            <w:pPr>
              <w:spacing w:after="0"/>
              <w:rPr>
                <w:sz w:val="18"/>
                <w:szCs w:val="18"/>
                <w:color w:val="auto"/>
              </w:rPr>
            </w:pPr>
          </w:p>
        </w:tc>
        <w:tc>
          <w:tcPr>
            <w:tcW w:w="740" w:type="dxa"/>
            <w:vAlign w:val="bottom"/>
            <w:shd w:val="clear" w:color="auto" w:fill="D1EDF4"/>
          </w:tcPr>
          <w:p>
            <w:pPr>
              <w:jc w:val="right"/>
              <w:spacing w:after="0"/>
              <w:rPr>
                <w:sz w:val="20"/>
                <w:szCs w:val="20"/>
                <w:color w:val="auto"/>
              </w:rPr>
            </w:pPr>
            <w:r>
              <w:rPr>
                <w:rFonts w:ascii="Arial" w:cs="Arial" w:eastAsia="Arial" w:hAnsi="Arial"/>
                <w:sz w:val="18"/>
                <w:szCs w:val="18"/>
                <w:color w:val="auto"/>
              </w:rPr>
              <w:t>48,863</w:t>
            </w:r>
          </w:p>
        </w:tc>
        <w:tc>
          <w:tcPr>
            <w:tcW w:w="20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160" w:type="dxa"/>
            <w:vAlign w:val="bottom"/>
            <w:shd w:val="clear" w:color="auto" w:fill="D1EDF4"/>
          </w:tcPr>
          <w:p>
            <w:pPr>
              <w:spacing w:after="0"/>
              <w:rPr>
                <w:sz w:val="18"/>
                <w:szCs w:val="18"/>
                <w:color w:val="auto"/>
              </w:rPr>
            </w:pPr>
          </w:p>
        </w:tc>
        <w:tc>
          <w:tcPr>
            <w:tcW w:w="760" w:type="dxa"/>
            <w:vAlign w:val="bottom"/>
            <w:shd w:val="clear" w:color="auto" w:fill="D1EDF4"/>
          </w:tcPr>
          <w:p>
            <w:pPr>
              <w:jc w:val="right"/>
              <w:spacing w:after="0"/>
              <w:rPr>
                <w:sz w:val="20"/>
                <w:szCs w:val="20"/>
                <w:color w:val="auto"/>
              </w:rPr>
            </w:pPr>
            <w:r>
              <w:rPr>
                <w:rFonts w:ascii="Arial" w:cs="Arial" w:eastAsia="Arial" w:hAnsi="Arial"/>
                <w:sz w:val="18"/>
                <w:szCs w:val="18"/>
                <w:color w:val="auto"/>
              </w:rPr>
              <w:t>50,462</w:t>
            </w:r>
          </w:p>
        </w:tc>
        <w:tc>
          <w:tcPr>
            <w:tcW w:w="100" w:type="dxa"/>
            <w:vAlign w:val="bottom"/>
            <w:shd w:val="clear" w:color="auto" w:fill="D1EDF4"/>
          </w:tcPr>
          <w:p>
            <w:pPr>
              <w:spacing w:after="0"/>
              <w:rPr>
                <w:sz w:val="18"/>
                <w:szCs w:val="18"/>
                <w:color w:val="auto"/>
              </w:rPr>
            </w:pPr>
          </w:p>
        </w:tc>
      </w:tr>
      <w:tr>
        <w:trPr>
          <w:trHeight w:val="208"/>
        </w:trPr>
        <w:tc>
          <w:tcPr>
            <w:tcW w:w="7320" w:type="dxa"/>
            <w:vAlign w:val="bottom"/>
          </w:tcPr>
          <w:p>
            <w:pPr>
              <w:ind w:left="360"/>
              <w:spacing w:after="0"/>
              <w:rPr>
                <w:sz w:val="20"/>
                <w:szCs w:val="20"/>
                <w:color w:val="auto"/>
              </w:rPr>
            </w:pPr>
            <w:r>
              <w:rPr>
                <w:rFonts w:ascii="Arial" w:cs="Arial" w:eastAsia="Arial" w:hAnsi="Arial"/>
                <w:sz w:val="18"/>
                <w:szCs w:val="18"/>
                <w:color w:val="auto"/>
              </w:rPr>
              <w:t>Asset impairment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2,536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1,051</w:t>
            </w:r>
          </w:p>
        </w:tc>
        <w:tc>
          <w:tcPr>
            <w:tcW w:w="100" w:type="dxa"/>
            <w:vAlign w:val="bottom"/>
          </w:tcPr>
          <w:p>
            <w:pPr>
              <w:spacing w:after="0"/>
              <w:rPr>
                <w:sz w:val="18"/>
                <w:szCs w:val="18"/>
                <w:color w:val="auto"/>
              </w:rPr>
            </w:pPr>
          </w:p>
        </w:tc>
      </w:tr>
      <w:tr>
        <w:trPr>
          <w:trHeight w:val="208"/>
        </w:trPr>
        <w:tc>
          <w:tcPr>
            <w:tcW w:w="7320" w:type="dxa"/>
            <w:vAlign w:val="bottom"/>
            <w:shd w:val="clear" w:color="auto" w:fill="D1EDF4"/>
          </w:tcPr>
          <w:p>
            <w:pPr>
              <w:ind w:left="360"/>
              <w:spacing w:after="0"/>
              <w:rPr>
                <w:sz w:val="20"/>
                <w:szCs w:val="20"/>
                <w:color w:val="auto"/>
              </w:rPr>
            </w:pPr>
            <w:r>
              <w:rPr>
                <w:rFonts w:ascii="Arial" w:cs="Arial" w:eastAsia="Arial" w:hAnsi="Arial"/>
                <w:sz w:val="18"/>
                <w:szCs w:val="18"/>
                <w:color w:val="auto"/>
              </w:rPr>
              <w:t>(Gain) Loss on disposal of property and equipment</w:t>
            </w:r>
          </w:p>
        </w:tc>
        <w:tc>
          <w:tcPr>
            <w:tcW w:w="18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160" w:type="dxa"/>
            <w:vAlign w:val="bottom"/>
            <w:shd w:val="clear" w:color="auto" w:fill="D1EDF4"/>
          </w:tcPr>
          <w:p>
            <w:pPr>
              <w:spacing w:after="0"/>
              <w:rPr>
                <w:sz w:val="18"/>
                <w:szCs w:val="18"/>
                <w:color w:val="auto"/>
              </w:rPr>
            </w:pPr>
          </w:p>
        </w:tc>
        <w:tc>
          <w:tcPr>
            <w:tcW w:w="740" w:type="dxa"/>
            <w:vAlign w:val="bottom"/>
            <w:shd w:val="clear" w:color="auto" w:fill="D1EDF4"/>
          </w:tcPr>
          <w:p>
            <w:pPr>
              <w:jc w:val="right"/>
              <w:spacing w:after="0"/>
              <w:rPr>
                <w:sz w:val="20"/>
                <w:szCs w:val="20"/>
                <w:color w:val="auto"/>
              </w:rPr>
            </w:pPr>
            <w:r>
              <w:rPr>
                <w:rFonts w:ascii="Arial" w:cs="Arial" w:eastAsia="Arial" w:hAnsi="Arial"/>
                <w:sz w:val="18"/>
                <w:szCs w:val="18"/>
                <w:color w:val="auto"/>
              </w:rPr>
              <w:t>(602)</w:t>
            </w:r>
          </w:p>
        </w:tc>
        <w:tc>
          <w:tcPr>
            <w:tcW w:w="20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180" w:type="dxa"/>
            <w:vAlign w:val="bottom"/>
            <w:shd w:val="clear" w:color="auto" w:fill="D1EDF4"/>
          </w:tcPr>
          <w:p>
            <w:pPr>
              <w:spacing w:after="0"/>
              <w:rPr>
                <w:sz w:val="18"/>
                <w:szCs w:val="18"/>
                <w:color w:val="auto"/>
              </w:rPr>
            </w:pPr>
          </w:p>
        </w:tc>
        <w:tc>
          <w:tcPr>
            <w:tcW w:w="740" w:type="dxa"/>
            <w:vAlign w:val="bottom"/>
            <w:shd w:val="clear" w:color="auto" w:fill="D1EDF4"/>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160" w:type="dxa"/>
            <w:vAlign w:val="bottom"/>
            <w:shd w:val="clear" w:color="auto" w:fill="D1EDF4"/>
          </w:tcPr>
          <w:p>
            <w:pPr>
              <w:spacing w:after="0"/>
              <w:rPr>
                <w:sz w:val="18"/>
                <w:szCs w:val="18"/>
                <w:color w:val="auto"/>
              </w:rPr>
            </w:pPr>
          </w:p>
        </w:tc>
        <w:tc>
          <w:tcPr>
            <w:tcW w:w="760" w:type="dxa"/>
            <w:vAlign w:val="bottom"/>
            <w:shd w:val="clear" w:color="auto" w:fill="D1EDF4"/>
          </w:tcPr>
          <w:p>
            <w:pPr>
              <w:jc w:val="right"/>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D1EDF4"/>
          </w:tcPr>
          <w:p>
            <w:pPr>
              <w:spacing w:after="0"/>
              <w:rPr>
                <w:sz w:val="18"/>
                <w:szCs w:val="18"/>
                <w:color w:val="auto"/>
              </w:rPr>
            </w:pPr>
          </w:p>
        </w:tc>
      </w:tr>
      <w:tr>
        <w:trPr>
          <w:trHeight w:val="209"/>
        </w:trPr>
        <w:tc>
          <w:tcPr>
            <w:tcW w:w="7320" w:type="dxa"/>
            <w:vAlign w:val="bottom"/>
          </w:tcPr>
          <w:p>
            <w:pPr>
              <w:ind w:left="36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5,247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(2,211)</w:t>
            </w:r>
          </w:p>
        </w:tc>
      </w:tr>
      <w:tr>
        <w:trPr>
          <w:trHeight w:val="208"/>
        </w:trPr>
        <w:tc>
          <w:tcPr>
            <w:tcW w:w="7320" w:type="dxa"/>
            <w:vAlign w:val="bottom"/>
            <w:shd w:val="clear" w:color="auto" w:fill="D1EDF4"/>
          </w:tcPr>
          <w:p>
            <w:pPr>
              <w:ind w:left="360"/>
              <w:spacing w:after="0"/>
              <w:rPr>
                <w:sz w:val="20"/>
                <w:szCs w:val="20"/>
                <w:color w:val="auto"/>
              </w:rPr>
            </w:pPr>
            <w:r>
              <w:rPr>
                <w:rFonts w:ascii="Arial" w:cs="Arial" w:eastAsia="Arial" w:hAnsi="Arial"/>
                <w:sz w:val="18"/>
                <w:szCs w:val="18"/>
                <w:color w:val="auto"/>
              </w:rPr>
              <w:t>Insurance proceeds related to operating activities</w:t>
            </w:r>
          </w:p>
        </w:tc>
        <w:tc>
          <w:tcPr>
            <w:tcW w:w="18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160" w:type="dxa"/>
            <w:vAlign w:val="bottom"/>
            <w:shd w:val="clear" w:color="auto" w:fill="D1EDF4"/>
          </w:tcPr>
          <w:p>
            <w:pPr>
              <w:spacing w:after="0"/>
              <w:rPr>
                <w:sz w:val="18"/>
                <w:szCs w:val="18"/>
                <w:color w:val="auto"/>
              </w:rPr>
            </w:pPr>
          </w:p>
        </w:tc>
        <w:tc>
          <w:tcPr>
            <w:tcW w:w="740" w:type="dxa"/>
            <w:vAlign w:val="bottom"/>
            <w:shd w:val="clear" w:color="auto" w:fill="D1EDF4"/>
          </w:tcPr>
          <w:p>
            <w:pPr>
              <w:jc w:val="right"/>
              <w:spacing w:after="0"/>
              <w:rPr>
                <w:sz w:val="20"/>
                <w:szCs w:val="20"/>
                <w:color w:val="auto"/>
              </w:rPr>
            </w:pPr>
            <w:r>
              <w:rPr>
                <w:rFonts w:ascii="Arial" w:cs="Arial" w:eastAsia="Arial" w:hAnsi="Arial"/>
                <w:sz w:val="18"/>
                <w:szCs w:val="18"/>
                <w:color w:val="auto"/>
              </w:rPr>
              <w:t>339</w:t>
            </w:r>
          </w:p>
        </w:tc>
        <w:tc>
          <w:tcPr>
            <w:tcW w:w="20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180" w:type="dxa"/>
            <w:vAlign w:val="bottom"/>
            <w:shd w:val="clear" w:color="auto" w:fill="D1EDF4"/>
          </w:tcPr>
          <w:p>
            <w:pPr>
              <w:spacing w:after="0"/>
              <w:rPr>
                <w:sz w:val="18"/>
                <w:szCs w:val="18"/>
                <w:color w:val="auto"/>
              </w:rPr>
            </w:pPr>
          </w:p>
        </w:tc>
        <w:tc>
          <w:tcPr>
            <w:tcW w:w="960" w:type="dxa"/>
            <w:vAlign w:val="bottom"/>
            <w:gridSpan w:val="3"/>
            <w:shd w:val="clear" w:color="auto" w:fill="D1EDF4"/>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D1EDF4"/>
          </w:tcPr>
          <w:p>
            <w:pPr>
              <w:spacing w:after="0"/>
              <w:rPr>
                <w:sz w:val="18"/>
                <w:szCs w:val="18"/>
                <w:color w:val="auto"/>
              </w:rPr>
            </w:pPr>
          </w:p>
        </w:tc>
        <w:tc>
          <w:tcPr>
            <w:tcW w:w="760" w:type="dxa"/>
            <w:vAlign w:val="bottom"/>
            <w:shd w:val="clear" w:color="auto" w:fill="D1EDF4"/>
          </w:tcPr>
          <w:p>
            <w:pPr>
              <w:jc w:val="right"/>
              <w:spacing w:after="0"/>
              <w:rPr>
                <w:sz w:val="20"/>
                <w:szCs w:val="20"/>
                <w:color w:val="auto"/>
              </w:rPr>
            </w:pPr>
            <w:r>
              <w:rPr>
                <w:rFonts w:ascii="Arial" w:cs="Arial" w:eastAsia="Arial" w:hAnsi="Arial"/>
                <w:sz w:val="18"/>
                <w:szCs w:val="18"/>
                <w:color w:val="auto"/>
              </w:rPr>
              <w:t>3,483</w:t>
            </w:r>
          </w:p>
        </w:tc>
        <w:tc>
          <w:tcPr>
            <w:tcW w:w="100" w:type="dxa"/>
            <w:vAlign w:val="bottom"/>
            <w:shd w:val="clear" w:color="auto" w:fill="D1EDF4"/>
          </w:tcPr>
          <w:p>
            <w:pPr>
              <w:spacing w:after="0"/>
              <w:rPr>
                <w:sz w:val="18"/>
                <w:szCs w:val="18"/>
                <w:color w:val="auto"/>
              </w:rPr>
            </w:pPr>
          </w:p>
        </w:tc>
      </w:tr>
      <w:tr>
        <w:trPr>
          <w:trHeight w:val="208"/>
        </w:trPr>
        <w:tc>
          <w:tcPr>
            <w:tcW w:w="7320" w:type="dxa"/>
            <w:vAlign w:val="bottom"/>
          </w:tcPr>
          <w:p>
            <w:pPr>
              <w:ind w:left="360"/>
              <w:spacing w:after="0"/>
              <w:rPr>
                <w:sz w:val="20"/>
                <w:szCs w:val="20"/>
                <w:color w:val="auto"/>
              </w:rPr>
            </w:pPr>
            <w:r>
              <w:rPr>
                <w:rFonts w:ascii="Arial" w:cs="Arial" w:eastAsia="Arial" w:hAnsi="Arial"/>
                <w:sz w:val="18"/>
                <w:szCs w:val="18"/>
                <w:color w:val="auto"/>
              </w:rPr>
              <w:t>Non-cash stock-based compensation expense</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5,389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3,302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4,095</w:t>
            </w:r>
          </w:p>
        </w:tc>
        <w:tc>
          <w:tcPr>
            <w:tcW w:w="100" w:type="dxa"/>
            <w:vAlign w:val="bottom"/>
          </w:tcPr>
          <w:p>
            <w:pPr>
              <w:spacing w:after="0"/>
              <w:rPr>
                <w:sz w:val="18"/>
                <w:szCs w:val="18"/>
                <w:color w:val="auto"/>
              </w:rPr>
            </w:pPr>
          </w:p>
        </w:tc>
      </w:tr>
      <w:tr>
        <w:trPr>
          <w:trHeight w:val="209"/>
        </w:trPr>
        <w:tc>
          <w:tcPr>
            <w:tcW w:w="7320" w:type="dxa"/>
            <w:vAlign w:val="bottom"/>
            <w:shd w:val="clear" w:color="auto" w:fill="D1EDF4"/>
          </w:tcPr>
          <w:p>
            <w:pPr>
              <w:ind w:left="360"/>
              <w:spacing w:after="0"/>
              <w:rPr>
                <w:sz w:val="20"/>
                <w:szCs w:val="20"/>
                <w:color w:val="auto"/>
              </w:rPr>
            </w:pPr>
            <w:r>
              <w:rPr>
                <w:rFonts w:ascii="Arial" w:cs="Arial" w:eastAsia="Arial" w:hAnsi="Arial"/>
                <w:sz w:val="18"/>
                <w:szCs w:val="18"/>
                <w:color w:val="auto"/>
              </w:rPr>
              <w:t>Gain on sale of assets</w:t>
            </w:r>
          </w:p>
        </w:tc>
        <w:tc>
          <w:tcPr>
            <w:tcW w:w="18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160" w:type="dxa"/>
            <w:vAlign w:val="bottom"/>
            <w:shd w:val="clear" w:color="auto" w:fill="D1EDF4"/>
          </w:tcPr>
          <w:p>
            <w:pPr>
              <w:spacing w:after="0"/>
              <w:rPr>
                <w:sz w:val="18"/>
                <w:szCs w:val="18"/>
                <w:color w:val="auto"/>
              </w:rPr>
            </w:pPr>
          </w:p>
        </w:tc>
        <w:tc>
          <w:tcPr>
            <w:tcW w:w="740" w:type="dxa"/>
            <w:vAlign w:val="bottom"/>
            <w:shd w:val="clear" w:color="auto" w:fill="D1EDF4"/>
          </w:tcPr>
          <w:p>
            <w:pPr>
              <w:jc w:val="right"/>
              <w:spacing w:after="0"/>
              <w:rPr>
                <w:sz w:val="20"/>
                <w:szCs w:val="20"/>
                <w:color w:val="auto"/>
              </w:rPr>
            </w:pPr>
            <w:r>
              <w:rPr>
                <w:rFonts w:ascii="Arial" w:cs="Arial" w:eastAsia="Arial" w:hAnsi="Arial"/>
                <w:sz w:val="18"/>
                <w:szCs w:val="18"/>
                <w:color w:val="auto"/>
              </w:rPr>
              <w:t>(10,960)</w:t>
            </w:r>
          </w:p>
        </w:tc>
        <w:tc>
          <w:tcPr>
            <w:tcW w:w="20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180" w:type="dxa"/>
            <w:vAlign w:val="bottom"/>
            <w:shd w:val="clear" w:color="auto" w:fill="D1EDF4"/>
          </w:tcPr>
          <w:p>
            <w:pPr>
              <w:spacing w:after="0"/>
              <w:rPr>
                <w:sz w:val="18"/>
                <w:szCs w:val="18"/>
                <w:color w:val="auto"/>
              </w:rPr>
            </w:pPr>
          </w:p>
        </w:tc>
        <w:tc>
          <w:tcPr>
            <w:tcW w:w="960" w:type="dxa"/>
            <w:vAlign w:val="bottom"/>
            <w:gridSpan w:val="3"/>
            <w:shd w:val="clear" w:color="auto" w:fill="D1EDF4"/>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D1EDF4"/>
          </w:tcPr>
          <w:p>
            <w:pPr>
              <w:spacing w:after="0"/>
              <w:rPr>
                <w:sz w:val="18"/>
                <w:szCs w:val="18"/>
                <w:color w:val="auto"/>
              </w:rPr>
            </w:pPr>
          </w:p>
        </w:tc>
        <w:tc>
          <w:tcPr>
            <w:tcW w:w="860" w:type="dxa"/>
            <w:vAlign w:val="bottom"/>
            <w:gridSpan w:val="2"/>
            <w:shd w:val="clear" w:color="auto" w:fill="D1EDF4"/>
          </w:tcPr>
          <w:p>
            <w:pPr>
              <w:jc w:val="right"/>
              <w:ind w:right="160"/>
              <w:spacing w:after="0"/>
              <w:rPr>
                <w:sz w:val="20"/>
                <w:szCs w:val="20"/>
                <w:color w:val="auto"/>
              </w:rPr>
            </w:pPr>
            <w:r>
              <w:rPr>
                <w:rFonts w:ascii="Arial" w:cs="Arial" w:eastAsia="Arial" w:hAnsi="Arial"/>
                <w:sz w:val="18"/>
                <w:szCs w:val="18"/>
                <w:color w:val="auto"/>
              </w:rPr>
              <w:t>—</w:t>
            </w:r>
          </w:p>
        </w:tc>
      </w:tr>
      <w:tr>
        <w:trPr>
          <w:trHeight w:val="208"/>
        </w:trPr>
        <w:tc>
          <w:tcPr>
            <w:tcW w:w="7320" w:type="dxa"/>
            <w:vAlign w:val="bottom"/>
          </w:tcPr>
          <w:p>
            <w:pPr>
              <w:ind w:left="360"/>
              <w:spacing w:after="0"/>
              <w:rPr>
                <w:sz w:val="20"/>
                <w:szCs w:val="20"/>
                <w:color w:val="auto"/>
              </w:rPr>
            </w:pPr>
            <w:r>
              <w:rPr>
                <w:rFonts w:ascii="Arial" w:cs="Arial" w:eastAsia="Arial" w:hAnsi="Arial"/>
                <w:sz w:val="18"/>
                <w:szCs w:val="18"/>
                <w:color w:val="auto"/>
              </w:rPr>
              <w:t>Gain on insurance related activities</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(3,483)</w:t>
            </w:r>
          </w:p>
        </w:tc>
        <w:tc>
          <w:tcPr>
            <w:tcW w:w="100" w:type="dxa"/>
            <w:vAlign w:val="bottom"/>
          </w:tcPr>
          <w:p>
            <w:pPr>
              <w:spacing w:after="0"/>
              <w:rPr>
                <w:sz w:val="18"/>
                <w:szCs w:val="18"/>
                <w:color w:val="auto"/>
              </w:rPr>
            </w:pPr>
          </w:p>
        </w:tc>
      </w:tr>
      <w:tr>
        <w:trPr>
          <w:trHeight w:val="208"/>
        </w:trPr>
        <w:tc>
          <w:tcPr>
            <w:tcW w:w="7320" w:type="dxa"/>
            <w:vAlign w:val="bottom"/>
            <w:shd w:val="clear" w:color="auto" w:fill="D1EDF4"/>
          </w:tcPr>
          <w:p>
            <w:pPr>
              <w:ind w:left="360"/>
              <w:spacing w:after="0"/>
              <w:rPr>
                <w:sz w:val="20"/>
                <w:szCs w:val="20"/>
                <w:color w:val="auto"/>
              </w:rPr>
            </w:pPr>
            <w:r>
              <w:rPr>
                <w:rFonts w:ascii="Arial" w:cs="Arial" w:eastAsia="Arial" w:hAnsi="Arial"/>
                <w:sz w:val="18"/>
                <w:szCs w:val="18"/>
                <w:color w:val="auto"/>
              </w:rPr>
              <w:t>Changes in assets and liabilities:</w:t>
            </w:r>
          </w:p>
        </w:tc>
        <w:tc>
          <w:tcPr>
            <w:tcW w:w="18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160" w:type="dxa"/>
            <w:vAlign w:val="bottom"/>
            <w:shd w:val="clear" w:color="auto" w:fill="D1EDF4"/>
          </w:tcPr>
          <w:p>
            <w:pPr>
              <w:spacing w:after="0"/>
              <w:rPr>
                <w:sz w:val="18"/>
                <w:szCs w:val="18"/>
                <w:color w:val="auto"/>
              </w:rPr>
            </w:pPr>
          </w:p>
        </w:tc>
        <w:tc>
          <w:tcPr>
            <w:tcW w:w="740" w:type="dxa"/>
            <w:vAlign w:val="bottom"/>
            <w:shd w:val="clear" w:color="auto" w:fill="D1EDF4"/>
          </w:tcPr>
          <w:p>
            <w:pPr>
              <w:spacing w:after="0"/>
              <w:rPr>
                <w:sz w:val="18"/>
                <w:szCs w:val="18"/>
                <w:color w:val="auto"/>
              </w:rPr>
            </w:pPr>
          </w:p>
        </w:tc>
        <w:tc>
          <w:tcPr>
            <w:tcW w:w="20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180" w:type="dxa"/>
            <w:vAlign w:val="bottom"/>
            <w:shd w:val="clear" w:color="auto" w:fill="D1EDF4"/>
          </w:tcPr>
          <w:p>
            <w:pPr>
              <w:spacing w:after="0"/>
              <w:rPr>
                <w:sz w:val="18"/>
                <w:szCs w:val="18"/>
                <w:color w:val="auto"/>
              </w:rPr>
            </w:pPr>
          </w:p>
        </w:tc>
        <w:tc>
          <w:tcPr>
            <w:tcW w:w="740" w:type="dxa"/>
            <w:vAlign w:val="bottom"/>
            <w:shd w:val="clear" w:color="auto" w:fill="D1EDF4"/>
          </w:tcPr>
          <w:p>
            <w:pPr>
              <w:spacing w:after="0"/>
              <w:rPr>
                <w:sz w:val="18"/>
                <w:szCs w:val="18"/>
                <w:color w:val="auto"/>
              </w:rPr>
            </w:pPr>
          </w:p>
        </w:tc>
        <w:tc>
          <w:tcPr>
            <w:tcW w:w="20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160" w:type="dxa"/>
            <w:vAlign w:val="bottom"/>
            <w:shd w:val="clear" w:color="auto" w:fill="D1EDF4"/>
          </w:tcPr>
          <w:p>
            <w:pPr>
              <w:spacing w:after="0"/>
              <w:rPr>
                <w:sz w:val="18"/>
                <w:szCs w:val="18"/>
                <w:color w:val="auto"/>
              </w:rPr>
            </w:pPr>
          </w:p>
        </w:tc>
        <w:tc>
          <w:tcPr>
            <w:tcW w:w="760" w:type="dxa"/>
            <w:vAlign w:val="bottom"/>
            <w:shd w:val="clear" w:color="auto" w:fill="D1EDF4"/>
          </w:tcPr>
          <w:p>
            <w:pPr>
              <w:spacing w:after="0"/>
              <w:rPr>
                <w:sz w:val="18"/>
                <w:szCs w:val="18"/>
                <w:color w:val="auto"/>
              </w:rPr>
            </w:pPr>
          </w:p>
        </w:tc>
        <w:tc>
          <w:tcPr>
            <w:tcW w:w="100" w:type="dxa"/>
            <w:vAlign w:val="bottom"/>
            <w:shd w:val="clear" w:color="auto" w:fill="D1EDF4"/>
          </w:tcPr>
          <w:p>
            <w:pPr>
              <w:spacing w:after="0"/>
              <w:rPr>
                <w:sz w:val="18"/>
                <w:szCs w:val="18"/>
                <w:color w:val="auto"/>
              </w:rPr>
            </w:pPr>
          </w:p>
        </w:tc>
      </w:tr>
      <w:tr>
        <w:trPr>
          <w:trHeight w:val="209"/>
        </w:trPr>
        <w:tc>
          <w:tcPr>
            <w:tcW w:w="7320" w:type="dxa"/>
            <w:vAlign w:val="bottom"/>
          </w:tcPr>
          <w:p>
            <w:pPr>
              <w:ind w:left="480"/>
              <w:spacing w:after="0"/>
              <w:rPr>
                <w:sz w:val="20"/>
                <w:szCs w:val="20"/>
                <w:color w:val="auto"/>
              </w:rPr>
            </w:pPr>
            <w:r>
              <w:rPr>
                <w:rFonts w:ascii="Arial" w:cs="Arial" w:eastAsia="Arial" w:hAnsi="Arial"/>
                <w:sz w:val="18"/>
                <w:szCs w:val="18"/>
                <w:color w:val="auto"/>
              </w:rPr>
              <w:t>Inventory</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9,125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7,792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(24,638)</w:t>
            </w:r>
          </w:p>
        </w:tc>
      </w:tr>
      <w:tr>
        <w:trPr>
          <w:trHeight w:val="208"/>
        </w:trPr>
        <w:tc>
          <w:tcPr>
            <w:tcW w:w="7320" w:type="dxa"/>
            <w:vAlign w:val="bottom"/>
            <w:shd w:val="clear" w:color="auto" w:fill="D1EDF4"/>
          </w:tcPr>
          <w:p>
            <w:pPr>
              <w:ind w:left="480"/>
              <w:spacing w:after="0"/>
              <w:rPr>
                <w:sz w:val="20"/>
                <w:szCs w:val="20"/>
                <w:color w:val="auto"/>
              </w:rPr>
            </w:pPr>
            <w:r>
              <w:rPr>
                <w:rFonts w:ascii="Arial" w:cs="Arial" w:eastAsia="Arial" w:hAnsi="Arial"/>
                <w:sz w:val="18"/>
                <w:szCs w:val="18"/>
                <w:color w:val="auto"/>
              </w:rPr>
              <w:t>Prepaid and other current assets</w:t>
            </w:r>
          </w:p>
        </w:tc>
        <w:tc>
          <w:tcPr>
            <w:tcW w:w="18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160" w:type="dxa"/>
            <w:vAlign w:val="bottom"/>
            <w:shd w:val="clear" w:color="auto" w:fill="D1EDF4"/>
          </w:tcPr>
          <w:p>
            <w:pPr>
              <w:spacing w:after="0"/>
              <w:rPr>
                <w:sz w:val="18"/>
                <w:szCs w:val="18"/>
                <w:color w:val="auto"/>
              </w:rPr>
            </w:pPr>
          </w:p>
        </w:tc>
        <w:tc>
          <w:tcPr>
            <w:tcW w:w="740" w:type="dxa"/>
            <w:vAlign w:val="bottom"/>
            <w:shd w:val="clear" w:color="auto" w:fill="D1EDF4"/>
          </w:tcPr>
          <w:p>
            <w:pPr>
              <w:jc w:val="right"/>
              <w:spacing w:after="0"/>
              <w:rPr>
                <w:sz w:val="20"/>
                <w:szCs w:val="20"/>
                <w:color w:val="auto"/>
              </w:rPr>
            </w:pPr>
            <w:r>
              <w:rPr>
                <w:rFonts w:ascii="Arial" w:cs="Arial" w:eastAsia="Arial" w:hAnsi="Arial"/>
                <w:sz w:val="18"/>
                <w:szCs w:val="18"/>
                <w:color w:val="auto"/>
              </w:rPr>
              <w:t>(2,038)</w:t>
            </w:r>
          </w:p>
        </w:tc>
        <w:tc>
          <w:tcPr>
            <w:tcW w:w="20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180" w:type="dxa"/>
            <w:vAlign w:val="bottom"/>
            <w:shd w:val="clear" w:color="auto" w:fill="D1EDF4"/>
          </w:tcPr>
          <w:p>
            <w:pPr>
              <w:spacing w:after="0"/>
              <w:rPr>
                <w:sz w:val="18"/>
                <w:szCs w:val="18"/>
                <w:color w:val="auto"/>
              </w:rPr>
            </w:pPr>
          </w:p>
        </w:tc>
        <w:tc>
          <w:tcPr>
            <w:tcW w:w="740" w:type="dxa"/>
            <w:vAlign w:val="bottom"/>
            <w:shd w:val="clear" w:color="auto" w:fill="D1EDF4"/>
          </w:tcPr>
          <w:p>
            <w:pPr>
              <w:jc w:val="right"/>
              <w:spacing w:after="0"/>
              <w:rPr>
                <w:sz w:val="20"/>
                <w:szCs w:val="20"/>
                <w:color w:val="auto"/>
              </w:rPr>
            </w:pPr>
            <w:r>
              <w:rPr>
                <w:rFonts w:ascii="Arial" w:cs="Arial" w:eastAsia="Arial" w:hAnsi="Arial"/>
                <w:sz w:val="18"/>
                <w:szCs w:val="18"/>
                <w:color w:val="auto"/>
              </w:rPr>
              <w:t>622</w:t>
            </w:r>
          </w:p>
        </w:tc>
        <w:tc>
          <w:tcPr>
            <w:tcW w:w="20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160" w:type="dxa"/>
            <w:vAlign w:val="bottom"/>
            <w:shd w:val="clear" w:color="auto" w:fill="D1EDF4"/>
          </w:tcPr>
          <w:p>
            <w:pPr>
              <w:spacing w:after="0"/>
              <w:rPr>
                <w:sz w:val="18"/>
                <w:szCs w:val="18"/>
                <w:color w:val="auto"/>
              </w:rPr>
            </w:pPr>
          </w:p>
        </w:tc>
        <w:tc>
          <w:tcPr>
            <w:tcW w:w="760" w:type="dxa"/>
            <w:vAlign w:val="bottom"/>
            <w:shd w:val="clear" w:color="auto" w:fill="D1EDF4"/>
          </w:tcPr>
          <w:p>
            <w:pPr>
              <w:jc w:val="right"/>
              <w:spacing w:after="0"/>
              <w:rPr>
                <w:sz w:val="20"/>
                <w:szCs w:val="20"/>
                <w:color w:val="auto"/>
              </w:rPr>
            </w:pPr>
            <w:r>
              <w:rPr>
                <w:rFonts w:ascii="Arial" w:cs="Arial" w:eastAsia="Arial" w:hAnsi="Arial"/>
                <w:sz w:val="18"/>
                <w:szCs w:val="18"/>
                <w:color w:val="auto"/>
              </w:rPr>
              <w:t>2,139</w:t>
            </w:r>
          </w:p>
        </w:tc>
        <w:tc>
          <w:tcPr>
            <w:tcW w:w="100" w:type="dxa"/>
            <w:vAlign w:val="bottom"/>
            <w:shd w:val="clear" w:color="auto" w:fill="D1EDF4"/>
          </w:tcPr>
          <w:p>
            <w:pPr>
              <w:spacing w:after="0"/>
              <w:rPr>
                <w:sz w:val="18"/>
                <w:szCs w:val="18"/>
                <w:color w:val="auto"/>
              </w:rPr>
            </w:pPr>
          </w:p>
        </w:tc>
      </w:tr>
      <w:tr>
        <w:trPr>
          <w:trHeight w:val="208"/>
        </w:trPr>
        <w:tc>
          <w:tcPr>
            <w:tcW w:w="7320" w:type="dxa"/>
            <w:vAlign w:val="bottom"/>
          </w:tcPr>
          <w:p>
            <w:pPr>
              <w:ind w:left="48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(1,118)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8"/>
                <w:szCs w:val="18"/>
                <w:color w:val="auto"/>
              </w:rPr>
            </w:pPr>
          </w:p>
        </w:tc>
      </w:tr>
      <w:tr>
        <w:trPr>
          <w:trHeight w:val="209"/>
        </w:trPr>
        <w:tc>
          <w:tcPr>
            <w:tcW w:w="7320" w:type="dxa"/>
            <w:vAlign w:val="bottom"/>
            <w:shd w:val="clear" w:color="auto" w:fill="D1EDF4"/>
          </w:tcPr>
          <w:p>
            <w:pPr>
              <w:ind w:left="48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160" w:type="dxa"/>
            <w:vAlign w:val="bottom"/>
            <w:shd w:val="clear" w:color="auto" w:fill="D1EDF4"/>
          </w:tcPr>
          <w:p>
            <w:pPr>
              <w:spacing w:after="0"/>
              <w:rPr>
                <w:sz w:val="18"/>
                <w:szCs w:val="18"/>
                <w:color w:val="auto"/>
              </w:rPr>
            </w:pPr>
          </w:p>
        </w:tc>
        <w:tc>
          <w:tcPr>
            <w:tcW w:w="740" w:type="dxa"/>
            <w:vAlign w:val="bottom"/>
            <w:shd w:val="clear" w:color="auto" w:fill="D1EDF4"/>
          </w:tcPr>
          <w:p>
            <w:pPr>
              <w:jc w:val="right"/>
              <w:spacing w:after="0"/>
              <w:rPr>
                <w:sz w:val="20"/>
                <w:szCs w:val="20"/>
                <w:color w:val="auto"/>
              </w:rPr>
            </w:pPr>
            <w:r>
              <w:rPr>
                <w:rFonts w:ascii="Arial" w:cs="Arial" w:eastAsia="Arial" w:hAnsi="Arial"/>
                <w:sz w:val="18"/>
                <w:szCs w:val="18"/>
                <w:color w:val="auto"/>
              </w:rPr>
              <w:t>(3,305)</w:t>
            </w:r>
          </w:p>
        </w:tc>
        <w:tc>
          <w:tcPr>
            <w:tcW w:w="20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180" w:type="dxa"/>
            <w:vAlign w:val="bottom"/>
            <w:shd w:val="clear" w:color="auto" w:fill="D1EDF4"/>
          </w:tcPr>
          <w:p>
            <w:pPr>
              <w:spacing w:after="0"/>
              <w:rPr>
                <w:sz w:val="18"/>
                <w:szCs w:val="18"/>
                <w:color w:val="auto"/>
              </w:rPr>
            </w:pPr>
          </w:p>
        </w:tc>
        <w:tc>
          <w:tcPr>
            <w:tcW w:w="740" w:type="dxa"/>
            <w:vAlign w:val="bottom"/>
            <w:shd w:val="clear" w:color="auto" w:fill="D1EDF4"/>
          </w:tcPr>
          <w:p>
            <w:pPr>
              <w:jc w:val="right"/>
              <w:spacing w:after="0"/>
              <w:rPr>
                <w:sz w:val="20"/>
                <w:szCs w:val="20"/>
                <w:color w:val="auto"/>
              </w:rPr>
            </w:pPr>
            <w:r>
              <w:rPr>
                <w:rFonts w:ascii="Arial" w:cs="Arial" w:eastAsia="Arial" w:hAnsi="Arial"/>
                <w:sz w:val="18"/>
                <w:szCs w:val="18"/>
                <w:color w:val="auto"/>
              </w:rPr>
              <w:t>101</w:t>
            </w:r>
          </w:p>
        </w:tc>
        <w:tc>
          <w:tcPr>
            <w:tcW w:w="20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160" w:type="dxa"/>
            <w:vAlign w:val="bottom"/>
            <w:shd w:val="clear" w:color="auto" w:fill="D1EDF4"/>
          </w:tcPr>
          <w:p>
            <w:pPr>
              <w:spacing w:after="0"/>
              <w:rPr>
                <w:sz w:val="18"/>
                <w:szCs w:val="18"/>
                <w:color w:val="auto"/>
              </w:rPr>
            </w:pPr>
          </w:p>
        </w:tc>
        <w:tc>
          <w:tcPr>
            <w:tcW w:w="760" w:type="dxa"/>
            <w:vAlign w:val="bottom"/>
            <w:shd w:val="clear" w:color="auto" w:fill="D1EDF4"/>
          </w:tcPr>
          <w:p>
            <w:pPr>
              <w:jc w:val="right"/>
              <w:spacing w:after="0"/>
              <w:rPr>
                <w:sz w:val="20"/>
                <w:szCs w:val="20"/>
                <w:color w:val="auto"/>
              </w:rPr>
            </w:pPr>
            <w:r>
              <w:rPr>
                <w:rFonts w:ascii="Arial" w:cs="Arial" w:eastAsia="Arial" w:hAnsi="Arial"/>
                <w:sz w:val="18"/>
                <w:szCs w:val="18"/>
                <w:color w:val="auto"/>
              </w:rPr>
              <w:t>17,861</w:t>
            </w:r>
          </w:p>
        </w:tc>
        <w:tc>
          <w:tcPr>
            <w:tcW w:w="100" w:type="dxa"/>
            <w:vAlign w:val="bottom"/>
            <w:shd w:val="clear" w:color="auto" w:fill="D1EDF4"/>
          </w:tcPr>
          <w:p>
            <w:pPr>
              <w:spacing w:after="0"/>
              <w:rPr>
                <w:sz w:val="18"/>
                <w:szCs w:val="18"/>
                <w:color w:val="auto"/>
              </w:rPr>
            </w:pPr>
          </w:p>
        </w:tc>
      </w:tr>
      <w:tr>
        <w:trPr>
          <w:trHeight w:val="208"/>
        </w:trPr>
        <w:tc>
          <w:tcPr>
            <w:tcW w:w="7320" w:type="dxa"/>
            <w:vAlign w:val="bottom"/>
          </w:tcPr>
          <w:p>
            <w:pPr>
              <w:ind w:left="480"/>
              <w:spacing w:after="0"/>
              <w:rPr>
                <w:sz w:val="20"/>
                <w:szCs w:val="20"/>
                <w:color w:val="auto"/>
              </w:rPr>
            </w:pPr>
            <w:r>
              <w:rPr>
                <w:rFonts w:ascii="Arial" w:cs="Arial" w:eastAsia="Arial" w:hAnsi="Arial"/>
                <w:sz w:val="18"/>
                <w:szCs w:val="18"/>
                <w:color w:val="auto"/>
              </w:rPr>
              <w:t>Accrued expenses and other long-term liabilities</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(55,191)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(49,489)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(58,318)</w:t>
            </w:r>
          </w:p>
        </w:tc>
      </w:tr>
      <w:tr>
        <w:trPr>
          <w:trHeight w:val="208"/>
        </w:trPr>
        <w:tc>
          <w:tcPr>
            <w:tcW w:w="7320" w:type="dxa"/>
            <w:vAlign w:val="bottom"/>
            <w:shd w:val="clear" w:color="auto" w:fill="D1EDF4"/>
          </w:tcPr>
          <w:p>
            <w:pPr>
              <w:ind w:left="480"/>
              <w:spacing w:after="0"/>
              <w:rPr>
                <w:sz w:val="20"/>
                <w:szCs w:val="20"/>
                <w:color w:val="auto"/>
              </w:rPr>
            </w:pPr>
            <w:r>
              <w:rPr>
                <w:rFonts w:ascii="Arial" w:cs="Arial" w:eastAsia="Arial" w:hAnsi="Arial"/>
                <w:sz w:val="18"/>
                <w:szCs w:val="18"/>
                <w:color w:val="auto"/>
              </w:rPr>
              <w:t>Accrued compensation</w:t>
            </w:r>
          </w:p>
        </w:tc>
        <w:tc>
          <w:tcPr>
            <w:tcW w:w="18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160" w:type="dxa"/>
            <w:vAlign w:val="bottom"/>
            <w:shd w:val="clear" w:color="auto" w:fill="D1EDF4"/>
          </w:tcPr>
          <w:p>
            <w:pPr>
              <w:spacing w:after="0"/>
              <w:rPr>
                <w:sz w:val="18"/>
                <w:szCs w:val="18"/>
                <w:color w:val="auto"/>
              </w:rPr>
            </w:pPr>
          </w:p>
        </w:tc>
        <w:tc>
          <w:tcPr>
            <w:tcW w:w="740" w:type="dxa"/>
            <w:vAlign w:val="bottom"/>
            <w:shd w:val="clear" w:color="auto" w:fill="D1EDF4"/>
          </w:tcPr>
          <w:p>
            <w:pPr>
              <w:jc w:val="right"/>
              <w:spacing w:after="0"/>
              <w:rPr>
                <w:sz w:val="20"/>
                <w:szCs w:val="20"/>
                <w:color w:val="auto"/>
              </w:rPr>
            </w:pPr>
            <w:r>
              <w:rPr>
                <w:rFonts w:ascii="Arial" w:cs="Arial" w:eastAsia="Arial" w:hAnsi="Arial"/>
                <w:sz w:val="18"/>
                <w:szCs w:val="18"/>
                <w:color w:val="auto"/>
              </w:rPr>
              <w:t>5,624</w:t>
            </w:r>
          </w:p>
        </w:tc>
        <w:tc>
          <w:tcPr>
            <w:tcW w:w="20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180" w:type="dxa"/>
            <w:vAlign w:val="bottom"/>
            <w:shd w:val="clear" w:color="auto" w:fill="D1EDF4"/>
          </w:tcPr>
          <w:p>
            <w:pPr>
              <w:spacing w:after="0"/>
              <w:rPr>
                <w:sz w:val="18"/>
                <w:szCs w:val="18"/>
                <w:color w:val="auto"/>
              </w:rPr>
            </w:pPr>
          </w:p>
        </w:tc>
        <w:tc>
          <w:tcPr>
            <w:tcW w:w="740" w:type="dxa"/>
            <w:vAlign w:val="bottom"/>
            <w:shd w:val="clear" w:color="auto" w:fill="D1EDF4"/>
          </w:tcPr>
          <w:p>
            <w:pPr>
              <w:jc w:val="right"/>
              <w:spacing w:after="0"/>
              <w:rPr>
                <w:sz w:val="20"/>
                <w:szCs w:val="20"/>
                <w:color w:val="auto"/>
              </w:rPr>
            </w:pPr>
            <w:r>
              <w:rPr>
                <w:rFonts w:ascii="Arial" w:cs="Arial" w:eastAsia="Arial" w:hAnsi="Arial"/>
                <w:sz w:val="18"/>
                <w:szCs w:val="18"/>
                <w:color w:val="auto"/>
              </w:rPr>
              <w:t>330</w:t>
            </w:r>
          </w:p>
        </w:tc>
        <w:tc>
          <w:tcPr>
            <w:tcW w:w="20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160" w:type="dxa"/>
            <w:vAlign w:val="bottom"/>
            <w:shd w:val="clear" w:color="auto" w:fill="D1EDF4"/>
          </w:tcPr>
          <w:p>
            <w:pPr>
              <w:spacing w:after="0"/>
              <w:rPr>
                <w:sz w:val="18"/>
                <w:szCs w:val="18"/>
                <w:color w:val="auto"/>
              </w:rPr>
            </w:pPr>
          </w:p>
        </w:tc>
        <w:tc>
          <w:tcPr>
            <w:tcW w:w="760" w:type="dxa"/>
            <w:vAlign w:val="bottom"/>
            <w:shd w:val="clear" w:color="auto" w:fill="D1EDF4"/>
          </w:tcPr>
          <w:p>
            <w:pPr>
              <w:jc w:val="right"/>
              <w:spacing w:after="0"/>
              <w:rPr>
                <w:sz w:val="20"/>
                <w:szCs w:val="20"/>
                <w:color w:val="auto"/>
              </w:rPr>
            </w:pPr>
            <w:r>
              <w:rPr>
                <w:rFonts w:ascii="Arial" w:cs="Arial" w:eastAsia="Arial" w:hAnsi="Arial"/>
                <w:sz w:val="18"/>
                <w:szCs w:val="18"/>
                <w:color w:val="auto"/>
              </w:rPr>
              <w:t>(3,977)</w:t>
            </w:r>
          </w:p>
        </w:tc>
        <w:tc>
          <w:tcPr>
            <w:tcW w:w="100" w:type="dxa"/>
            <w:vAlign w:val="bottom"/>
            <w:shd w:val="clear" w:color="auto" w:fill="D1EDF4"/>
          </w:tcPr>
          <w:p>
            <w:pPr>
              <w:spacing w:after="0"/>
              <w:rPr>
                <w:sz w:val="18"/>
                <w:szCs w:val="18"/>
                <w:color w:val="auto"/>
              </w:rPr>
            </w:pPr>
          </w:p>
        </w:tc>
      </w:tr>
      <w:tr>
        <w:trPr>
          <w:trHeight w:val="209"/>
        </w:trPr>
        <w:tc>
          <w:tcPr>
            <w:tcW w:w="7320" w:type="dxa"/>
            <w:vAlign w:val="bottom"/>
          </w:tcPr>
          <w:p>
            <w:pPr>
              <w:ind w:left="480"/>
              <w:spacing w:after="0"/>
              <w:rPr>
                <w:sz w:val="20"/>
                <w:szCs w:val="20"/>
                <w:color w:val="auto"/>
              </w:rPr>
            </w:pPr>
            <w:r>
              <w:rPr>
                <w:rFonts w:ascii="Arial" w:cs="Arial" w:eastAsia="Arial" w:hAnsi="Arial"/>
                <w:sz w:val="18"/>
                <w:szCs w:val="18"/>
                <w:color w:val="auto"/>
              </w:rPr>
              <w:t>Income tax payable/receivable</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1,932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(3,508)</w:t>
            </w:r>
          </w:p>
        </w:tc>
        <w:tc>
          <w:tcPr>
            <w:tcW w:w="100" w:type="dxa"/>
            <w:vAlign w:val="bottom"/>
          </w:tcPr>
          <w:p>
            <w:pPr>
              <w:spacing w:after="0"/>
              <w:rPr>
                <w:sz w:val="18"/>
                <w:szCs w:val="18"/>
                <w:color w:val="auto"/>
              </w:rPr>
            </w:pPr>
          </w:p>
        </w:tc>
      </w:tr>
      <w:tr>
        <w:trPr>
          <w:trHeight w:val="208"/>
        </w:trPr>
        <w:tc>
          <w:tcPr>
            <w:tcW w:w="7320" w:type="dxa"/>
            <w:vAlign w:val="bottom"/>
            <w:shd w:val="clear" w:color="auto" w:fill="D1EDF4"/>
          </w:tcPr>
          <w:p>
            <w:pPr>
              <w:ind w:left="480"/>
              <w:spacing w:after="0"/>
              <w:rPr>
                <w:sz w:val="20"/>
                <w:szCs w:val="20"/>
                <w:color w:val="auto"/>
              </w:rPr>
            </w:pPr>
            <w:r>
              <w:rPr>
                <w:rFonts w:ascii="Arial" w:cs="Arial" w:eastAsia="Arial" w:hAnsi="Arial"/>
                <w:sz w:val="18"/>
                <w:szCs w:val="18"/>
                <w:color w:val="auto"/>
              </w:rPr>
              <w:t>Layaway deposits</w:t>
            </w:r>
          </w:p>
        </w:tc>
        <w:tc>
          <w:tcPr>
            <w:tcW w:w="18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160" w:type="dxa"/>
            <w:vAlign w:val="bottom"/>
            <w:shd w:val="clear" w:color="auto" w:fill="D1EDF4"/>
          </w:tcPr>
          <w:p>
            <w:pPr>
              <w:spacing w:after="0"/>
              <w:rPr>
                <w:sz w:val="18"/>
                <w:szCs w:val="18"/>
                <w:color w:val="auto"/>
              </w:rPr>
            </w:pPr>
          </w:p>
        </w:tc>
        <w:tc>
          <w:tcPr>
            <w:tcW w:w="940" w:type="dxa"/>
            <w:vAlign w:val="bottom"/>
            <w:gridSpan w:val="2"/>
            <w:shd w:val="clear" w:color="auto" w:fill="D1EDF4"/>
          </w:tcPr>
          <w:p>
            <w:pPr>
              <w:jc w:val="right"/>
              <w:ind w:right="200"/>
              <w:spacing w:after="0"/>
              <w:rPr>
                <w:sz w:val="20"/>
                <w:szCs w:val="20"/>
                <w:color w:val="auto"/>
              </w:rPr>
            </w:pPr>
            <w:r>
              <w:rPr>
                <w:rFonts w:ascii="Arial" w:cs="Arial" w:eastAsia="Arial" w:hAnsi="Arial"/>
                <w:sz w:val="18"/>
                <w:szCs w:val="18"/>
                <w:color w:val="auto"/>
              </w:rPr>
              <w:t>(5)</w:t>
            </w:r>
          </w:p>
        </w:tc>
        <w:tc>
          <w:tcPr>
            <w:tcW w:w="20" w:type="dxa"/>
            <w:vAlign w:val="bottom"/>
            <w:shd w:val="clear" w:color="auto" w:fill="D1EDF4"/>
          </w:tcPr>
          <w:p>
            <w:pPr>
              <w:spacing w:after="0"/>
              <w:rPr>
                <w:sz w:val="18"/>
                <w:szCs w:val="18"/>
                <w:color w:val="auto"/>
              </w:rPr>
            </w:pPr>
          </w:p>
        </w:tc>
        <w:tc>
          <w:tcPr>
            <w:tcW w:w="180" w:type="dxa"/>
            <w:vAlign w:val="bottom"/>
            <w:shd w:val="clear" w:color="auto" w:fill="D1EDF4"/>
          </w:tcPr>
          <w:p>
            <w:pPr>
              <w:spacing w:after="0"/>
              <w:rPr>
                <w:sz w:val="18"/>
                <w:szCs w:val="18"/>
                <w:color w:val="auto"/>
              </w:rPr>
            </w:pPr>
          </w:p>
        </w:tc>
        <w:tc>
          <w:tcPr>
            <w:tcW w:w="740" w:type="dxa"/>
            <w:vAlign w:val="bottom"/>
            <w:shd w:val="clear" w:color="auto" w:fill="D1EDF4"/>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160" w:type="dxa"/>
            <w:vAlign w:val="bottom"/>
            <w:shd w:val="clear" w:color="auto" w:fill="D1EDF4"/>
          </w:tcPr>
          <w:p>
            <w:pPr>
              <w:spacing w:after="0"/>
              <w:rPr>
                <w:sz w:val="18"/>
                <w:szCs w:val="18"/>
                <w:color w:val="auto"/>
              </w:rPr>
            </w:pPr>
          </w:p>
        </w:tc>
        <w:tc>
          <w:tcPr>
            <w:tcW w:w="760" w:type="dxa"/>
            <w:vAlign w:val="bottom"/>
            <w:shd w:val="clear" w:color="auto" w:fill="D1EDF4"/>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D1EDF4"/>
          </w:tcPr>
          <w:p>
            <w:pPr>
              <w:spacing w:after="0"/>
              <w:rPr>
                <w:sz w:val="18"/>
                <w:szCs w:val="18"/>
                <w:color w:val="auto"/>
              </w:rPr>
            </w:pPr>
          </w:p>
        </w:tc>
      </w:tr>
      <w:tr>
        <w:trPr>
          <w:trHeight w:val="198"/>
        </w:trPr>
        <w:tc>
          <w:tcPr>
            <w:tcW w:w="7320" w:type="dxa"/>
            <w:vAlign w:val="bottom"/>
            <w:tcBorders>
              <w:bottom w:val="single" w:sz="8" w:color="D1EDF4"/>
            </w:tcBorders>
          </w:tcPr>
          <w:p>
            <w:pPr>
              <w:ind w:left="720"/>
              <w:spacing w:after="0" w:line="199" w:lineRule="exact"/>
              <w:rPr>
                <w:sz w:val="20"/>
                <w:szCs w:val="20"/>
                <w:color w:val="auto"/>
              </w:rPr>
            </w:pPr>
            <w:r>
              <w:rPr>
                <w:rFonts w:ascii="Arial" w:cs="Arial" w:eastAsia="Arial" w:hAnsi="Arial"/>
                <w:sz w:val="18"/>
                <w:szCs w:val="18"/>
                <w:color w:val="auto"/>
              </w:rPr>
              <w:t>Net cash provided by (used in) operating activities</w:t>
            </w:r>
          </w:p>
        </w:tc>
        <w:tc>
          <w:tcPr>
            <w:tcW w:w="18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20,954</w:t>
            </w:r>
          </w:p>
        </w:tc>
        <w:tc>
          <w:tcPr>
            <w:tcW w:w="20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(3,849)</w:t>
            </w:r>
          </w:p>
        </w:tc>
        <w:tc>
          <w:tcPr>
            <w:tcW w:w="20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(9,577)</w:t>
            </w:r>
          </w:p>
        </w:tc>
        <w:tc>
          <w:tcPr>
            <w:tcW w:w="100" w:type="dxa"/>
            <w:vAlign w:val="bottom"/>
            <w:tcBorders>
              <w:bottom w:val="single" w:sz="8" w:color="D1EDF4"/>
            </w:tcBorders>
          </w:tcPr>
          <w:p>
            <w:pPr>
              <w:spacing w:after="0"/>
              <w:rPr>
                <w:sz w:val="17"/>
                <w:szCs w:val="17"/>
                <w:color w:val="auto"/>
              </w:rPr>
            </w:pPr>
          </w:p>
        </w:tc>
      </w:tr>
      <w:tr>
        <w:trPr>
          <w:trHeight w:val="174"/>
        </w:trPr>
        <w:tc>
          <w:tcPr>
            <w:tcW w:w="7320" w:type="dxa"/>
            <w:vAlign w:val="bottom"/>
            <w:shd w:val="clear" w:color="auto" w:fill="D1EDF4"/>
          </w:tcPr>
          <w:p>
            <w:pPr>
              <w:spacing w:after="0"/>
              <w:rPr>
                <w:sz w:val="15"/>
                <w:szCs w:val="15"/>
                <w:color w:val="auto"/>
              </w:rPr>
            </w:pPr>
          </w:p>
        </w:tc>
        <w:tc>
          <w:tcPr>
            <w:tcW w:w="18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160" w:type="dxa"/>
            <w:vAlign w:val="bottom"/>
            <w:shd w:val="clear" w:color="auto" w:fill="D1EDF4"/>
          </w:tcPr>
          <w:p>
            <w:pPr>
              <w:spacing w:after="0"/>
              <w:rPr>
                <w:sz w:val="15"/>
                <w:szCs w:val="15"/>
                <w:color w:val="auto"/>
              </w:rPr>
            </w:pPr>
          </w:p>
        </w:tc>
        <w:tc>
          <w:tcPr>
            <w:tcW w:w="740" w:type="dxa"/>
            <w:vAlign w:val="bottom"/>
            <w:shd w:val="clear" w:color="auto" w:fill="D1EDF4"/>
          </w:tcPr>
          <w:p>
            <w:pPr>
              <w:spacing w:after="0"/>
              <w:rPr>
                <w:sz w:val="15"/>
                <w:szCs w:val="15"/>
                <w:color w:val="auto"/>
              </w:rPr>
            </w:pPr>
          </w:p>
        </w:tc>
        <w:tc>
          <w:tcPr>
            <w:tcW w:w="20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180" w:type="dxa"/>
            <w:vAlign w:val="bottom"/>
            <w:shd w:val="clear" w:color="auto" w:fill="D1EDF4"/>
          </w:tcPr>
          <w:p>
            <w:pPr>
              <w:spacing w:after="0"/>
              <w:rPr>
                <w:sz w:val="15"/>
                <w:szCs w:val="15"/>
                <w:color w:val="auto"/>
              </w:rPr>
            </w:pPr>
          </w:p>
        </w:tc>
        <w:tc>
          <w:tcPr>
            <w:tcW w:w="740" w:type="dxa"/>
            <w:vAlign w:val="bottom"/>
            <w:shd w:val="clear" w:color="auto" w:fill="D1EDF4"/>
          </w:tcPr>
          <w:p>
            <w:pPr>
              <w:spacing w:after="0"/>
              <w:rPr>
                <w:sz w:val="15"/>
                <w:szCs w:val="15"/>
                <w:color w:val="auto"/>
              </w:rPr>
            </w:pPr>
          </w:p>
        </w:tc>
        <w:tc>
          <w:tcPr>
            <w:tcW w:w="20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160" w:type="dxa"/>
            <w:vAlign w:val="bottom"/>
            <w:shd w:val="clear" w:color="auto" w:fill="D1EDF4"/>
          </w:tcPr>
          <w:p>
            <w:pPr>
              <w:spacing w:after="0"/>
              <w:rPr>
                <w:sz w:val="15"/>
                <w:szCs w:val="15"/>
                <w:color w:val="auto"/>
              </w:rPr>
            </w:pPr>
          </w:p>
        </w:tc>
        <w:tc>
          <w:tcPr>
            <w:tcW w:w="760" w:type="dxa"/>
            <w:vAlign w:val="bottom"/>
            <w:shd w:val="clear" w:color="auto" w:fill="D1EDF4"/>
          </w:tcPr>
          <w:p>
            <w:pPr>
              <w:spacing w:after="0"/>
              <w:rPr>
                <w:sz w:val="15"/>
                <w:szCs w:val="15"/>
                <w:color w:val="auto"/>
              </w:rPr>
            </w:pPr>
          </w:p>
        </w:tc>
        <w:tc>
          <w:tcPr>
            <w:tcW w:w="100" w:type="dxa"/>
            <w:vAlign w:val="bottom"/>
            <w:shd w:val="clear" w:color="auto" w:fill="D1EDF4"/>
          </w:tcPr>
          <w:p>
            <w:pPr>
              <w:spacing w:after="0"/>
              <w:rPr>
                <w:sz w:val="15"/>
                <w:szCs w:val="15"/>
                <w:color w:val="auto"/>
              </w:rPr>
            </w:pPr>
          </w:p>
        </w:tc>
      </w:tr>
      <w:tr>
        <w:trPr>
          <w:trHeight w:val="208"/>
        </w:trPr>
        <w:tc>
          <w:tcPr>
            <w:tcW w:w="7320" w:type="dxa"/>
            <w:vAlign w:val="bottom"/>
          </w:tcPr>
          <w:p>
            <w:pPr>
              <w:spacing w:after="0"/>
              <w:rPr>
                <w:sz w:val="20"/>
                <w:szCs w:val="20"/>
                <w:color w:val="auto"/>
              </w:rPr>
            </w:pPr>
            <w:r>
              <w:rPr>
                <w:rFonts w:ascii="Arial" w:cs="Arial" w:eastAsia="Arial" w:hAnsi="Arial"/>
                <w:sz w:val="18"/>
                <w:szCs w:val="18"/>
                <w:color w:val="auto"/>
              </w:rPr>
              <w:t>Investing activities:</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7320" w:type="dxa"/>
            <w:vAlign w:val="bottom"/>
            <w:shd w:val="clear" w:color="auto" w:fill="D1EDF4"/>
          </w:tcPr>
          <w:p>
            <w:pPr>
              <w:ind w:left="240"/>
              <w:spacing w:after="0"/>
              <w:rPr>
                <w:sz w:val="20"/>
                <w:szCs w:val="20"/>
                <w:color w:val="auto"/>
              </w:rPr>
            </w:pPr>
            <w:r>
              <w:rPr>
                <w:rFonts w:ascii="Arial" w:cs="Arial" w:eastAsia="Arial" w:hAnsi="Arial"/>
                <w:sz w:val="18"/>
                <w:szCs w:val="18"/>
                <w:color w:val="auto"/>
              </w:rPr>
              <w:t>Purchases of property and equipment</w:t>
            </w:r>
          </w:p>
        </w:tc>
        <w:tc>
          <w:tcPr>
            <w:tcW w:w="18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160" w:type="dxa"/>
            <w:vAlign w:val="bottom"/>
            <w:shd w:val="clear" w:color="auto" w:fill="D1EDF4"/>
          </w:tcPr>
          <w:p>
            <w:pPr>
              <w:spacing w:after="0"/>
              <w:rPr>
                <w:sz w:val="18"/>
                <w:szCs w:val="18"/>
                <w:color w:val="auto"/>
              </w:rPr>
            </w:pPr>
          </w:p>
        </w:tc>
        <w:tc>
          <w:tcPr>
            <w:tcW w:w="740" w:type="dxa"/>
            <w:vAlign w:val="bottom"/>
            <w:shd w:val="clear" w:color="auto" w:fill="D1EDF4"/>
          </w:tcPr>
          <w:p>
            <w:pPr>
              <w:jc w:val="right"/>
              <w:spacing w:after="0"/>
              <w:rPr>
                <w:sz w:val="20"/>
                <w:szCs w:val="20"/>
                <w:color w:val="auto"/>
              </w:rPr>
            </w:pPr>
            <w:r>
              <w:rPr>
                <w:rFonts w:ascii="Arial" w:cs="Arial" w:eastAsia="Arial" w:hAnsi="Arial"/>
                <w:sz w:val="18"/>
                <w:szCs w:val="18"/>
                <w:color w:val="auto"/>
              </w:rPr>
              <w:t>(20,330)</w:t>
            </w:r>
          </w:p>
        </w:tc>
        <w:tc>
          <w:tcPr>
            <w:tcW w:w="20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180" w:type="dxa"/>
            <w:vAlign w:val="bottom"/>
            <w:shd w:val="clear" w:color="auto" w:fill="D1EDF4"/>
          </w:tcPr>
          <w:p>
            <w:pPr>
              <w:spacing w:after="0"/>
              <w:rPr>
                <w:sz w:val="18"/>
                <w:szCs w:val="18"/>
                <w:color w:val="auto"/>
              </w:rPr>
            </w:pPr>
          </w:p>
        </w:tc>
        <w:tc>
          <w:tcPr>
            <w:tcW w:w="740" w:type="dxa"/>
            <w:vAlign w:val="bottom"/>
            <w:shd w:val="clear" w:color="auto" w:fill="D1EDF4"/>
          </w:tcPr>
          <w:p>
            <w:pPr>
              <w:jc w:val="right"/>
              <w:spacing w:after="0"/>
              <w:rPr>
                <w:sz w:val="20"/>
                <w:szCs w:val="20"/>
                <w:color w:val="auto"/>
              </w:rPr>
            </w:pPr>
            <w:r>
              <w:rPr>
                <w:rFonts w:ascii="Arial" w:cs="Arial" w:eastAsia="Arial" w:hAnsi="Arial"/>
                <w:sz w:val="18"/>
                <w:szCs w:val="18"/>
                <w:color w:val="auto"/>
              </w:rPr>
              <w:t>(10,108)</w:t>
            </w:r>
          </w:p>
        </w:tc>
        <w:tc>
          <w:tcPr>
            <w:tcW w:w="20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160" w:type="dxa"/>
            <w:vAlign w:val="bottom"/>
            <w:shd w:val="clear" w:color="auto" w:fill="D1EDF4"/>
          </w:tcPr>
          <w:p>
            <w:pPr>
              <w:spacing w:after="0"/>
              <w:rPr>
                <w:sz w:val="18"/>
                <w:szCs w:val="18"/>
                <w:color w:val="auto"/>
              </w:rPr>
            </w:pPr>
          </w:p>
        </w:tc>
        <w:tc>
          <w:tcPr>
            <w:tcW w:w="760" w:type="dxa"/>
            <w:vAlign w:val="bottom"/>
            <w:shd w:val="clear" w:color="auto" w:fill="D1EDF4"/>
          </w:tcPr>
          <w:p>
            <w:pPr>
              <w:jc w:val="right"/>
              <w:spacing w:after="0"/>
              <w:rPr>
                <w:sz w:val="20"/>
                <w:szCs w:val="20"/>
                <w:color w:val="auto"/>
              </w:rPr>
            </w:pPr>
            <w:r>
              <w:rPr>
                <w:rFonts w:ascii="Arial" w:cs="Arial" w:eastAsia="Arial" w:hAnsi="Arial"/>
                <w:sz w:val="18"/>
                <w:szCs w:val="18"/>
                <w:color w:val="auto"/>
              </w:rPr>
              <w:t>(14,875)</w:t>
            </w:r>
          </w:p>
        </w:tc>
        <w:tc>
          <w:tcPr>
            <w:tcW w:w="100" w:type="dxa"/>
            <w:vAlign w:val="bottom"/>
            <w:shd w:val="clear" w:color="auto" w:fill="D1EDF4"/>
          </w:tcPr>
          <w:p>
            <w:pPr>
              <w:spacing w:after="0"/>
              <w:rPr>
                <w:sz w:val="18"/>
                <w:szCs w:val="18"/>
                <w:color w:val="auto"/>
              </w:rPr>
            </w:pPr>
          </w:p>
        </w:tc>
      </w:tr>
      <w:tr>
        <w:trPr>
          <w:trHeight w:val="208"/>
        </w:trPr>
        <w:tc>
          <w:tcPr>
            <w:tcW w:w="7320" w:type="dxa"/>
            <w:vAlign w:val="bottom"/>
          </w:tcPr>
          <w:p>
            <w:pPr>
              <w:ind w:left="240"/>
              <w:spacing w:after="0"/>
              <w:rPr>
                <w:sz w:val="20"/>
                <w:szCs w:val="20"/>
                <w:color w:val="auto"/>
              </w:rPr>
            </w:pPr>
            <w:r>
              <w:rPr>
                <w:rFonts w:ascii="Arial" w:cs="Arial" w:eastAsia="Arial" w:hAnsi="Arial"/>
                <w:sz w:val="18"/>
                <w:szCs w:val="18"/>
                <w:color w:val="auto"/>
              </w:rPr>
              <w:t>Insurance proceeds related to investing activities</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1,517</w:t>
            </w:r>
          </w:p>
        </w:tc>
        <w:tc>
          <w:tcPr>
            <w:tcW w:w="100" w:type="dxa"/>
            <w:vAlign w:val="bottom"/>
          </w:tcPr>
          <w:p>
            <w:pPr>
              <w:spacing w:after="0"/>
              <w:rPr>
                <w:sz w:val="18"/>
                <w:szCs w:val="18"/>
                <w:color w:val="auto"/>
              </w:rPr>
            </w:pPr>
          </w:p>
        </w:tc>
      </w:tr>
      <w:tr>
        <w:trPr>
          <w:trHeight w:val="208"/>
        </w:trPr>
        <w:tc>
          <w:tcPr>
            <w:tcW w:w="7320" w:type="dxa"/>
            <w:vAlign w:val="bottom"/>
            <w:shd w:val="clear" w:color="auto" w:fill="D1EDF4"/>
          </w:tcPr>
          <w:p>
            <w:pPr>
              <w:ind w:left="240"/>
              <w:spacing w:after="0"/>
              <w:rPr>
                <w:sz w:val="20"/>
                <w:szCs w:val="20"/>
                <w:color w:val="auto"/>
              </w:rPr>
            </w:pPr>
            <w:r>
              <w:rPr>
                <w:rFonts w:ascii="Arial" w:cs="Arial" w:eastAsia="Arial" w:hAnsi="Arial"/>
                <w:sz w:val="18"/>
                <w:szCs w:val="18"/>
                <w:color w:val="auto"/>
              </w:rPr>
              <w:t>Proceeds from sale of building</w:t>
            </w:r>
          </w:p>
        </w:tc>
        <w:tc>
          <w:tcPr>
            <w:tcW w:w="18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160" w:type="dxa"/>
            <w:vAlign w:val="bottom"/>
            <w:shd w:val="clear" w:color="auto" w:fill="D1EDF4"/>
          </w:tcPr>
          <w:p>
            <w:pPr>
              <w:spacing w:after="0"/>
              <w:rPr>
                <w:sz w:val="18"/>
                <w:szCs w:val="18"/>
                <w:color w:val="auto"/>
              </w:rPr>
            </w:pPr>
          </w:p>
        </w:tc>
        <w:tc>
          <w:tcPr>
            <w:tcW w:w="740" w:type="dxa"/>
            <w:vAlign w:val="bottom"/>
            <w:shd w:val="clear" w:color="auto" w:fill="D1EDF4"/>
          </w:tcPr>
          <w:p>
            <w:pPr>
              <w:jc w:val="right"/>
              <w:spacing w:after="0"/>
              <w:rPr>
                <w:sz w:val="20"/>
                <w:szCs w:val="20"/>
                <w:color w:val="auto"/>
              </w:rPr>
            </w:pPr>
            <w:r>
              <w:rPr>
                <w:rFonts w:ascii="Arial" w:cs="Arial" w:eastAsia="Arial" w:hAnsi="Arial"/>
                <w:sz w:val="18"/>
                <w:szCs w:val="18"/>
                <w:color w:val="auto"/>
              </w:rPr>
              <w:t>11,206</w:t>
            </w:r>
          </w:p>
        </w:tc>
        <w:tc>
          <w:tcPr>
            <w:tcW w:w="20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180" w:type="dxa"/>
            <w:vAlign w:val="bottom"/>
            <w:shd w:val="clear" w:color="auto" w:fill="D1EDF4"/>
          </w:tcPr>
          <w:p>
            <w:pPr>
              <w:spacing w:after="0"/>
              <w:rPr>
                <w:sz w:val="18"/>
                <w:szCs w:val="18"/>
                <w:color w:val="auto"/>
              </w:rPr>
            </w:pPr>
          </w:p>
        </w:tc>
        <w:tc>
          <w:tcPr>
            <w:tcW w:w="960" w:type="dxa"/>
            <w:vAlign w:val="bottom"/>
            <w:gridSpan w:val="3"/>
            <w:shd w:val="clear" w:color="auto" w:fill="D1EDF4"/>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D1EDF4"/>
          </w:tcPr>
          <w:p>
            <w:pPr>
              <w:spacing w:after="0"/>
              <w:rPr>
                <w:sz w:val="18"/>
                <w:szCs w:val="18"/>
                <w:color w:val="auto"/>
              </w:rPr>
            </w:pPr>
          </w:p>
        </w:tc>
        <w:tc>
          <w:tcPr>
            <w:tcW w:w="860" w:type="dxa"/>
            <w:vAlign w:val="bottom"/>
            <w:gridSpan w:val="2"/>
            <w:shd w:val="clear" w:color="auto" w:fill="D1EDF4"/>
          </w:tcPr>
          <w:p>
            <w:pPr>
              <w:jc w:val="right"/>
              <w:ind w:right="160"/>
              <w:spacing w:after="0"/>
              <w:rPr>
                <w:sz w:val="20"/>
                <w:szCs w:val="20"/>
                <w:color w:val="auto"/>
              </w:rPr>
            </w:pPr>
            <w:r>
              <w:rPr>
                <w:rFonts w:ascii="Arial" w:cs="Arial" w:eastAsia="Arial" w:hAnsi="Arial"/>
                <w:sz w:val="18"/>
                <w:szCs w:val="18"/>
                <w:color w:val="auto"/>
              </w:rPr>
              <w:t>—</w:t>
            </w:r>
          </w:p>
        </w:tc>
      </w:tr>
      <w:tr>
        <w:trPr>
          <w:trHeight w:val="198"/>
        </w:trPr>
        <w:tc>
          <w:tcPr>
            <w:tcW w:w="7320" w:type="dxa"/>
            <w:vAlign w:val="bottom"/>
            <w:tcBorders>
              <w:bottom w:val="single" w:sz="8" w:color="D1EDF4"/>
            </w:tcBorders>
          </w:tcPr>
          <w:p>
            <w:pPr>
              <w:ind w:left="720"/>
              <w:spacing w:after="0" w:line="199" w:lineRule="exact"/>
              <w:rPr>
                <w:sz w:val="20"/>
                <w:szCs w:val="20"/>
                <w:color w:val="auto"/>
              </w:rPr>
            </w:pPr>
            <w:r>
              <w:rPr>
                <w:rFonts w:ascii="Arial" w:cs="Arial" w:eastAsia="Arial" w:hAnsi="Arial"/>
                <w:sz w:val="18"/>
                <w:szCs w:val="18"/>
                <w:color w:val="auto"/>
              </w:rPr>
              <w:t>Net cash used in investing activities</w:t>
            </w:r>
          </w:p>
        </w:tc>
        <w:tc>
          <w:tcPr>
            <w:tcW w:w="18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(8,494)</w:t>
            </w:r>
          </w:p>
        </w:tc>
        <w:tc>
          <w:tcPr>
            <w:tcW w:w="20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(10,108)</w:t>
            </w:r>
          </w:p>
        </w:tc>
        <w:tc>
          <w:tcPr>
            <w:tcW w:w="20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(13,358)</w:t>
            </w:r>
          </w:p>
        </w:tc>
        <w:tc>
          <w:tcPr>
            <w:tcW w:w="100" w:type="dxa"/>
            <w:vAlign w:val="bottom"/>
            <w:tcBorders>
              <w:bottom w:val="single" w:sz="8" w:color="D1EDF4"/>
            </w:tcBorders>
          </w:tcPr>
          <w:p>
            <w:pPr>
              <w:spacing w:after="0"/>
              <w:rPr>
                <w:sz w:val="17"/>
                <w:szCs w:val="17"/>
                <w:color w:val="auto"/>
              </w:rPr>
            </w:pPr>
          </w:p>
        </w:tc>
      </w:tr>
      <w:tr>
        <w:trPr>
          <w:trHeight w:val="174"/>
        </w:trPr>
        <w:tc>
          <w:tcPr>
            <w:tcW w:w="7320" w:type="dxa"/>
            <w:vAlign w:val="bottom"/>
            <w:shd w:val="clear" w:color="auto" w:fill="D1EDF4"/>
          </w:tcPr>
          <w:p>
            <w:pPr>
              <w:spacing w:after="0"/>
              <w:rPr>
                <w:sz w:val="15"/>
                <w:szCs w:val="15"/>
                <w:color w:val="auto"/>
              </w:rPr>
            </w:pPr>
          </w:p>
        </w:tc>
        <w:tc>
          <w:tcPr>
            <w:tcW w:w="18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160" w:type="dxa"/>
            <w:vAlign w:val="bottom"/>
            <w:shd w:val="clear" w:color="auto" w:fill="D1EDF4"/>
          </w:tcPr>
          <w:p>
            <w:pPr>
              <w:spacing w:after="0"/>
              <w:rPr>
                <w:sz w:val="15"/>
                <w:szCs w:val="15"/>
                <w:color w:val="auto"/>
              </w:rPr>
            </w:pPr>
          </w:p>
        </w:tc>
        <w:tc>
          <w:tcPr>
            <w:tcW w:w="740" w:type="dxa"/>
            <w:vAlign w:val="bottom"/>
            <w:shd w:val="clear" w:color="auto" w:fill="D1EDF4"/>
          </w:tcPr>
          <w:p>
            <w:pPr>
              <w:spacing w:after="0"/>
              <w:rPr>
                <w:sz w:val="15"/>
                <w:szCs w:val="15"/>
                <w:color w:val="auto"/>
              </w:rPr>
            </w:pPr>
          </w:p>
        </w:tc>
        <w:tc>
          <w:tcPr>
            <w:tcW w:w="20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180" w:type="dxa"/>
            <w:vAlign w:val="bottom"/>
            <w:shd w:val="clear" w:color="auto" w:fill="D1EDF4"/>
          </w:tcPr>
          <w:p>
            <w:pPr>
              <w:spacing w:after="0"/>
              <w:rPr>
                <w:sz w:val="15"/>
                <w:szCs w:val="15"/>
                <w:color w:val="auto"/>
              </w:rPr>
            </w:pPr>
          </w:p>
        </w:tc>
        <w:tc>
          <w:tcPr>
            <w:tcW w:w="740" w:type="dxa"/>
            <w:vAlign w:val="bottom"/>
            <w:shd w:val="clear" w:color="auto" w:fill="D1EDF4"/>
          </w:tcPr>
          <w:p>
            <w:pPr>
              <w:spacing w:after="0"/>
              <w:rPr>
                <w:sz w:val="15"/>
                <w:szCs w:val="15"/>
                <w:color w:val="auto"/>
              </w:rPr>
            </w:pPr>
          </w:p>
        </w:tc>
        <w:tc>
          <w:tcPr>
            <w:tcW w:w="20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160" w:type="dxa"/>
            <w:vAlign w:val="bottom"/>
            <w:shd w:val="clear" w:color="auto" w:fill="D1EDF4"/>
          </w:tcPr>
          <w:p>
            <w:pPr>
              <w:spacing w:after="0"/>
              <w:rPr>
                <w:sz w:val="15"/>
                <w:szCs w:val="15"/>
                <w:color w:val="auto"/>
              </w:rPr>
            </w:pPr>
          </w:p>
        </w:tc>
        <w:tc>
          <w:tcPr>
            <w:tcW w:w="760" w:type="dxa"/>
            <w:vAlign w:val="bottom"/>
            <w:shd w:val="clear" w:color="auto" w:fill="D1EDF4"/>
          </w:tcPr>
          <w:p>
            <w:pPr>
              <w:spacing w:after="0"/>
              <w:rPr>
                <w:sz w:val="15"/>
                <w:szCs w:val="15"/>
                <w:color w:val="auto"/>
              </w:rPr>
            </w:pPr>
          </w:p>
        </w:tc>
        <w:tc>
          <w:tcPr>
            <w:tcW w:w="100" w:type="dxa"/>
            <w:vAlign w:val="bottom"/>
            <w:shd w:val="clear" w:color="auto" w:fill="D1EDF4"/>
          </w:tcPr>
          <w:p>
            <w:pPr>
              <w:spacing w:after="0"/>
              <w:rPr>
                <w:sz w:val="15"/>
                <w:szCs w:val="15"/>
                <w:color w:val="auto"/>
              </w:rPr>
            </w:pPr>
          </w:p>
        </w:tc>
      </w:tr>
      <w:tr>
        <w:trPr>
          <w:trHeight w:val="209"/>
        </w:trPr>
        <w:tc>
          <w:tcPr>
            <w:tcW w:w="7320" w:type="dxa"/>
            <w:vAlign w:val="bottom"/>
          </w:tcPr>
          <w:p>
            <w:pPr>
              <w:spacing w:after="0"/>
              <w:rPr>
                <w:sz w:val="20"/>
                <w:szCs w:val="20"/>
                <w:color w:val="auto"/>
              </w:rPr>
            </w:pPr>
            <w:r>
              <w:rPr>
                <w:rFonts w:ascii="Arial" w:cs="Arial" w:eastAsia="Arial" w:hAnsi="Arial"/>
                <w:sz w:val="18"/>
                <w:szCs w:val="18"/>
                <w:color w:val="auto"/>
              </w:rPr>
              <w:t>Financing activities:</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7320" w:type="dxa"/>
            <w:vAlign w:val="bottom"/>
            <w:shd w:val="clear" w:color="auto" w:fill="D1EDF4"/>
          </w:tcPr>
          <w:p>
            <w:pPr>
              <w:ind w:left="240"/>
              <w:spacing w:after="0"/>
              <w:rPr>
                <w:sz w:val="20"/>
                <w:szCs w:val="20"/>
                <w:color w:val="auto"/>
              </w:rPr>
            </w:pPr>
            <w:r>
              <w:rPr>
                <w:rFonts w:ascii="Arial" w:cs="Arial" w:eastAsia="Arial" w:hAnsi="Arial"/>
                <w:sz w:val="18"/>
                <w:szCs w:val="18"/>
                <w:color w:val="auto"/>
              </w:rPr>
              <w:t>Cash used to settle withholding taxes on vested restricted stock</w:t>
            </w:r>
          </w:p>
        </w:tc>
        <w:tc>
          <w:tcPr>
            <w:tcW w:w="18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160" w:type="dxa"/>
            <w:vAlign w:val="bottom"/>
            <w:shd w:val="clear" w:color="auto" w:fill="D1EDF4"/>
          </w:tcPr>
          <w:p>
            <w:pPr>
              <w:spacing w:after="0"/>
              <w:rPr>
                <w:sz w:val="18"/>
                <w:szCs w:val="18"/>
                <w:color w:val="auto"/>
              </w:rPr>
            </w:pPr>
          </w:p>
        </w:tc>
        <w:tc>
          <w:tcPr>
            <w:tcW w:w="740" w:type="dxa"/>
            <w:vAlign w:val="bottom"/>
            <w:shd w:val="clear" w:color="auto" w:fill="D1EDF4"/>
          </w:tcPr>
          <w:p>
            <w:pPr>
              <w:jc w:val="right"/>
              <w:spacing w:after="0"/>
              <w:rPr>
                <w:sz w:val="20"/>
                <w:szCs w:val="20"/>
                <w:color w:val="auto"/>
              </w:rPr>
            </w:pPr>
            <w:r>
              <w:rPr>
                <w:rFonts w:ascii="Arial" w:cs="Arial" w:eastAsia="Arial" w:hAnsi="Arial"/>
                <w:sz w:val="18"/>
                <w:szCs w:val="18"/>
                <w:color w:val="auto"/>
              </w:rPr>
              <w:t>(1,138)</w:t>
            </w:r>
          </w:p>
        </w:tc>
        <w:tc>
          <w:tcPr>
            <w:tcW w:w="20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180" w:type="dxa"/>
            <w:vAlign w:val="bottom"/>
            <w:shd w:val="clear" w:color="auto" w:fill="D1EDF4"/>
          </w:tcPr>
          <w:p>
            <w:pPr>
              <w:spacing w:after="0"/>
              <w:rPr>
                <w:sz w:val="18"/>
                <w:szCs w:val="18"/>
                <w:color w:val="auto"/>
              </w:rPr>
            </w:pPr>
          </w:p>
        </w:tc>
        <w:tc>
          <w:tcPr>
            <w:tcW w:w="740" w:type="dxa"/>
            <w:vAlign w:val="bottom"/>
            <w:shd w:val="clear" w:color="auto" w:fill="D1EDF4"/>
          </w:tcPr>
          <w:p>
            <w:pPr>
              <w:jc w:val="right"/>
              <w:spacing w:after="0"/>
              <w:rPr>
                <w:sz w:val="20"/>
                <w:szCs w:val="20"/>
                <w:color w:val="auto"/>
              </w:rPr>
            </w:pPr>
            <w:r>
              <w:rPr>
                <w:rFonts w:ascii="Arial" w:cs="Arial" w:eastAsia="Arial" w:hAnsi="Arial"/>
                <w:sz w:val="18"/>
                <w:szCs w:val="18"/>
                <w:color w:val="auto"/>
              </w:rPr>
              <w:t>(887)</w:t>
            </w:r>
          </w:p>
        </w:tc>
        <w:tc>
          <w:tcPr>
            <w:tcW w:w="20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160" w:type="dxa"/>
            <w:vAlign w:val="bottom"/>
            <w:shd w:val="clear" w:color="auto" w:fill="D1EDF4"/>
          </w:tcPr>
          <w:p>
            <w:pPr>
              <w:spacing w:after="0"/>
              <w:rPr>
                <w:sz w:val="18"/>
                <w:szCs w:val="18"/>
                <w:color w:val="auto"/>
              </w:rPr>
            </w:pPr>
          </w:p>
        </w:tc>
        <w:tc>
          <w:tcPr>
            <w:tcW w:w="760" w:type="dxa"/>
            <w:vAlign w:val="bottom"/>
            <w:shd w:val="clear" w:color="auto" w:fill="D1EDF4"/>
          </w:tcPr>
          <w:p>
            <w:pPr>
              <w:jc w:val="right"/>
              <w:spacing w:after="0"/>
              <w:rPr>
                <w:sz w:val="20"/>
                <w:szCs w:val="20"/>
                <w:color w:val="auto"/>
              </w:rPr>
            </w:pPr>
            <w:r>
              <w:rPr>
                <w:rFonts w:ascii="Arial" w:cs="Arial" w:eastAsia="Arial" w:hAnsi="Arial"/>
                <w:sz w:val="18"/>
                <w:szCs w:val="18"/>
                <w:color w:val="auto"/>
              </w:rPr>
              <w:t>(854)</w:t>
            </w:r>
          </w:p>
        </w:tc>
        <w:tc>
          <w:tcPr>
            <w:tcW w:w="100" w:type="dxa"/>
            <w:vAlign w:val="bottom"/>
            <w:shd w:val="clear" w:color="auto" w:fill="D1EDF4"/>
          </w:tcPr>
          <w:p>
            <w:pPr>
              <w:spacing w:after="0"/>
              <w:rPr>
                <w:sz w:val="18"/>
                <w:szCs w:val="18"/>
                <w:color w:val="auto"/>
              </w:rPr>
            </w:pPr>
          </w:p>
        </w:tc>
      </w:tr>
      <w:tr>
        <w:trPr>
          <w:trHeight w:val="208"/>
        </w:trPr>
        <w:tc>
          <w:tcPr>
            <w:tcW w:w="7320" w:type="dxa"/>
            <w:vAlign w:val="bottom"/>
          </w:tcPr>
          <w:p>
            <w:pPr>
              <w:ind w:left="240"/>
              <w:spacing w:after="0"/>
              <w:rPr>
                <w:sz w:val="20"/>
                <w:szCs w:val="20"/>
                <w:color w:val="auto"/>
              </w:rPr>
            </w:pPr>
            <w:r>
              <w:rPr>
                <w:rFonts w:ascii="Arial" w:cs="Arial" w:eastAsia="Arial" w:hAnsi="Arial"/>
                <w:sz w:val="18"/>
                <w:szCs w:val="18"/>
                <w:color w:val="auto"/>
              </w:rPr>
              <w:t>Repurchase of common stock</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(6,315)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(3,777)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8"/>
        </w:trPr>
        <w:tc>
          <w:tcPr>
            <w:tcW w:w="7320" w:type="dxa"/>
            <w:vAlign w:val="bottom"/>
            <w:tcBorders>
              <w:top w:val="single" w:sz="8" w:color="D1EDF4"/>
              <w:bottom w:val="single" w:sz="8" w:color="D1EDF4"/>
            </w:tcBorders>
            <w:shd w:val="clear" w:color="auto" w:fill="D1EDF4"/>
          </w:tcPr>
          <w:p>
            <w:pPr>
              <w:ind w:left="720"/>
              <w:spacing w:after="0" w:line="199" w:lineRule="exact"/>
              <w:rPr>
                <w:sz w:val="20"/>
                <w:szCs w:val="20"/>
                <w:color w:val="auto"/>
              </w:rPr>
            </w:pPr>
            <w:r>
              <w:rPr>
                <w:rFonts w:ascii="Arial" w:cs="Arial" w:eastAsia="Arial" w:hAnsi="Arial"/>
                <w:sz w:val="18"/>
                <w:szCs w:val="18"/>
                <w:color w:val="auto"/>
              </w:rPr>
              <w:t>Net cash used in financing activities</w:t>
            </w:r>
          </w:p>
        </w:tc>
        <w:tc>
          <w:tcPr>
            <w:tcW w:w="180" w:type="dxa"/>
            <w:vAlign w:val="bottom"/>
            <w:tcBorders>
              <w:top w:val="single" w:sz="8" w:color="D1EDF4"/>
              <w:bottom w:val="single" w:sz="8" w:color="D1EDF4"/>
            </w:tcBorders>
            <w:shd w:val="clear" w:color="auto" w:fill="D1EDF4"/>
          </w:tcPr>
          <w:p>
            <w:pPr>
              <w:spacing w:after="0"/>
              <w:rPr>
                <w:sz w:val="18"/>
                <w:szCs w:val="18"/>
                <w:color w:val="auto"/>
              </w:rPr>
            </w:pPr>
          </w:p>
        </w:tc>
        <w:tc>
          <w:tcPr>
            <w:tcW w:w="20" w:type="dxa"/>
            <w:vAlign w:val="bottom"/>
            <w:tcBorders>
              <w:top w:val="single" w:sz="8" w:color="D1EDF4"/>
              <w:bottom w:val="single" w:sz="8" w:color="D1EDF4"/>
            </w:tcBorders>
            <w:shd w:val="clear" w:color="auto" w:fill="D1EDF4"/>
          </w:tcPr>
          <w:p>
            <w:pPr>
              <w:spacing w:after="0"/>
              <w:rPr>
                <w:sz w:val="18"/>
                <w:szCs w:val="18"/>
                <w:color w:val="auto"/>
              </w:rPr>
            </w:pPr>
          </w:p>
        </w:tc>
        <w:tc>
          <w:tcPr>
            <w:tcW w:w="160" w:type="dxa"/>
            <w:vAlign w:val="bottom"/>
            <w:tcBorders>
              <w:top w:val="single" w:sz="8" w:color="auto"/>
              <w:bottom w:val="single" w:sz="8" w:color="auto"/>
            </w:tcBorders>
            <w:shd w:val="clear" w:color="auto" w:fill="D1EDF4"/>
          </w:tcPr>
          <w:p>
            <w:pPr>
              <w:spacing w:after="0"/>
              <w:rPr>
                <w:sz w:val="18"/>
                <w:szCs w:val="18"/>
                <w:color w:val="auto"/>
              </w:rPr>
            </w:pPr>
          </w:p>
        </w:tc>
        <w:tc>
          <w:tcPr>
            <w:tcW w:w="740" w:type="dxa"/>
            <w:vAlign w:val="bottom"/>
            <w:tcBorders>
              <w:top w:val="single" w:sz="8" w:color="auto"/>
              <w:bottom w:val="single" w:sz="8" w:color="auto"/>
            </w:tcBorders>
            <w:shd w:val="clear" w:color="auto" w:fill="D1EDF4"/>
          </w:tcPr>
          <w:p>
            <w:pPr>
              <w:jc w:val="right"/>
              <w:spacing w:after="0" w:line="199" w:lineRule="exact"/>
              <w:rPr>
                <w:sz w:val="20"/>
                <w:szCs w:val="20"/>
                <w:color w:val="auto"/>
              </w:rPr>
            </w:pPr>
            <w:r>
              <w:rPr>
                <w:rFonts w:ascii="Arial" w:cs="Arial" w:eastAsia="Arial" w:hAnsi="Arial"/>
                <w:sz w:val="18"/>
                <w:szCs w:val="18"/>
                <w:color w:val="auto"/>
              </w:rPr>
              <w:t>(7,453)</w:t>
            </w:r>
          </w:p>
        </w:tc>
        <w:tc>
          <w:tcPr>
            <w:tcW w:w="200" w:type="dxa"/>
            <w:vAlign w:val="bottom"/>
            <w:tcBorders>
              <w:top w:val="single" w:sz="8" w:color="D1EDF4"/>
              <w:bottom w:val="single" w:sz="8" w:color="D1EDF4"/>
            </w:tcBorders>
            <w:shd w:val="clear" w:color="auto" w:fill="D1EDF4"/>
          </w:tcPr>
          <w:p>
            <w:pPr>
              <w:spacing w:after="0"/>
              <w:rPr>
                <w:sz w:val="18"/>
                <w:szCs w:val="18"/>
                <w:color w:val="auto"/>
              </w:rPr>
            </w:pPr>
          </w:p>
        </w:tc>
        <w:tc>
          <w:tcPr>
            <w:tcW w:w="20" w:type="dxa"/>
            <w:vAlign w:val="bottom"/>
            <w:tcBorders>
              <w:top w:val="single" w:sz="8" w:color="D1EDF4"/>
              <w:bottom w:val="single" w:sz="8" w:color="D1EDF4"/>
            </w:tcBorders>
            <w:shd w:val="clear" w:color="auto" w:fill="D1EDF4"/>
          </w:tcPr>
          <w:p>
            <w:pPr>
              <w:spacing w:after="0"/>
              <w:rPr>
                <w:sz w:val="18"/>
                <w:szCs w:val="18"/>
                <w:color w:val="auto"/>
              </w:rPr>
            </w:pPr>
          </w:p>
        </w:tc>
        <w:tc>
          <w:tcPr>
            <w:tcW w:w="180" w:type="dxa"/>
            <w:vAlign w:val="bottom"/>
            <w:tcBorders>
              <w:top w:val="single" w:sz="8" w:color="auto"/>
              <w:bottom w:val="single" w:sz="8" w:color="auto"/>
            </w:tcBorders>
            <w:shd w:val="clear" w:color="auto" w:fill="D1EDF4"/>
          </w:tcPr>
          <w:p>
            <w:pPr>
              <w:spacing w:after="0"/>
              <w:rPr>
                <w:sz w:val="18"/>
                <w:szCs w:val="18"/>
                <w:color w:val="auto"/>
              </w:rPr>
            </w:pPr>
          </w:p>
        </w:tc>
        <w:tc>
          <w:tcPr>
            <w:tcW w:w="740" w:type="dxa"/>
            <w:vAlign w:val="bottom"/>
            <w:tcBorders>
              <w:top w:val="single" w:sz="8" w:color="auto"/>
              <w:bottom w:val="single" w:sz="8" w:color="auto"/>
            </w:tcBorders>
            <w:shd w:val="clear" w:color="auto" w:fill="D1EDF4"/>
          </w:tcPr>
          <w:p>
            <w:pPr>
              <w:jc w:val="right"/>
              <w:spacing w:after="0" w:line="199" w:lineRule="exact"/>
              <w:rPr>
                <w:sz w:val="20"/>
                <w:szCs w:val="20"/>
                <w:color w:val="auto"/>
              </w:rPr>
            </w:pPr>
            <w:r>
              <w:rPr>
                <w:rFonts w:ascii="Arial" w:cs="Arial" w:eastAsia="Arial" w:hAnsi="Arial"/>
                <w:sz w:val="18"/>
                <w:szCs w:val="18"/>
                <w:color w:val="auto"/>
              </w:rPr>
              <w:t>(4,664)</w:t>
            </w:r>
          </w:p>
        </w:tc>
        <w:tc>
          <w:tcPr>
            <w:tcW w:w="200" w:type="dxa"/>
            <w:vAlign w:val="bottom"/>
            <w:tcBorders>
              <w:top w:val="single" w:sz="8" w:color="D1EDF4"/>
              <w:bottom w:val="single" w:sz="8" w:color="D1EDF4"/>
            </w:tcBorders>
            <w:shd w:val="clear" w:color="auto" w:fill="D1EDF4"/>
          </w:tcPr>
          <w:p>
            <w:pPr>
              <w:spacing w:after="0"/>
              <w:rPr>
                <w:sz w:val="18"/>
                <w:szCs w:val="18"/>
                <w:color w:val="auto"/>
              </w:rPr>
            </w:pPr>
          </w:p>
        </w:tc>
        <w:tc>
          <w:tcPr>
            <w:tcW w:w="20" w:type="dxa"/>
            <w:vAlign w:val="bottom"/>
            <w:tcBorders>
              <w:top w:val="single" w:sz="8" w:color="D1EDF4"/>
              <w:bottom w:val="single" w:sz="8" w:color="D1EDF4"/>
            </w:tcBorders>
            <w:shd w:val="clear" w:color="auto" w:fill="D1EDF4"/>
          </w:tcPr>
          <w:p>
            <w:pPr>
              <w:spacing w:after="0"/>
              <w:rPr>
                <w:sz w:val="18"/>
                <w:szCs w:val="18"/>
                <w:color w:val="auto"/>
              </w:rPr>
            </w:pPr>
          </w:p>
        </w:tc>
        <w:tc>
          <w:tcPr>
            <w:tcW w:w="160" w:type="dxa"/>
            <w:vAlign w:val="bottom"/>
            <w:tcBorders>
              <w:top w:val="single" w:sz="8" w:color="auto"/>
              <w:bottom w:val="single" w:sz="8" w:color="auto"/>
            </w:tcBorders>
            <w:shd w:val="clear" w:color="auto" w:fill="D1EDF4"/>
          </w:tcPr>
          <w:p>
            <w:pPr>
              <w:spacing w:after="0"/>
              <w:rPr>
                <w:sz w:val="18"/>
                <w:szCs w:val="18"/>
                <w:color w:val="auto"/>
              </w:rPr>
            </w:pPr>
          </w:p>
        </w:tc>
        <w:tc>
          <w:tcPr>
            <w:tcW w:w="760" w:type="dxa"/>
            <w:vAlign w:val="bottom"/>
            <w:tcBorders>
              <w:top w:val="single" w:sz="8" w:color="auto"/>
              <w:bottom w:val="single" w:sz="8" w:color="auto"/>
            </w:tcBorders>
            <w:shd w:val="clear" w:color="auto" w:fill="D1EDF4"/>
          </w:tcPr>
          <w:p>
            <w:pPr>
              <w:jc w:val="right"/>
              <w:spacing w:after="0" w:line="199" w:lineRule="exact"/>
              <w:rPr>
                <w:sz w:val="20"/>
                <w:szCs w:val="20"/>
                <w:color w:val="auto"/>
              </w:rPr>
            </w:pPr>
            <w:r>
              <w:rPr>
                <w:rFonts w:ascii="Arial" w:cs="Arial" w:eastAsia="Arial" w:hAnsi="Arial"/>
                <w:sz w:val="18"/>
                <w:szCs w:val="18"/>
                <w:color w:val="auto"/>
              </w:rPr>
              <w:t>(854)</w:t>
            </w:r>
          </w:p>
        </w:tc>
        <w:tc>
          <w:tcPr>
            <w:tcW w:w="100" w:type="dxa"/>
            <w:vAlign w:val="bottom"/>
            <w:tcBorders>
              <w:top w:val="single" w:sz="8" w:color="D1EDF4"/>
              <w:bottom w:val="single" w:sz="8" w:color="D1EDF4"/>
            </w:tcBorders>
            <w:shd w:val="clear" w:color="auto" w:fill="D1EDF4"/>
          </w:tcPr>
          <w:p>
            <w:pPr>
              <w:spacing w:after="0"/>
              <w:rPr>
                <w:sz w:val="18"/>
                <w:szCs w:val="18"/>
                <w:color w:val="auto"/>
              </w:rPr>
            </w:pPr>
          </w:p>
        </w:tc>
      </w:tr>
      <w:tr>
        <w:trPr>
          <w:trHeight w:val="178"/>
        </w:trPr>
        <w:tc>
          <w:tcPr>
            <w:tcW w:w="7320" w:type="dxa"/>
            <w:vAlign w:val="bottom"/>
          </w:tcPr>
          <w:p>
            <w:pPr>
              <w:ind w:left="720"/>
              <w:spacing w:after="0" w:line="178" w:lineRule="exact"/>
              <w:rPr>
                <w:sz w:val="20"/>
                <w:szCs w:val="20"/>
                <w:color w:val="auto"/>
              </w:rPr>
            </w:pPr>
            <w:r>
              <w:rPr>
                <w:rFonts w:ascii="Arial" w:cs="Arial" w:eastAsia="Arial" w:hAnsi="Arial"/>
                <w:sz w:val="18"/>
                <w:szCs w:val="18"/>
                <w:color w:val="auto"/>
              </w:rPr>
              <w:t>Net increase (decrease) in cash and cash equivalents</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line="178" w:lineRule="exact"/>
              <w:rPr>
                <w:sz w:val="20"/>
                <w:szCs w:val="20"/>
                <w:color w:val="auto"/>
              </w:rPr>
            </w:pPr>
            <w:r>
              <w:rPr>
                <w:rFonts w:ascii="Arial" w:cs="Arial" w:eastAsia="Arial" w:hAnsi="Arial"/>
                <w:sz w:val="18"/>
                <w:szCs w:val="18"/>
                <w:color w:val="auto"/>
              </w:rPr>
              <w:t>5,007</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line="178" w:lineRule="exact"/>
              <w:rPr>
                <w:sz w:val="20"/>
                <w:szCs w:val="20"/>
                <w:color w:val="auto"/>
              </w:rPr>
            </w:pPr>
            <w:r>
              <w:rPr>
                <w:rFonts w:ascii="Arial" w:cs="Arial" w:eastAsia="Arial" w:hAnsi="Arial"/>
                <w:sz w:val="18"/>
                <w:szCs w:val="18"/>
                <w:color w:val="auto"/>
              </w:rPr>
              <w:t>(18,621)</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line="178" w:lineRule="exact"/>
              <w:rPr>
                <w:sz w:val="20"/>
                <w:szCs w:val="20"/>
                <w:color w:val="auto"/>
              </w:rPr>
            </w:pPr>
            <w:r>
              <w:rPr>
                <w:rFonts w:ascii="Arial" w:cs="Arial" w:eastAsia="Arial" w:hAnsi="Arial"/>
                <w:sz w:val="18"/>
                <w:szCs w:val="18"/>
                <w:color w:val="auto"/>
              </w:rPr>
              <w:t>(23,789)</w:t>
            </w:r>
          </w:p>
        </w:tc>
        <w:tc>
          <w:tcPr>
            <w:tcW w:w="100" w:type="dxa"/>
            <w:vAlign w:val="bottom"/>
          </w:tcPr>
          <w:p>
            <w:pPr>
              <w:spacing w:after="0"/>
              <w:rPr>
                <w:sz w:val="15"/>
                <w:szCs w:val="15"/>
                <w:color w:val="auto"/>
              </w:rPr>
            </w:pPr>
          </w:p>
        </w:tc>
      </w:tr>
      <w:tr>
        <w:trPr>
          <w:trHeight w:val="185"/>
        </w:trPr>
        <w:tc>
          <w:tcPr>
            <w:tcW w:w="7320" w:type="dxa"/>
            <w:vAlign w:val="bottom"/>
            <w:shd w:val="clear" w:color="auto" w:fill="D1EDF4"/>
          </w:tcPr>
          <w:p>
            <w:pPr>
              <w:spacing w:after="0"/>
              <w:rPr>
                <w:sz w:val="16"/>
                <w:szCs w:val="16"/>
                <w:color w:val="auto"/>
              </w:rPr>
            </w:pPr>
          </w:p>
        </w:tc>
        <w:tc>
          <w:tcPr>
            <w:tcW w:w="180" w:type="dxa"/>
            <w:vAlign w:val="bottom"/>
            <w:shd w:val="clear" w:color="auto" w:fill="D1EDF4"/>
          </w:tcPr>
          <w:p>
            <w:pPr>
              <w:spacing w:after="0"/>
              <w:rPr>
                <w:sz w:val="16"/>
                <w:szCs w:val="16"/>
                <w:color w:val="auto"/>
              </w:rPr>
            </w:pPr>
          </w:p>
        </w:tc>
        <w:tc>
          <w:tcPr>
            <w:tcW w:w="20" w:type="dxa"/>
            <w:vAlign w:val="bottom"/>
            <w:shd w:val="clear" w:color="auto" w:fill="D1EDF4"/>
          </w:tcPr>
          <w:p>
            <w:pPr>
              <w:spacing w:after="0"/>
              <w:rPr>
                <w:sz w:val="16"/>
                <w:szCs w:val="16"/>
                <w:color w:val="auto"/>
              </w:rPr>
            </w:pPr>
          </w:p>
        </w:tc>
        <w:tc>
          <w:tcPr>
            <w:tcW w:w="160" w:type="dxa"/>
            <w:vAlign w:val="bottom"/>
            <w:shd w:val="clear" w:color="auto" w:fill="D1EDF4"/>
          </w:tcPr>
          <w:p>
            <w:pPr>
              <w:spacing w:after="0"/>
              <w:rPr>
                <w:sz w:val="16"/>
                <w:szCs w:val="16"/>
                <w:color w:val="auto"/>
              </w:rPr>
            </w:pPr>
          </w:p>
        </w:tc>
        <w:tc>
          <w:tcPr>
            <w:tcW w:w="740" w:type="dxa"/>
            <w:vAlign w:val="bottom"/>
            <w:shd w:val="clear" w:color="auto" w:fill="D1EDF4"/>
          </w:tcPr>
          <w:p>
            <w:pPr>
              <w:spacing w:after="0"/>
              <w:rPr>
                <w:sz w:val="16"/>
                <w:szCs w:val="16"/>
                <w:color w:val="auto"/>
              </w:rPr>
            </w:pPr>
          </w:p>
        </w:tc>
        <w:tc>
          <w:tcPr>
            <w:tcW w:w="200" w:type="dxa"/>
            <w:vAlign w:val="bottom"/>
            <w:shd w:val="clear" w:color="auto" w:fill="D1EDF4"/>
          </w:tcPr>
          <w:p>
            <w:pPr>
              <w:spacing w:after="0"/>
              <w:rPr>
                <w:sz w:val="16"/>
                <w:szCs w:val="16"/>
                <w:color w:val="auto"/>
              </w:rPr>
            </w:pPr>
          </w:p>
        </w:tc>
        <w:tc>
          <w:tcPr>
            <w:tcW w:w="20" w:type="dxa"/>
            <w:vAlign w:val="bottom"/>
            <w:shd w:val="clear" w:color="auto" w:fill="D1EDF4"/>
          </w:tcPr>
          <w:p>
            <w:pPr>
              <w:spacing w:after="0"/>
              <w:rPr>
                <w:sz w:val="16"/>
                <w:szCs w:val="16"/>
                <w:color w:val="auto"/>
              </w:rPr>
            </w:pPr>
          </w:p>
        </w:tc>
        <w:tc>
          <w:tcPr>
            <w:tcW w:w="180" w:type="dxa"/>
            <w:vAlign w:val="bottom"/>
            <w:shd w:val="clear" w:color="auto" w:fill="D1EDF4"/>
          </w:tcPr>
          <w:p>
            <w:pPr>
              <w:spacing w:after="0"/>
              <w:rPr>
                <w:sz w:val="16"/>
                <w:szCs w:val="16"/>
                <w:color w:val="auto"/>
              </w:rPr>
            </w:pPr>
          </w:p>
        </w:tc>
        <w:tc>
          <w:tcPr>
            <w:tcW w:w="740" w:type="dxa"/>
            <w:vAlign w:val="bottom"/>
            <w:shd w:val="clear" w:color="auto" w:fill="D1EDF4"/>
          </w:tcPr>
          <w:p>
            <w:pPr>
              <w:spacing w:after="0"/>
              <w:rPr>
                <w:sz w:val="16"/>
                <w:szCs w:val="16"/>
                <w:color w:val="auto"/>
              </w:rPr>
            </w:pPr>
          </w:p>
        </w:tc>
        <w:tc>
          <w:tcPr>
            <w:tcW w:w="200" w:type="dxa"/>
            <w:vAlign w:val="bottom"/>
            <w:shd w:val="clear" w:color="auto" w:fill="D1EDF4"/>
          </w:tcPr>
          <w:p>
            <w:pPr>
              <w:spacing w:after="0"/>
              <w:rPr>
                <w:sz w:val="16"/>
                <w:szCs w:val="16"/>
                <w:color w:val="auto"/>
              </w:rPr>
            </w:pPr>
          </w:p>
        </w:tc>
        <w:tc>
          <w:tcPr>
            <w:tcW w:w="20" w:type="dxa"/>
            <w:vAlign w:val="bottom"/>
            <w:shd w:val="clear" w:color="auto" w:fill="D1EDF4"/>
          </w:tcPr>
          <w:p>
            <w:pPr>
              <w:spacing w:after="0"/>
              <w:rPr>
                <w:sz w:val="16"/>
                <w:szCs w:val="16"/>
                <w:color w:val="auto"/>
              </w:rPr>
            </w:pPr>
          </w:p>
        </w:tc>
        <w:tc>
          <w:tcPr>
            <w:tcW w:w="160" w:type="dxa"/>
            <w:vAlign w:val="bottom"/>
            <w:shd w:val="clear" w:color="auto" w:fill="D1EDF4"/>
          </w:tcPr>
          <w:p>
            <w:pPr>
              <w:spacing w:after="0"/>
              <w:rPr>
                <w:sz w:val="16"/>
                <w:szCs w:val="16"/>
                <w:color w:val="auto"/>
              </w:rPr>
            </w:pPr>
          </w:p>
        </w:tc>
        <w:tc>
          <w:tcPr>
            <w:tcW w:w="760" w:type="dxa"/>
            <w:vAlign w:val="bottom"/>
            <w:shd w:val="clear" w:color="auto" w:fill="D1EDF4"/>
          </w:tcPr>
          <w:p>
            <w:pPr>
              <w:spacing w:after="0"/>
              <w:rPr>
                <w:sz w:val="16"/>
                <w:szCs w:val="16"/>
                <w:color w:val="auto"/>
              </w:rPr>
            </w:pPr>
          </w:p>
        </w:tc>
        <w:tc>
          <w:tcPr>
            <w:tcW w:w="100" w:type="dxa"/>
            <w:vAlign w:val="bottom"/>
            <w:shd w:val="clear" w:color="auto" w:fill="D1EDF4"/>
          </w:tcPr>
          <w:p>
            <w:pPr>
              <w:spacing w:after="0"/>
              <w:rPr>
                <w:sz w:val="16"/>
                <w:szCs w:val="16"/>
                <w:color w:val="auto"/>
              </w:rPr>
            </w:pPr>
          </w:p>
        </w:tc>
      </w:tr>
      <w:tr>
        <w:trPr>
          <w:trHeight w:val="208"/>
        </w:trPr>
        <w:tc>
          <w:tcPr>
            <w:tcW w:w="73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7320" w:type="dxa"/>
            <w:vAlign w:val="bottom"/>
            <w:shd w:val="clear" w:color="auto" w:fill="D1EDF4"/>
          </w:tcPr>
          <w:p>
            <w:pPr>
              <w:ind w:left="240"/>
              <w:spacing w:after="0"/>
              <w:rPr>
                <w:sz w:val="20"/>
                <w:szCs w:val="20"/>
                <w:color w:val="auto"/>
              </w:rPr>
            </w:pPr>
            <w:r>
              <w:rPr>
                <w:rFonts w:ascii="Arial" w:cs="Arial" w:eastAsia="Arial" w:hAnsi="Arial"/>
                <w:sz w:val="18"/>
                <w:szCs w:val="18"/>
                <w:color w:val="auto"/>
              </w:rPr>
              <w:t>Beginning of year</w:t>
            </w:r>
          </w:p>
        </w:tc>
        <w:tc>
          <w:tcPr>
            <w:tcW w:w="18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160" w:type="dxa"/>
            <w:vAlign w:val="bottom"/>
            <w:tcBorders>
              <w:bottom w:val="single" w:sz="8" w:color="auto"/>
            </w:tcBorders>
            <w:shd w:val="clear" w:color="auto" w:fill="D1EDF4"/>
          </w:tcPr>
          <w:p>
            <w:pPr>
              <w:spacing w:after="0"/>
              <w:rPr>
                <w:sz w:val="18"/>
                <w:szCs w:val="18"/>
                <w:color w:val="auto"/>
              </w:rPr>
            </w:pPr>
          </w:p>
        </w:tc>
        <w:tc>
          <w:tcPr>
            <w:tcW w:w="740" w:type="dxa"/>
            <w:vAlign w:val="bottom"/>
            <w:tcBorders>
              <w:bottom w:val="single" w:sz="8" w:color="auto"/>
            </w:tcBorders>
            <w:shd w:val="clear" w:color="auto" w:fill="D1EDF4"/>
          </w:tcPr>
          <w:p>
            <w:pPr>
              <w:jc w:val="right"/>
              <w:spacing w:after="0"/>
              <w:rPr>
                <w:sz w:val="20"/>
                <w:szCs w:val="20"/>
                <w:color w:val="auto"/>
              </w:rPr>
            </w:pPr>
            <w:r>
              <w:rPr>
                <w:rFonts w:ascii="Arial" w:cs="Arial" w:eastAsia="Arial" w:hAnsi="Arial"/>
                <w:sz w:val="18"/>
                <w:szCs w:val="18"/>
                <w:color w:val="auto"/>
              </w:rPr>
              <w:t>61,085</w:t>
            </w:r>
          </w:p>
        </w:tc>
        <w:tc>
          <w:tcPr>
            <w:tcW w:w="20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180" w:type="dxa"/>
            <w:vAlign w:val="bottom"/>
            <w:tcBorders>
              <w:bottom w:val="single" w:sz="8" w:color="auto"/>
            </w:tcBorders>
            <w:shd w:val="clear" w:color="auto" w:fill="D1EDF4"/>
          </w:tcPr>
          <w:p>
            <w:pPr>
              <w:spacing w:after="0"/>
              <w:rPr>
                <w:sz w:val="18"/>
                <w:szCs w:val="18"/>
                <w:color w:val="auto"/>
              </w:rPr>
            </w:pPr>
          </w:p>
        </w:tc>
        <w:tc>
          <w:tcPr>
            <w:tcW w:w="740" w:type="dxa"/>
            <w:vAlign w:val="bottom"/>
            <w:tcBorders>
              <w:bottom w:val="single" w:sz="8" w:color="auto"/>
            </w:tcBorders>
            <w:shd w:val="clear" w:color="auto" w:fill="D1EDF4"/>
          </w:tcPr>
          <w:p>
            <w:pPr>
              <w:jc w:val="right"/>
              <w:spacing w:after="0"/>
              <w:rPr>
                <w:sz w:val="20"/>
                <w:szCs w:val="20"/>
                <w:color w:val="auto"/>
              </w:rPr>
            </w:pPr>
            <w:r>
              <w:rPr>
                <w:rFonts w:ascii="Arial" w:cs="Arial" w:eastAsia="Arial" w:hAnsi="Arial"/>
                <w:sz w:val="18"/>
                <w:szCs w:val="18"/>
                <w:color w:val="auto"/>
              </w:rPr>
              <w:t>79,706</w:t>
            </w:r>
          </w:p>
        </w:tc>
        <w:tc>
          <w:tcPr>
            <w:tcW w:w="20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160" w:type="dxa"/>
            <w:vAlign w:val="bottom"/>
            <w:tcBorders>
              <w:bottom w:val="single" w:sz="8" w:color="auto"/>
            </w:tcBorders>
            <w:shd w:val="clear" w:color="auto" w:fill="D1EDF4"/>
          </w:tcPr>
          <w:p>
            <w:pPr>
              <w:spacing w:after="0"/>
              <w:rPr>
                <w:sz w:val="18"/>
                <w:szCs w:val="18"/>
                <w:color w:val="auto"/>
              </w:rPr>
            </w:pPr>
          </w:p>
        </w:tc>
        <w:tc>
          <w:tcPr>
            <w:tcW w:w="760" w:type="dxa"/>
            <w:vAlign w:val="bottom"/>
            <w:tcBorders>
              <w:bottom w:val="single" w:sz="8" w:color="auto"/>
            </w:tcBorders>
            <w:shd w:val="clear" w:color="auto" w:fill="D1EDF4"/>
          </w:tcPr>
          <w:p>
            <w:pPr>
              <w:jc w:val="right"/>
              <w:spacing w:after="0"/>
              <w:rPr>
                <w:sz w:val="20"/>
                <w:szCs w:val="20"/>
                <w:color w:val="auto"/>
              </w:rPr>
            </w:pPr>
            <w:r>
              <w:rPr>
                <w:rFonts w:ascii="Arial" w:cs="Arial" w:eastAsia="Arial" w:hAnsi="Arial"/>
                <w:sz w:val="18"/>
                <w:szCs w:val="18"/>
                <w:color w:val="auto"/>
              </w:rPr>
              <w:t>103,495</w:t>
            </w:r>
          </w:p>
        </w:tc>
        <w:tc>
          <w:tcPr>
            <w:tcW w:w="100" w:type="dxa"/>
            <w:vAlign w:val="bottom"/>
            <w:shd w:val="clear" w:color="auto" w:fill="D1EDF4"/>
          </w:tcPr>
          <w:p>
            <w:pPr>
              <w:spacing w:after="0"/>
              <w:rPr>
                <w:sz w:val="18"/>
                <w:szCs w:val="18"/>
                <w:color w:val="auto"/>
              </w:rPr>
            </w:pPr>
          </w:p>
        </w:tc>
      </w:tr>
      <w:tr>
        <w:trPr>
          <w:trHeight w:val="207"/>
        </w:trPr>
        <w:tc>
          <w:tcPr>
            <w:tcW w:w="7320" w:type="dxa"/>
            <w:vAlign w:val="bottom"/>
            <w:tcBorders>
              <w:bottom w:val="single" w:sz="8" w:color="D1EDF4"/>
            </w:tcBorders>
          </w:tcPr>
          <w:p>
            <w:pPr>
              <w:ind w:left="240"/>
              <w:spacing w:after="0" w:line="199" w:lineRule="exact"/>
              <w:rPr>
                <w:sz w:val="20"/>
                <w:szCs w:val="20"/>
                <w:color w:val="auto"/>
              </w:rPr>
            </w:pPr>
            <w:r>
              <w:rPr>
                <w:rFonts w:ascii="Arial" w:cs="Arial" w:eastAsia="Arial" w:hAnsi="Arial"/>
                <w:sz w:val="18"/>
                <w:szCs w:val="18"/>
                <w:color w:val="auto"/>
              </w:rPr>
              <w:t>End of year</w:t>
            </w:r>
          </w:p>
        </w:tc>
        <w:tc>
          <w:tcPr>
            <w:tcW w:w="180" w:type="dxa"/>
            <w:vAlign w:val="bottom"/>
            <w:tcBorders>
              <w:bottom w:val="single" w:sz="8" w:color="D1EDF4"/>
            </w:tcBorders>
          </w:tcPr>
          <w:p>
            <w:pPr>
              <w:spacing w:after="0"/>
              <w:rPr>
                <w:sz w:val="18"/>
                <w:szCs w:val="18"/>
                <w:color w:val="auto"/>
              </w:rPr>
            </w:pPr>
          </w:p>
        </w:tc>
        <w:tc>
          <w:tcPr>
            <w:tcW w:w="20" w:type="dxa"/>
            <w:vAlign w:val="bottom"/>
            <w:tcBorders>
              <w:bottom w:val="single" w:sz="8" w:color="D1EDF4"/>
            </w:tcBorders>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66,092</w:t>
            </w:r>
          </w:p>
        </w:tc>
        <w:tc>
          <w:tcPr>
            <w:tcW w:w="200" w:type="dxa"/>
            <w:vAlign w:val="bottom"/>
            <w:tcBorders>
              <w:bottom w:val="single" w:sz="8" w:color="D1EDF4"/>
            </w:tcBorders>
          </w:tcPr>
          <w:p>
            <w:pPr>
              <w:spacing w:after="0"/>
              <w:rPr>
                <w:sz w:val="18"/>
                <w:szCs w:val="18"/>
                <w:color w:val="auto"/>
              </w:rPr>
            </w:pPr>
          </w:p>
        </w:tc>
        <w:tc>
          <w:tcPr>
            <w:tcW w:w="20" w:type="dxa"/>
            <w:vAlign w:val="bottom"/>
            <w:tcBorders>
              <w:bottom w:val="single" w:sz="8" w:color="D1EDF4"/>
            </w:tcBorders>
          </w:tcPr>
          <w:p>
            <w:pPr>
              <w:spacing w:after="0"/>
              <w:rPr>
                <w:sz w:val="18"/>
                <w:szCs w:val="18"/>
                <w:color w:val="auto"/>
              </w:rPr>
            </w:pPr>
          </w:p>
        </w:tc>
        <w:tc>
          <w:tcPr>
            <w:tcW w:w="18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61,085</w:t>
            </w:r>
          </w:p>
        </w:tc>
        <w:tc>
          <w:tcPr>
            <w:tcW w:w="200" w:type="dxa"/>
            <w:vAlign w:val="bottom"/>
            <w:tcBorders>
              <w:bottom w:val="single" w:sz="8" w:color="D1EDF4"/>
            </w:tcBorders>
          </w:tcPr>
          <w:p>
            <w:pPr>
              <w:spacing w:after="0"/>
              <w:rPr>
                <w:sz w:val="18"/>
                <w:szCs w:val="18"/>
                <w:color w:val="auto"/>
              </w:rPr>
            </w:pPr>
          </w:p>
        </w:tc>
        <w:tc>
          <w:tcPr>
            <w:tcW w:w="20" w:type="dxa"/>
            <w:vAlign w:val="bottom"/>
            <w:tcBorders>
              <w:bottom w:val="single" w:sz="8" w:color="D1EDF4"/>
            </w:tcBorders>
          </w:tcPr>
          <w:p>
            <w:pPr>
              <w:spacing w:after="0"/>
              <w:rPr>
                <w:sz w:val="18"/>
                <w:szCs w:val="18"/>
                <w:color w:val="auto"/>
              </w:rPr>
            </w:pPr>
          </w:p>
        </w:tc>
        <w:tc>
          <w:tcPr>
            <w:tcW w:w="16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79,706</w:t>
            </w:r>
          </w:p>
        </w:tc>
        <w:tc>
          <w:tcPr>
            <w:tcW w:w="100" w:type="dxa"/>
            <w:vAlign w:val="bottom"/>
            <w:tcBorders>
              <w:bottom w:val="single" w:sz="8" w:color="D1EDF4"/>
            </w:tcBorders>
          </w:tcPr>
          <w:p>
            <w:pPr>
              <w:spacing w:after="0"/>
              <w:rPr>
                <w:sz w:val="18"/>
                <w:szCs w:val="18"/>
                <w:color w:val="auto"/>
              </w:rPr>
            </w:pPr>
          </w:p>
        </w:tc>
      </w:tr>
      <w:tr>
        <w:trPr>
          <w:trHeight w:val="186"/>
        </w:trPr>
        <w:tc>
          <w:tcPr>
            <w:tcW w:w="7320" w:type="dxa"/>
            <w:vAlign w:val="bottom"/>
            <w:shd w:val="clear" w:color="auto" w:fill="D1EDF4"/>
          </w:tcPr>
          <w:p>
            <w:pPr>
              <w:spacing w:after="0"/>
              <w:rPr>
                <w:sz w:val="16"/>
                <w:szCs w:val="16"/>
                <w:color w:val="auto"/>
              </w:rPr>
            </w:pPr>
          </w:p>
        </w:tc>
        <w:tc>
          <w:tcPr>
            <w:tcW w:w="180" w:type="dxa"/>
            <w:vAlign w:val="bottom"/>
            <w:shd w:val="clear" w:color="auto" w:fill="D1EDF4"/>
          </w:tcPr>
          <w:p>
            <w:pPr>
              <w:spacing w:after="0"/>
              <w:rPr>
                <w:sz w:val="16"/>
                <w:szCs w:val="16"/>
                <w:color w:val="auto"/>
              </w:rPr>
            </w:pPr>
          </w:p>
        </w:tc>
        <w:tc>
          <w:tcPr>
            <w:tcW w:w="20" w:type="dxa"/>
            <w:vAlign w:val="bottom"/>
            <w:shd w:val="clear" w:color="auto" w:fill="D1EDF4"/>
          </w:tcPr>
          <w:p>
            <w:pPr>
              <w:spacing w:after="0"/>
              <w:rPr>
                <w:sz w:val="16"/>
                <w:szCs w:val="16"/>
                <w:color w:val="auto"/>
              </w:rPr>
            </w:pPr>
          </w:p>
        </w:tc>
        <w:tc>
          <w:tcPr>
            <w:tcW w:w="160" w:type="dxa"/>
            <w:vAlign w:val="bottom"/>
            <w:shd w:val="clear" w:color="auto" w:fill="D1EDF4"/>
          </w:tcPr>
          <w:p>
            <w:pPr>
              <w:spacing w:after="0"/>
              <w:rPr>
                <w:sz w:val="16"/>
                <w:szCs w:val="16"/>
                <w:color w:val="auto"/>
              </w:rPr>
            </w:pPr>
          </w:p>
        </w:tc>
        <w:tc>
          <w:tcPr>
            <w:tcW w:w="740" w:type="dxa"/>
            <w:vAlign w:val="bottom"/>
            <w:shd w:val="clear" w:color="auto" w:fill="D1EDF4"/>
          </w:tcPr>
          <w:p>
            <w:pPr>
              <w:spacing w:after="0"/>
              <w:rPr>
                <w:sz w:val="16"/>
                <w:szCs w:val="16"/>
                <w:color w:val="auto"/>
              </w:rPr>
            </w:pPr>
          </w:p>
        </w:tc>
        <w:tc>
          <w:tcPr>
            <w:tcW w:w="200" w:type="dxa"/>
            <w:vAlign w:val="bottom"/>
            <w:shd w:val="clear" w:color="auto" w:fill="D1EDF4"/>
          </w:tcPr>
          <w:p>
            <w:pPr>
              <w:spacing w:after="0"/>
              <w:rPr>
                <w:sz w:val="16"/>
                <w:szCs w:val="16"/>
                <w:color w:val="auto"/>
              </w:rPr>
            </w:pPr>
          </w:p>
        </w:tc>
        <w:tc>
          <w:tcPr>
            <w:tcW w:w="20" w:type="dxa"/>
            <w:vAlign w:val="bottom"/>
            <w:shd w:val="clear" w:color="auto" w:fill="D1EDF4"/>
          </w:tcPr>
          <w:p>
            <w:pPr>
              <w:spacing w:after="0"/>
              <w:rPr>
                <w:sz w:val="16"/>
                <w:szCs w:val="16"/>
                <w:color w:val="auto"/>
              </w:rPr>
            </w:pPr>
          </w:p>
        </w:tc>
        <w:tc>
          <w:tcPr>
            <w:tcW w:w="180" w:type="dxa"/>
            <w:vAlign w:val="bottom"/>
            <w:shd w:val="clear" w:color="auto" w:fill="D1EDF4"/>
          </w:tcPr>
          <w:p>
            <w:pPr>
              <w:spacing w:after="0"/>
              <w:rPr>
                <w:sz w:val="16"/>
                <w:szCs w:val="16"/>
                <w:color w:val="auto"/>
              </w:rPr>
            </w:pPr>
          </w:p>
        </w:tc>
        <w:tc>
          <w:tcPr>
            <w:tcW w:w="740" w:type="dxa"/>
            <w:vAlign w:val="bottom"/>
            <w:shd w:val="clear" w:color="auto" w:fill="D1EDF4"/>
          </w:tcPr>
          <w:p>
            <w:pPr>
              <w:spacing w:after="0"/>
              <w:rPr>
                <w:sz w:val="16"/>
                <w:szCs w:val="16"/>
                <w:color w:val="auto"/>
              </w:rPr>
            </w:pPr>
          </w:p>
        </w:tc>
        <w:tc>
          <w:tcPr>
            <w:tcW w:w="200" w:type="dxa"/>
            <w:vAlign w:val="bottom"/>
            <w:shd w:val="clear" w:color="auto" w:fill="D1EDF4"/>
          </w:tcPr>
          <w:p>
            <w:pPr>
              <w:spacing w:after="0"/>
              <w:rPr>
                <w:sz w:val="16"/>
                <w:szCs w:val="16"/>
                <w:color w:val="auto"/>
              </w:rPr>
            </w:pPr>
          </w:p>
        </w:tc>
        <w:tc>
          <w:tcPr>
            <w:tcW w:w="20" w:type="dxa"/>
            <w:vAlign w:val="bottom"/>
            <w:shd w:val="clear" w:color="auto" w:fill="D1EDF4"/>
          </w:tcPr>
          <w:p>
            <w:pPr>
              <w:spacing w:after="0"/>
              <w:rPr>
                <w:sz w:val="16"/>
                <w:szCs w:val="16"/>
                <w:color w:val="auto"/>
              </w:rPr>
            </w:pPr>
          </w:p>
        </w:tc>
        <w:tc>
          <w:tcPr>
            <w:tcW w:w="160" w:type="dxa"/>
            <w:vAlign w:val="bottom"/>
            <w:shd w:val="clear" w:color="auto" w:fill="D1EDF4"/>
          </w:tcPr>
          <w:p>
            <w:pPr>
              <w:spacing w:after="0"/>
              <w:rPr>
                <w:sz w:val="16"/>
                <w:szCs w:val="16"/>
                <w:color w:val="auto"/>
              </w:rPr>
            </w:pPr>
          </w:p>
        </w:tc>
        <w:tc>
          <w:tcPr>
            <w:tcW w:w="760" w:type="dxa"/>
            <w:vAlign w:val="bottom"/>
            <w:shd w:val="clear" w:color="auto" w:fill="D1EDF4"/>
          </w:tcPr>
          <w:p>
            <w:pPr>
              <w:spacing w:after="0"/>
              <w:rPr>
                <w:sz w:val="16"/>
                <w:szCs w:val="16"/>
                <w:color w:val="auto"/>
              </w:rPr>
            </w:pPr>
          </w:p>
        </w:tc>
        <w:tc>
          <w:tcPr>
            <w:tcW w:w="100" w:type="dxa"/>
            <w:vAlign w:val="bottom"/>
            <w:shd w:val="clear" w:color="auto" w:fill="D1EDF4"/>
          </w:tcPr>
          <w:p>
            <w:pPr>
              <w:spacing w:after="0"/>
              <w:rPr>
                <w:sz w:val="16"/>
                <w:szCs w:val="16"/>
                <w:color w:val="auto"/>
              </w:rPr>
            </w:pPr>
          </w:p>
        </w:tc>
      </w:tr>
      <w:tr>
        <w:trPr>
          <w:trHeight w:val="209"/>
        </w:trPr>
        <w:tc>
          <w:tcPr>
            <w:tcW w:w="7320" w:type="dxa"/>
            <w:vAlign w:val="bottom"/>
          </w:tcPr>
          <w:p>
            <w:pPr>
              <w:spacing w:after="0"/>
              <w:rPr>
                <w:sz w:val="20"/>
                <w:szCs w:val="20"/>
                <w:color w:val="auto"/>
              </w:rPr>
            </w:pPr>
            <w:r>
              <w:rPr>
                <w:rFonts w:ascii="Arial" w:cs="Arial" w:eastAsia="Arial" w:hAnsi="Arial"/>
                <w:sz w:val="18"/>
                <w:szCs w:val="18"/>
                <w:color w:val="auto"/>
              </w:rPr>
              <w:t>Supplemental disclosures of cash flow information:</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8"/>
        </w:trPr>
        <w:tc>
          <w:tcPr>
            <w:tcW w:w="7320" w:type="dxa"/>
            <w:vAlign w:val="bottom"/>
            <w:shd w:val="clear" w:color="auto" w:fill="D1EDF4"/>
          </w:tcPr>
          <w:p>
            <w:pPr>
              <w:ind w:left="240"/>
              <w:spacing w:after="0"/>
              <w:rPr>
                <w:sz w:val="20"/>
                <w:szCs w:val="20"/>
                <w:color w:val="auto"/>
              </w:rPr>
            </w:pPr>
            <w:r>
              <w:rPr>
                <w:rFonts w:ascii="Arial" w:cs="Arial" w:eastAsia="Arial" w:hAnsi="Arial"/>
                <w:sz w:val="18"/>
                <w:szCs w:val="18"/>
                <w:color w:val="auto"/>
              </w:rPr>
              <w:t>Cash paid for interest</w:t>
            </w:r>
          </w:p>
        </w:tc>
        <w:tc>
          <w:tcPr>
            <w:tcW w:w="360" w:type="dxa"/>
            <w:vAlign w:val="bottom"/>
            <w:gridSpan w:val="3"/>
            <w:shd w:val="clear" w:color="auto" w:fill="D1EDF4"/>
          </w:tcPr>
          <w:p>
            <w:pPr>
              <w:jc w:val="right"/>
              <w:ind w:right="5"/>
              <w:spacing w:after="0"/>
              <w:rPr>
                <w:sz w:val="20"/>
                <w:szCs w:val="20"/>
                <w:color w:val="auto"/>
              </w:rPr>
            </w:pPr>
            <w:r>
              <w:rPr>
                <w:rFonts w:ascii="Arial" w:cs="Arial" w:eastAsia="Arial" w:hAnsi="Arial"/>
                <w:sz w:val="18"/>
                <w:szCs w:val="18"/>
                <w:color w:val="auto"/>
              </w:rPr>
              <w:t>$</w:t>
            </w:r>
          </w:p>
        </w:tc>
        <w:tc>
          <w:tcPr>
            <w:tcW w:w="740" w:type="dxa"/>
            <w:vAlign w:val="bottom"/>
            <w:shd w:val="clear" w:color="auto" w:fill="D1EDF4"/>
          </w:tcPr>
          <w:p>
            <w:pPr>
              <w:jc w:val="right"/>
              <w:spacing w:after="0"/>
              <w:rPr>
                <w:sz w:val="20"/>
                <w:szCs w:val="20"/>
                <w:color w:val="auto"/>
              </w:rPr>
            </w:pPr>
            <w:r>
              <w:rPr>
                <w:rFonts w:ascii="Arial" w:cs="Arial" w:eastAsia="Arial" w:hAnsi="Arial"/>
                <w:sz w:val="18"/>
                <w:szCs w:val="18"/>
                <w:color w:val="auto"/>
              </w:rPr>
              <w:t>210</w:t>
            </w:r>
          </w:p>
        </w:tc>
        <w:tc>
          <w:tcPr>
            <w:tcW w:w="200" w:type="dxa"/>
            <w:vAlign w:val="bottom"/>
            <w:shd w:val="clear" w:color="auto" w:fill="D1EDF4"/>
          </w:tcPr>
          <w:p>
            <w:pPr>
              <w:spacing w:after="0"/>
              <w:rPr>
                <w:sz w:val="19"/>
                <w:szCs w:val="19"/>
                <w:color w:val="auto"/>
              </w:rPr>
            </w:pPr>
          </w:p>
        </w:tc>
        <w:tc>
          <w:tcPr>
            <w:tcW w:w="200" w:type="dxa"/>
            <w:vAlign w:val="bottom"/>
            <w:gridSpan w:val="2"/>
            <w:shd w:val="clear" w:color="auto" w:fill="D1EDF4"/>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D1EDF4"/>
          </w:tcPr>
          <w:p>
            <w:pPr>
              <w:jc w:val="right"/>
              <w:spacing w:after="0"/>
              <w:rPr>
                <w:sz w:val="20"/>
                <w:szCs w:val="20"/>
                <w:color w:val="auto"/>
              </w:rPr>
            </w:pPr>
            <w:r>
              <w:rPr>
                <w:rFonts w:ascii="Arial" w:cs="Arial" w:eastAsia="Arial" w:hAnsi="Arial"/>
                <w:sz w:val="18"/>
                <w:szCs w:val="18"/>
                <w:color w:val="auto"/>
              </w:rPr>
              <w:t>168</w:t>
            </w:r>
          </w:p>
        </w:tc>
        <w:tc>
          <w:tcPr>
            <w:tcW w:w="20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60" w:type="dxa"/>
            <w:vAlign w:val="bottom"/>
            <w:shd w:val="clear" w:color="auto" w:fill="D1EDF4"/>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D1EDF4"/>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D1EDF4"/>
          </w:tcPr>
          <w:p>
            <w:pPr>
              <w:spacing w:after="0"/>
              <w:rPr>
                <w:sz w:val="19"/>
                <w:szCs w:val="19"/>
                <w:color w:val="auto"/>
              </w:rPr>
            </w:pPr>
          </w:p>
        </w:tc>
      </w:tr>
      <w:tr>
        <w:trPr>
          <w:trHeight w:val="206"/>
        </w:trPr>
        <w:tc>
          <w:tcPr>
            <w:tcW w:w="7320" w:type="dxa"/>
            <w:vAlign w:val="bottom"/>
            <w:tcBorders>
              <w:top w:val="single" w:sz="8" w:color="D1EDF4"/>
              <w:bottom w:val="single" w:sz="8" w:color="D1EDF4"/>
            </w:tcBorders>
          </w:tcPr>
          <w:p>
            <w:pPr>
              <w:ind w:left="240"/>
              <w:spacing w:after="0" w:line="198" w:lineRule="exact"/>
              <w:rPr>
                <w:sz w:val="20"/>
                <w:szCs w:val="20"/>
                <w:color w:val="auto"/>
              </w:rPr>
            </w:pPr>
            <w:r>
              <w:rPr>
                <w:rFonts w:ascii="Arial" w:cs="Arial" w:eastAsia="Arial" w:hAnsi="Arial"/>
                <w:sz w:val="18"/>
                <w:szCs w:val="18"/>
                <w:color w:val="auto"/>
              </w:rPr>
              <w:t>Cash (receipts) payments of income taxes</w:t>
            </w:r>
          </w:p>
        </w:tc>
        <w:tc>
          <w:tcPr>
            <w:tcW w:w="180" w:type="dxa"/>
            <w:vAlign w:val="bottom"/>
            <w:tcBorders>
              <w:top w:val="single" w:sz="8" w:color="D1EDF4"/>
              <w:bottom w:val="single" w:sz="8" w:color="D1EDF4"/>
            </w:tcBorders>
          </w:tcPr>
          <w:p>
            <w:pPr>
              <w:spacing w:after="0"/>
              <w:rPr>
                <w:sz w:val="17"/>
                <w:szCs w:val="17"/>
                <w:color w:val="auto"/>
              </w:rPr>
            </w:pPr>
          </w:p>
        </w:tc>
        <w:tc>
          <w:tcPr>
            <w:tcW w:w="20" w:type="dxa"/>
            <w:vAlign w:val="bottom"/>
            <w:tcBorders>
              <w:top w:val="single" w:sz="8" w:color="D1EDF4"/>
              <w:bottom w:val="single" w:sz="8" w:color="D1EDF4"/>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(1,699)</w:t>
            </w:r>
          </w:p>
        </w:tc>
        <w:tc>
          <w:tcPr>
            <w:tcW w:w="200" w:type="dxa"/>
            <w:vAlign w:val="bottom"/>
            <w:tcBorders>
              <w:top w:val="single" w:sz="8" w:color="D1EDF4"/>
              <w:bottom w:val="single" w:sz="8" w:color="D1EDF4"/>
            </w:tcBorders>
          </w:tcPr>
          <w:p>
            <w:pPr>
              <w:spacing w:after="0"/>
              <w:rPr>
                <w:sz w:val="17"/>
                <w:szCs w:val="17"/>
                <w:color w:val="auto"/>
              </w:rPr>
            </w:pPr>
          </w:p>
        </w:tc>
        <w:tc>
          <w:tcPr>
            <w:tcW w:w="20" w:type="dxa"/>
            <w:vAlign w:val="bottom"/>
            <w:tcBorders>
              <w:top w:val="single" w:sz="8" w:color="D1EDF4"/>
              <w:bottom w:val="single" w:sz="8" w:color="D1EDF4"/>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(415)</w:t>
            </w:r>
          </w:p>
        </w:tc>
        <w:tc>
          <w:tcPr>
            <w:tcW w:w="200" w:type="dxa"/>
            <w:vAlign w:val="bottom"/>
            <w:tcBorders>
              <w:top w:val="single" w:sz="8" w:color="D1EDF4"/>
              <w:bottom w:val="single" w:sz="8" w:color="D1EDF4"/>
            </w:tcBorders>
          </w:tcPr>
          <w:p>
            <w:pPr>
              <w:spacing w:after="0"/>
              <w:rPr>
                <w:sz w:val="17"/>
                <w:szCs w:val="17"/>
                <w:color w:val="auto"/>
              </w:rPr>
            </w:pPr>
          </w:p>
        </w:tc>
        <w:tc>
          <w:tcPr>
            <w:tcW w:w="20" w:type="dxa"/>
            <w:vAlign w:val="bottom"/>
            <w:tcBorders>
              <w:top w:val="single" w:sz="8" w:color="D1EDF4"/>
              <w:bottom w:val="single" w:sz="8" w:color="D1EDF4"/>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1,813</w:t>
            </w:r>
          </w:p>
        </w:tc>
        <w:tc>
          <w:tcPr>
            <w:tcW w:w="100" w:type="dxa"/>
            <w:vAlign w:val="bottom"/>
            <w:tcBorders>
              <w:top w:val="single" w:sz="8" w:color="D1EDF4"/>
              <w:bottom w:val="single" w:sz="8" w:color="D1EDF4"/>
            </w:tcBorders>
          </w:tcPr>
          <w:p>
            <w:pPr>
              <w:spacing w:after="0"/>
              <w:rPr>
                <w:sz w:val="17"/>
                <w:szCs w:val="17"/>
                <w:color w:val="auto"/>
              </w:rPr>
            </w:pPr>
          </w:p>
        </w:tc>
      </w:tr>
      <w:tr>
        <w:trPr>
          <w:trHeight w:val="210"/>
        </w:trPr>
        <w:tc>
          <w:tcPr>
            <w:tcW w:w="7320" w:type="dxa"/>
            <w:vAlign w:val="bottom"/>
            <w:shd w:val="clear" w:color="auto" w:fill="D1EDF4"/>
          </w:tcPr>
          <w:p>
            <w:pPr>
              <w:spacing w:after="0"/>
              <w:rPr>
                <w:sz w:val="20"/>
                <w:szCs w:val="20"/>
                <w:color w:val="auto"/>
              </w:rPr>
            </w:pPr>
            <w:r>
              <w:rPr>
                <w:rFonts w:ascii="Arial" w:cs="Arial" w:eastAsia="Arial" w:hAnsi="Arial"/>
                <w:sz w:val="18"/>
                <w:szCs w:val="18"/>
                <w:color w:val="auto"/>
              </w:rPr>
              <w:t>Supplemental disclosures of non-cash investing activities:</w:t>
            </w:r>
          </w:p>
        </w:tc>
        <w:tc>
          <w:tcPr>
            <w:tcW w:w="18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160" w:type="dxa"/>
            <w:vAlign w:val="bottom"/>
            <w:shd w:val="clear" w:color="auto" w:fill="D1EDF4"/>
          </w:tcPr>
          <w:p>
            <w:pPr>
              <w:spacing w:after="0"/>
              <w:rPr>
                <w:sz w:val="18"/>
                <w:szCs w:val="18"/>
                <w:color w:val="auto"/>
              </w:rPr>
            </w:pPr>
          </w:p>
        </w:tc>
        <w:tc>
          <w:tcPr>
            <w:tcW w:w="740" w:type="dxa"/>
            <w:vAlign w:val="bottom"/>
            <w:shd w:val="clear" w:color="auto" w:fill="D1EDF4"/>
          </w:tcPr>
          <w:p>
            <w:pPr>
              <w:spacing w:after="0"/>
              <w:rPr>
                <w:sz w:val="18"/>
                <w:szCs w:val="18"/>
                <w:color w:val="auto"/>
              </w:rPr>
            </w:pPr>
          </w:p>
        </w:tc>
        <w:tc>
          <w:tcPr>
            <w:tcW w:w="20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180" w:type="dxa"/>
            <w:vAlign w:val="bottom"/>
            <w:shd w:val="clear" w:color="auto" w:fill="D1EDF4"/>
          </w:tcPr>
          <w:p>
            <w:pPr>
              <w:spacing w:after="0"/>
              <w:rPr>
                <w:sz w:val="18"/>
                <w:szCs w:val="18"/>
                <w:color w:val="auto"/>
              </w:rPr>
            </w:pPr>
          </w:p>
        </w:tc>
        <w:tc>
          <w:tcPr>
            <w:tcW w:w="740" w:type="dxa"/>
            <w:vAlign w:val="bottom"/>
            <w:shd w:val="clear" w:color="auto" w:fill="D1EDF4"/>
          </w:tcPr>
          <w:p>
            <w:pPr>
              <w:spacing w:after="0"/>
              <w:rPr>
                <w:sz w:val="18"/>
                <w:szCs w:val="18"/>
                <w:color w:val="auto"/>
              </w:rPr>
            </w:pPr>
          </w:p>
        </w:tc>
        <w:tc>
          <w:tcPr>
            <w:tcW w:w="20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160" w:type="dxa"/>
            <w:vAlign w:val="bottom"/>
            <w:shd w:val="clear" w:color="auto" w:fill="D1EDF4"/>
          </w:tcPr>
          <w:p>
            <w:pPr>
              <w:spacing w:after="0"/>
              <w:rPr>
                <w:sz w:val="18"/>
                <w:szCs w:val="18"/>
                <w:color w:val="auto"/>
              </w:rPr>
            </w:pPr>
          </w:p>
        </w:tc>
        <w:tc>
          <w:tcPr>
            <w:tcW w:w="760" w:type="dxa"/>
            <w:vAlign w:val="bottom"/>
            <w:shd w:val="clear" w:color="auto" w:fill="D1EDF4"/>
          </w:tcPr>
          <w:p>
            <w:pPr>
              <w:spacing w:after="0"/>
              <w:rPr>
                <w:sz w:val="18"/>
                <w:szCs w:val="18"/>
                <w:color w:val="auto"/>
              </w:rPr>
            </w:pPr>
          </w:p>
        </w:tc>
        <w:tc>
          <w:tcPr>
            <w:tcW w:w="100" w:type="dxa"/>
            <w:vAlign w:val="bottom"/>
            <w:shd w:val="clear" w:color="auto" w:fill="D1EDF4"/>
          </w:tcPr>
          <w:p>
            <w:pPr>
              <w:spacing w:after="0"/>
              <w:rPr>
                <w:sz w:val="18"/>
                <w:szCs w:val="18"/>
                <w:color w:val="auto"/>
              </w:rPr>
            </w:pPr>
          </w:p>
        </w:tc>
      </w:tr>
      <w:tr>
        <w:trPr>
          <w:trHeight w:val="218"/>
        </w:trPr>
        <w:tc>
          <w:tcPr>
            <w:tcW w:w="7320" w:type="dxa"/>
            <w:vAlign w:val="bottom"/>
          </w:tcPr>
          <w:p>
            <w:pPr>
              <w:ind w:left="240"/>
              <w:spacing w:after="0"/>
              <w:rPr>
                <w:sz w:val="20"/>
                <w:szCs w:val="20"/>
                <w:color w:val="auto"/>
              </w:rPr>
            </w:pPr>
            <w:r>
              <w:rPr>
                <w:rFonts w:ascii="Arial" w:cs="Arial" w:eastAsia="Arial" w:hAnsi="Arial"/>
                <w:sz w:val="18"/>
                <w:szCs w:val="18"/>
                <w:color w:val="auto"/>
              </w:rPr>
              <w:t>Accrual for purchases of property and equipment</w:t>
            </w:r>
          </w:p>
        </w:tc>
        <w:tc>
          <w:tcPr>
            <w:tcW w:w="180" w:type="dxa"/>
            <w:vAlign w:val="bottom"/>
          </w:tcPr>
          <w:p>
            <w:pPr>
              <w:spacing w:after="0"/>
              <w:rPr>
                <w:sz w:val="18"/>
                <w:szCs w:val="18"/>
                <w:color w:val="auto"/>
              </w:rPr>
            </w:pPr>
          </w:p>
        </w:tc>
        <w:tc>
          <w:tcPr>
            <w:tcW w:w="180" w:type="dxa"/>
            <w:vAlign w:val="bottom"/>
            <w:tcBorders>
              <w:bottom w:val="single" w:sz="8" w:color="auto"/>
            </w:tcBorders>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2,399</w:t>
            </w:r>
          </w:p>
        </w:tc>
        <w:tc>
          <w:tcPr>
            <w:tcW w:w="200" w:type="dxa"/>
            <w:vAlign w:val="bottom"/>
          </w:tcPr>
          <w:p>
            <w:pPr>
              <w:spacing w:after="0"/>
              <w:rPr>
                <w:sz w:val="18"/>
                <w:szCs w:val="18"/>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4,446</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2,936</w:t>
            </w:r>
          </w:p>
        </w:tc>
        <w:tc>
          <w:tcPr>
            <w:tcW w:w="100" w:type="dxa"/>
            <w:vAlign w:val="bottom"/>
          </w:tcPr>
          <w:p>
            <w:pPr>
              <w:spacing w:after="0"/>
              <w:rPr>
                <w:sz w:val="18"/>
                <w:szCs w:val="18"/>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ectPr>
          <w:pgSz w:w="11880" w:h="15480" w:orient="portrait"/>
          <w:cols w:equalWidth="0" w:num="1">
            <w:col w:w="10800"/>
          </w:cols>
          <w:pgMar w:left="540" w:top="804" w:right="540" w:bottom="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ectPr>
          <w:pgSz w:w="11880" w:h="15480" w:orient="portrait"/>
          <w:cols w:equalWidth="0" w:num="1">
            <w:col w:w="10800"/>
          </w:cols>
          <w:pgMar w:left="540" w:top="804" w:right="540" w:bottom="16" w:gutter="0" w:footer="0" w:header="0"/>
          <w:type w:val="continuous"/>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Citi Trends,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6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6"/>
                <w:szCs w:val="16"/>
                <w:b w:val="1"/>
                <w:bCs w:val="1"/>
                <w:color w:val="auto"/>
              </w:rPr>
              <w:t>Common Stock</w:t>
            </w:r>
          </w:p>
        </w:tc>
        <w:tc>
          <w:tcPr>
            <w:tcW w:w="160" w:type="dxa"/>
            <w:vAlign w:val="bottom"/>
          </w:tcPr>
          <w:p>
            <w:pPr>
              <w:spacing w:after="0"/>
              <w:rPr>
                <w:sz w:val="17"/>
                <w:szCs w:val="17"/>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b w:val="1"/>
                <w:bCs w:val="1"/>
                <w:color w:val="auto"/>
              </w:rPr>
              <w:t>Paid in</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gridSpan w:val="3"/>
          </w:tcPr>
          <w:p>
            <w:pPr>
              <w:ind w:left="40"/>
              <w:spacing w:after="0"/>
              <w:rPr>
                <w:sz w:val="20"/>
                <w:szCs w:val="20"/>
                <w:color w:val="auto"/>
              </w:rPr>
            </w:pPr>
            <w:r>
              <w:rPr>
                <w:rFonts w:ascii="Arial" w:cs="Arial" w:eastAsia="Arial" w:hAnsi="Arial"/>
                <w:sz w:val="16"/>
                <w:szCs w:val="16"/>
                <w:b w:val="1"/>
                <w:bCs w:val="1"/>
                <w:color w:val="auto"/>
              </w:rPr>
              <w:t>Retained</w:t>
            </w:r>
          </w:p>
        </w:tc>
        <w:tc>
          <w:tcPr>
            <w:tcW w:w="180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6"/>
                <w:szCs w:val="16"/>
                <w:b w:val="1"/>
                <w:bCs w:val="1"/>
                <w:color w:val="auto"/>
              </w:rPr>
              <w:t>Treasury Stock</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76"/>
        </w:trPr>
        <w:tc>
          <w:tcPr>
            <w:tcW w:w="4360" w:type="dxa"/>
            <w:vAlign w:val="bottom"/>
            <w:tcBorders>
              <w:bottom w:val="single" w:sz="8" w:color="D1EDF4"/>
            </w:tcBorders>
          </w:tcPr>
          <w:p>
            <w:pPr>
              <w:spacing w:after="0"/>
              <w:rPr>
                <w:sz w:val="15"/>
                <w:szCs w:val="15"/>
                <w:color w:val="auto"/>
              </w:rPr>
            </w:pPr>
          </w:p>
        </w:tc>
        <w:tc>
          <w:tcPr>
            <w:tcW w:w="20" w:type="dxa"/>
            <w:vAlign w:val="bottom"/>
            <w:tcBorders>
              <w:bottom w:val="single" w:sz="8" w:color="D1EDF4"/>
            </w:tcBorders>
          </w:tcPr>
          <w:p>
            <w:pPr>
              <w:spacing w:after="0"/>
              <w:rPr>
                <w:sz w:val="15"/>
                <w:szCs w:val="15"/>
                <w:color w:val="auto"/>
              </w:rPr>
            </w:pPr>
          </w:p>
        </w:tc>
        <w:tc>
          <w:tcPr>
            <w:tcW w:w="900" w:type="dxa"/>
            <w:vAlign w:val="bottom"/>
            <w:tcBorders>
              <w:bottom w:val="single" w:sz="8" w:color="auto"/>
            </w:tcBorders>
          </w:tcPr>
          <w:p>
            <w:pPr>
              <w:jc w:val="right"/>
              <w:ind w:right="120"/>
              <w:spacing w:after="0" w:line="176" w:lineRule="exact"/>
              <w:rPr>
                <w:sz w:val="20"/>
                <w:szCs w:val="20"/>
                <w:color w:val="auto"/>
              </w:rPr>
            </w:pPr>
            <w:r>
              <w:rPr>
                <w:rFonts w:ascii="Arial" w:cs="Arial" w:eastAsia="Arial" w:hAnsi="Arial"/>
                <w:sz w:val="16"/>
                <w:szCs w:val="16"/>
                <w:b w:val="1"/>
                <w:bCs w:val="1"/>
                <w:color w:val="auto"/>
              </w:rPr>
              <w:t>Shares</w:t>
            </w:r>
          </w:p>
        </w:tc>
        <w:tc>
          <w:tcPr>
            <w:tcW w:w="140" w:type="dxa"/>
            <w:vAlign w:val="bottom"/>
            <w:tcBorders>
              <w:bottom w:val="single" w:sz="8" w:color="D1EDF4"/>
            </w:tcBorders>
          </w:tcPr>
          <w:p>
            <w:pPr>
              <w:spacing w:after="0"/>
              <w:rPr>
                <w:sz w:val="15"/>
                <w:szCs w:val="15"/>
                <w:color w:val="auto"/>
              </w:rPr>
            </w:pPr>
          </w:p>
        </w:tc>
        <w:tc>
          <w:tcPr>
            <w:tcW w:w="20" w:type="dxa"/>
            <w:vAlign w:val="bottom"/>
            <w:tcBorders>
              <w:bottom w:val="single" w:sz="8" w:color="D1EDF4"/>
            </w:tcBorders>
          </w:tcPr>
          <w:p>
            <w:pPr>
              <w:spacing w:after="0"/>
              <w:rPr>
                <w:sz w:val="15"/>
                <w:szCs w:val="15"/>
                <w:color w:val="auto"/>
              </w:rPr>
            </w:pPr>
          </w:p>
        </w:tc>
        <w:tc>
          <w:tcPr>
            <w:tcW w:w="600" w:type="dxa"/>
            <w:vAlign w:val="bottom"/>
            <w:tcBorders>
              <w:bottom w:val="single" w:sz="8" w:color="auto"/>
            </w:tcBorders>
            <w:gridSpan w:val="2"/>
          </w:tcPr>
          <w:p>
            <w:pPr>
              <w:spacing w:after="0" w:line="176" w:lineRule="exact"/>
              <w:rPr>
                <w:sz w:val="20"/>
                <w:szCs w:val="20"/>
                <w:color w:val="auto"/>
              </w:rPr>
            </w:pPr>
            <w:r>
              <w:rPr>
                <w:rFonts w:ascii="Arial" w:cs="Arial" w:eastAsia="Arial" w:hAnsi="Arial"/>
                <w:sz w:val="16"/>
                <w:szCs w:val="16"/>
                <w:b w:val="1"/>
                <w:bCs w:val="1"/>
                <w:color w:val="auto"/>
                <w:w w:val="95"/>
              </w:rPr>
              <w:t>Amount</w:t>
            </w:r>
          </w:p>
        </w:tc>
        <w:tc>
          <w:tcPr>
            <w:tcW w:w="160" w:type="dxa"/>
            <w:vAlign w:val="bottom"/>
            <w:tcBorders>
              <w:bottom w:val="single" w:sz="8" w:color="D1EDF4"/>
            </w:tcBorders>
          </w:tcPr>
          <w:p>
            <w:pPr>
              <w:spacing w:after="0"/>
              <w:rPr>
                <w:sz w:val="15"/>
                <w:szCs w:val="15"/>
                <w:color w:val="auto"/>
              </w:rPr>
            </w:pPr>
          </w:p>
        </w:tc>
        <w:tc>
          <w:tcPr>
            <w:tcW w:w="780" w:type="dxa"/>
            <w:vAlign w:val="bottom"/>
            <w:tcBorders>
              <w:bottom w:val="single" w:sz="8" w:color="auto"/>
            </w:tcBorders>
          </w:tcPr>
          <w:p>
            <w:pPr>
              <w:jc w:val="right"/>
              <w:ind w:right="40"/>
              <w:spacing w:after="0" w:line="176" w:lineRule="exact"/>
              <w:rPr>
                <w:sz w:val="20"/>
                <w:szCs w:val="20"/>
                <w:color w:val="auto"/>
              </w:rPr>
            </w:pPr>
            <w:r>
              <w:rPr>
                <w:rFonts w:ascii="Arial" w:cs="Arial" w:eastAsia="Arial" w:hAnsi="Arial"/>
                <w:sz w:val="16"/>
                <w:szCs w:val="16"/>
                <w:b w:val="1"/>
                <w:bCs w:val="1"/>
                <w:color w:val="auto"/>
              </w:rPr>
              <w:t>Capital</w:t>
            </w:r>
          </w:p>
        </w:tc>
        <w:tc>
          <w:tcPr>
            <w:tcW w:w="120" w:type="dxa"/>
            <w:vAlign w:val="bottom"/>
            <w:tcBorders>
              <w:bottom w:val="single" w:sz="8" w:color="D1EDF4"/>
            </w:tcBorders>
          </w:tcPr>
          <w:p>
            <w:pPr>
              <w:spacing w:after="0"/>
              <w:rPr>
                <w:sz w:val="15"/>
                <w:szCs w:val="15"/>
                <w:color w:val="auto"/>
              </w:rPr>
            </w:pPr>
          </w:p>
        </w:tc>
        <w:tc>
          <w:tcPr>
            <w:tcW w:w="20" w:type="dxa"/>
            <w:vAlign w:val="bottom"/>
            <w:tcBorders>
              <w:bottom w:val="single" w:sz="8" w:color="D1EDF4"/>
            </w:tcBorders>
          </w:tcPr>
          <w:p>
            <w:pPr>
              <w:spacing w:after="0"/>
              <w:rPr>
                <w:sz w:val="15"/>
                <w:szCs w:val="15"/>
                <w:color w:val="auto"/>
              </w:rPr>
            </w:pPr>
          </w:p>
        </w:tc>
        <w:tc>
          <w:tcPr>
            <w:tcW w:w="780" w:type="dxa"/>
            <w:vAlign w:val="bottom"/>
            <w:tcBorders>
              <w:bottom w:val="single" w:sz="8" w:color="auto"/>
            </w:tcBorders>
          </w:tcPr>
          <w:p>
            <w:pPr>
              <w:ind w:left="40"/>
              <w:spacing w:after="0" w:line="176" w:lineRule="exact"/>
              <w:rPr>
                <w:sz w:val="20"/>
                <w:szCs w:val="20"/>
                <w:color w:val="auto"/>
              </w:rPr>
            </w:pPr>
            <w:r>
              <w:rPr>
                <w:rFonts w:ascii="Arial" w:cs="Arial" w:eastAsia="Arial" w:hAnsi="Arial"/>
                <w:sz w:val="16"/>
                <w:szCs w:val="16"/>
                <w:b w:val="1"/>
                <w:bCs w:val="1"/>
                <w:color w:val="auto"/>
              </w:rPr>
              <w:t>Earnings</w:t>
            </w:r>
          </w:p>
        </w:tc>
        <w:tc>
          <w:tcPr>
            <w:tcW w:w="140" w:type="dxa"/>
            <w:vAlign w:val="bottom"/>
            <w:tcBorders>
              <w:bottom w:val="single" w:sz="8" w:color="D1EDF4"/>
            </w:tcBorders>
            <w:gridSpan w:val="2"/>
          </w:tcPr>
          <w:p>
            <w:pPr>
              <w:spacing w:after="0"/>
              <w:rPr>
                <w:sz w:val="15"/>
                <w:szCs w:val="15"/>
                <w:color w:val="auto"/>
              </w:rPr>
            </w:pPr>
          </w:p>
        </w:tc>
        <w:tc>
          <w:tcPr>
            <w:tcW w:w="820" w:type="dxa"/>
            <w:vAlign w:val="bottom"/>
            <w:tcBorders>
              <w:bottom w:val="single" w:sz="8" w:color="auto"/>
            </w:tcBorders>
          </w:tcPr>
          <w:p>
            <w:pPr>
              <w:jc w:val="right"/>
              <w:ind w:right="60"/>
              <w:spacing w:after="0" w:line="176" w:lineRule="exact"/>
              <w:rPr>
                <w:sz w:val="20"/>
                <w:szCs w:val="20"/>
                <w:color w:val="auto"/>
              </w:rPr>
            </w:pPr>
            <w:r>
              <w:rPr>
                <w:rFonts w:ascii="Arial" w:cs="Arial" w:eastAsia="Arial" w:hAnsi="Arial"/>
                <w:sz w:val="16"/>
                <w:szCs w:val="16"/>
                <w:b w:val="1"/>
                <w:bCs w:val="1"/>
                <w:color w:val="auto"/>
              </w:rPr>
              <w:t>Shares</w:t>
            </w:r>
          </w:p>
        </w:tc>
        <w:tc>
          <w:tcPr>
            <w:tcW w:w="160" w:type="dxa"/>
            <w:vAlign w:val="bottom"/>
            <w:tcBorders>
              <w:bottom w:val="single" w:sz="8" w:color="D1EDF4"/>
            </w:tcBorders>
            <w:gridSpan w:val="2"/>
          </w:tcPr>
          <w:p>
            <w:pPr>
              <w:spacing w:after="0"/>
              <w:rPr>
                <w:sz w:val="15"/>
                <w:szCs w:val="15"/>
                <w:color w:val="auto"/>
              </w:rPr>
            </w:pPr>
          </w:p>
        </w:tc>
        <w:tc>
          <w:tcPr>
            <w:tcW w:w="820" w:type="dxa"/>
            <w:vAlign w:val="bottom"/>
            <w:tcBorders>
              <w:bottom w:val="single" w:sz="8" w:color="auto"/>
            </w:tcBorders>
          </w:tcPr>
          <w:p>
            <w:pPr>
              <w:jc w:val="right"/>
              <w:ind w:right="20"/>
              <w:spacing w:after="0" w:line="176" w:lineRule="exact"/>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D1EDF4"/>
            </w:tcBorders>
          </w:tcPr>
          <w:p>
            <w:pPr>
              <w:spacing w:after="0"/>
              <w:rPr>
                <w:sz w:val="15"/>
                <w:szCs w:val="15"/>
                <w:color w:val="auto"/>
              </w:rPr>
            </w:pPr>
          </w:p>
        </w:tc>
        <w:tc>
          <w:tcPr>
            <w:tcW w:w="20" w:type="dxa"/>
            <w:vAlign w:val="bottom"/>
            <w:tcBorders>
              <w:bottom w:val="single" w:sz="8" w:color="D1EDF4"/>
            </w:tcBorders>
          </w:tcPr>
          <w:p>
            <w:pPr>
              <w:spacing w:after="0"/>
              <w:rPr>
                <w:sz w:val="15"/>
                <w:szCs w:val="15"/>
                <w:color w:val="auto"/>
              </w:rPr>
            </w:pPr>
          </w:p>
        </w:tc>
        <w:tc>
          <w:tcPr>
            <w:tcW w:w="780" w:type="dxa"/>
            <w:vAlign w:val="bottom"/>
            <w:tcBorders>
              <w:bottom w:val="single" w:sz="8" w:color="auto"/>
            </w:tcBorders>
          </w:tcPr>
          <w:p>
            <w:pPr>
              <w:jc w:val="right"/>
              <w:ind w:right="120"/>
              <w:spacing w:after="0" w:line="176" w:lineRule="exact"/>
              <w:rPr>
                <w:sz w:val="20"/>
                <w:szCs w:val="20"/>
                <w:color w:val="auto"/>
              </w:rPr>
            </w:pPr>
            <w:r>
              <w:rPr>
                <w:rFonts w:ascii="Arial" w:cs="Arial" w:eastAsia="Arial" w:hAnsi="Arial"/>
                <w:sz w:val="16"/>
                <w:szCs w:val="16"/>
                <w:b w:val="1"/>
                <w:bCs w:val="1"/>
                <w:color w:val="auto"/>
              </w:rPr>
              <w:t>Total</w:t>
            </w:r>
          </w:p>
        </w:tc>
        <w:tc>
          <w:tcPr>
            <w:tcW w:w="40" w:type="dxa"/>
            <w:vAlign w:val="bottom"/>
          </w:tcPr>
          <w:p>
            <w:pPr>
              <w:spacing w:after="0"/>
              <w:rPr>
                <w:sz w:val="15"/>
                <w:szCs w:val="15"/>
                <w:color w:val="auto"/>
              </w:rPr>
            </w:pPr>
          </w:p>
        </w:tc>
      </w:tr>
      <w:tr>
        <w:trPr>
          <w:trHeight w:val="174"/>
        </w:trPr>
        <w:tc>
          <w:tcPr>
            <w:tcW w:w="4380" w:type="dxa"/>
            <w:vAlign w:val="bottom"/>
            <w:gridSpan w:val="2"/>
            <w:shd w:val="clear" w:color="auto" w:fill="D1EDF4"/>
          </w:tcPr>
          <w:p>
            <w:pPr>
              <w:spacing w:after="0" w:line="175" w:lineRule="exact"/>
              <w:rPr>
                <w:sz w:val="20"/>
                <w:szCs w:val="20"/>
                <w:color w:val="auto"/>
              </w:rPr>
            </w:pPr>
            <w:r>
              <w:rPr>
                <w:rFonts w:ascii="Arial" w:cs="Arial" w:eastAsia="Arial" w:hAnsi="Arial"/>
                <w:sz w:val="16"/>
                <w:szCs w:val="16"/>
                <w:b w:val="1"/>
                <w:bCs w:val="1"/>
                <w:color w:val="auto"/>
              </w:rPr>
              <w:t>Balances — January 28, 2023</w:t>
            </w:r>
          </w:p>
        </w:tc>
        <w:tc>
          <w:tcPr>
            <w:tcW w:w="900" w:type="dxa"/>
            <w:vAlign w:val="bottom"/>
            <w:shd w:val="clear" w:color="auto" w:fill="D1EDF4"/>
          </w:tcPr>
          <w:p>
            <w:pPr>
              <w:jc w:val="right"/>
              <w:spacing w:after="0" w:line="175" w:lineRule="exact"/>
              <w:rPr>
                <w:sz w:val="20"/>
                <w:szCs w:val="20"/>
                <w:color w:val="auto"/>
              </w:rPr>
            </w:pPr>
            <w:r>
              <w:rPr>
                <w:rFonts w:ascii="Arial" w:cs="Arial" w:eastAsia="Arial" w:hAnsi="Arial"/>
                <w:sz w:val="16"/>
                <w:szCs w:val="16"/>
                <w:color w:val="auto"/>
                <w:w w:val="99"/>
              </w:rPr>
              <w:t>16,158,494</w:t>
            </w:r>
          </w:p>
        </w:tc>
        <w:tc>
          <w:tcPr>
            <w:tcW w:w="340" w:type="dxa"/>
            <w:vAlign w:val="bottom"/>
            <w:gridSpan w:val="3"/>
            <w:shd w:val="clear" w:color="auto" w:fill="D1EDF4"/>
          </w:tcPr>
          <w:p>
            <w:pPr>
              <w:ind w:left="160"/>
              <w:spacing w:after="0" w:line="175" w:lineRule="exact"/>
              <w:rPr>
                <w:sz w:val="20"/>
                <w:szCs w:val="20"/>
                <w:color w:val="auto"/>
              </w:rPr>
            </w:pPr>
            <w:r>
              <w:rPr>
                <w:rFonts w:ascii="Arial" w:cs="Arial" w:eastAsia="Arial" w:hAnsi="Arial"/>
                <w:sz w:val="16"/>
                <w:szCs w:val="16"/>
                <w:color w:val="auto"/>
              </w:rPr>
              <w:t>$</w:t>
            </w:r>
          </w:p>
        </w:tc>
        <w:tc>
          <w:tcPr>
            <w:tcW w:w="420" w:type="dxa"/>
            <w:vAlign w:val="bottom"/>
            <w:shd w:val="clear" w:color="auto" w:fill="D1EDF4"/>
          </w:tcPr>
          <w:p>
            <w:pPr>
              <w:jc w:val="right"/>
              <w:spacing w:after="0" w:line="175" w:lineRule="exact"/>
              <w:rPr>
                <w:sz w:val="20"/>
                <w:szCs w:val="20"/>
                <w:color w:val="auto"/>
              </w:rPr>
            </w:pPr>
            <w:r>
              <w:rPr>
                <w:rFonts w:ascii="Arial" w:cs="Arial" w:eastAsia="Arial" w:hAnsi="Arial"/>
                <w:sz w:val="16"/>
                <w:szCs w:val="16"/>
                <w:color w:val="auto"/>
              </w:rPr>
              <w:t>160</w:t>
            </w:r>
          </w:p>
        </w:tc>
        <w:tc>
          <w:tcPr>
            <w:tcW w:w="940" w:type="dxa"/>
            <w:vAlign w:val="bottom"/>
            <w:gridSpan w:val="2"/>
            <w:shd w:val="clear" w:color="auto" w:fill="D1EDF4"/>
          </w:tcPr>
          <w:p>
            <w:pPr>
              <w:jc w:val="right"/>
              <w:spacing w:after="0" w:line="175" w:lineRule="exact"/>
              <w:rPr>
                <w:sz w:val="20"/>
                <w:szCs w:val="20"/>
                <w:color w:val="auto"/>
              </w:rPr>
            </w:pPr>
            <w:r>
              <w:rPr>
                <w:rFonts w:ascii="Arial" w:cs="Arial" w:eastAsia="Arial" w:hAnsi="Arial"/>
                <w:sz w:val="16"/>
                <w:szCs w:val="16"/>
                <w:color w:val="auto"/>
              </w:rPr>
              <w:t>$ 102,445</w:t>
            </w:r>
          </w:p>
        </w:tc>
        <w:tc>
          <w:tcPr>
            <w:tcW w:w="920" w:type="dxa"/>
            <w:vAlign w:val="bottom"/>
            <w:gridSpan w:val="3"/>
            <w:shd w:val="clear" w:color="auto" w:fill="D1EDF4"/>
          </w:tcPr>
          <w:p>
            <w:pPr>
              <w:jc w:val="right"/>
              <w:spacing w:after="0" w:line="175" w:lineRule="exact"/>
              <w:rPr>
                <w:sz w:val="20"/>
                <w:szCs w:val="20"/>
                <w:color w:val="auto"/>
              </w:rPr>
            </w:pPr>
            <w:r>
              <w:rPr>
                <w:rFonts w:ascii="Arial" w:cs="Arial" w:eastAsia="Arial" w:hAnsi="Arial"/>
                <w:sz w:val="16"/>
                <w:szCs w:val="16"/>
                <w:color w:val="auto"/>
              </w:rPr>
              <w:t>$ 331,050</w:t>
            </w:r>
          </w:p>
        </w:tc>
        <w:tc>
          <w:tcPr>
            <w:tcW w:w="12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820" w:type="dxa"/>
            <w:vAlign w:val="bottom"/>
            <w:shd w:val="clear" w:color="auto" w:fill="D1EDF4"/>
          </w:tcPr>
          <w:p>
            <w:pPr>
              <w:jc w:val="right"/>
              <w:spacing w:after="0" w:line="175" w:lineRule="exact"/>
              <w:rPr>
                <w:sz w:val="20"/>
                <w:szCs w:val="20"/>
                <w:color w:val="auto"/>
              </w:rPr>
            </w:pPr>
            <w:r>
              <w:rPr>
                <w:rFonts w:ascii="Arial" w:cs="Arial" w:eastAsia="Arial" w:hAnsi="Arial"/>
                <w:sz w:val="16"/>
                <w:szCs w:val="16"/>
                <w:color w:val="auto"/>
              </w:rPr>
              <w:t>7,804,013</w:t>
            </w:r>
          </w:p>
        </w:tc>
        <w:tc>
          <w:tcPr>
            <w:tcW w:w="14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820" w:type="dxa"/>
            <w:vAlign w:val="bottom"/>
            <w:shd w:val="clear" w:color="auto" w:fill="D1EDF4"/>
          </w:tcPr>
          <w:p>
            <w:pPr>
              <w:jc w:val="right"/>
              <w:spacing w:after="0" w:line="175" w:lineRule="exact"/>
              <w:rPr>
                <w:sz w:val="20"/>
                <w:szCs w:val="20"/>
                <w:color w:val="auto"/>
              </w:rPr>
            </w:pPr>
            <w:r>
              <w:rPr>
                <w:rFonts w:ascii="Arial" w:cs="Arial" w:eastAsia="Arial" w:hAnsi="Arial"/>
                <w:sz w:val="16"/>
                <w:szCs w:val="16"/>
                <w:color w:val="auto"/>
                <w:w w:val="97"/>
                <w:shd w:val="clear" w:color="auto" w:fill="D1EDF4"/>
              </w:rPr>
              <w:t>$ (267,211)</w:t>
            </w:r>
          </w:p>
        </w:tc>
        <w:tc>
          <w:tcPr>
            <w:tcW w:w="920" w:type="dxa"/>
            <w:vAlign w:val="bottom"/>
            <w:gridSpan w:val="3"/>
            <w:shd w:val="clear" w:color="auto" w:fill="D1EDF4"/>
          </w:tcPr>
          <w:p>
            <w:pPr>
              <w:jc w:val="right"/>
              <w:spacing w:after="0" w:line="175" w:lineRule="exact"/>
              <w:rPr>
                <w:sz w:val="20"/>
                <w:szCs w:val="20"/>
                <w:color w:val="auto"/>
              </w:rPr>
            </w:pPr>
            <w:r>
              <w:rPr>
                <w:rFonts w:ascii="Arial" w:cs="Arial" w:eastAsia="Arial" w:hAnsi="Arial"/>
                <w:sz w:val="16"/>
                <w:szCs w:val="16"/>
                <w:color w:val="auto"/>
                <w:shd w:val="clear" w:color="auto" w:fill="D1EDF4"/>
              </w:rPr>
              <w:t>$ 166,444</w:t>
            </w:r>
          </w:p>
        </w:tc>
        <w:tc>
          <w:tcPr>
            <w:tcW w:w="40" w:type="dxa"/>
            <w:vAlign w:val="bottom"/>
            <w:shd w:val="clear" w:color="auto" w:fill="D1EDF4"/>
          </w:tcPr>
          <w:p>
            <w:pPr>
              <w:spacing w:after="0"/>
              <w:rPr>
                <w:sz w:val="15"/>
                <w:szCs w:val="15"/>
                <w:color w:val="auto"/>
              </w:rPr>
            </w:pPr>
          </w:p>
        </w:tc>
      </w:tr>
      <w:tr>
        <w:trPr>
          <w:trHeight w:val="185"/>
        </w:trPr>
        <w:tc>
          <w:tcPr>
            <w:tcW w:w="4380" w:type="dxa"/>
            <w:vAlign w:val="bottom"/>
            <w:gridSpan w:val="2"/>
          </w:tcPr>
          <w:p>
            <w:pPr>
              <w:spacing w:after="0"/>
              <w:rPr>
                <w:sz w:val="20"/>
                <w:szCs w:val="20"/>
                <w:color w:val="auto"/>
              </w:rPr>
            </w:pPr>
            <w:r>
              <w:rPr>
                <w:rFonts w:ascii="Arial" w:cs="Arial" w:eastAsia="Arial" w:hAnsi="Arial"/>
                <w:sz w:val="16"/>
                <w:szCs w:val="16"/>
                <w:color w:val="auto"/>
              </w:rPr>
              <w:t>Grant of restricted shares</w:t>
            </w:r>
          </w:p>
        </w:tc>
        <w:tc>
          <w:tcPr>
            <w:tcW w:w="900" w:type="dxa"/>
            <w:vAlign w:val="bottom"/>
          </w:tcPr>
          <w:p>
            <w:pPr>
              <w:jc w:val="right"/>
              <w:spacing w:after="0"/>
              <w:rPr>
                <w:sz w:val="20"/>
                <w:szCs w:val="20"/>
                <w:color w:val="auto"/>
              </w:rPr>
            </w:pPr>
            <w:r>
              <w:rPr>
                <w:rFonts w:ascii="Arial" w:cs="Arial" w:eastAsia="Arial" w:hAnsi="Arial"/>
                <w:sz w:val="16"/>
                <w:szCs w:val="16"/>
                <w:color w:val="auto"/>
              </w:rPr>
              <w:t>272,426</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86"/>
        </w:trPr>
        <w:tc>
          <w:tcPr>
            <w:tcW w:w="4380" w:type="dxa"/>
            <w:vAlign w:val="bottom"/>
            <w:gridSpan w:val="2"/>
            <w:shd w:val="clear" w:color="auto" w:fill="D1EDF4"/>
          </w:tcPr>
          <w:p>
            <w:pPr>
              <w:spacing w:after="0"/>
              <w:rPr>
                <w:sz w:val="20"/>
                <w:szCs w:val="20"/>
                <w:color w:val="auto"/>
              </w:rPr>
            </w:pPr>
            <w:r>
              <w:rPr>
                <w:rFonts w:ascii="Arial" w:cs="Arial" w:eastAsia="Arial" w:hAnsi="Arial"/>
                <w:sz w:val="16"/>
                <w:szCs w:val="16"/>
                <w:color w:val="auto"/>
              </w:rPr>
              <w:t>Forfeiture of restricted shares</w:t>
            </w:r>
          </w:p>
        </w:tc>
        <w:tc>
          <w:tcPr>
            <w:tcW w:w="900" w:type="dxa"/>
            <w:vAlign w:val="bottom"/>
            <w:shd w:val="clear" w:color="auto" w:fill="D1EDF4"/>
          </w:tcPr>
          <w:p>
            <w:pPr>
              <w:jc w:val="right"/>
              <w:spacing w:after="0"/>
              <w:rPr>
                <w:sz w:val="20"/>
                <w:szCs w:val="20"/>
                <w:color w:val="auto"/>
              </w:rPr>
            </w:pPr>
            <w:r>
              <w:rPr>
                <w:rFonts w:ascii="Arial" w:cs="Arial" w:eastAsia="Arial" w:hAnsi="Arial"/>
                <w:sz w:val="16"/>
                <w:szCs w:val="16"/>
                <w:color w:val="auto"/>
              </w:rPr>
              <w:t>(39,321)</w:t>
            </w:r>
          </w:p>
        </w:tc>
        <w:tc>
          <w:tcPr>
            <w:tcW w:w="140" w:type="dxa"/>
            <w:vAlign w:val="bottom"/>
            <w:shd w:val="clear" w:color="auto" w:fill="D1EDF4"/>
          </w:tcPr>
          <w:p>
            <w:pPr>
              <w:spacing w:after="0"/>
              <w:rPr>
                <w:sz w:val="16"/>
                <w:szCs w:val="16"/>
                <w:color w:val="auto"/>
              </w:rPr>
            </w:pPr>
          </w:p>
        </w:tc>
        <w:tc>
          <w:tcPr>
            <w:tcW w:w="20" w:type="dxa"/>
            <w:vAlign w:val="bottom"/>
            <w:shd w:val="clear" w:color="auto" w:fill="D1EDF4"/>
          </w:tcPr>
          <w:p>
            <w:pPr>
              <w:spacing w:after="0"/>
              <w:rPr>
                <w:sz w:val="16"/>
                <w:szCs w:val="16"/>
                <w:color w:val="auto"/>
              </w:rPr>
            </w:pPr>
          </w:p>
        </w:tc>
        <w:tc>
          <w:tcPr>
            <w:tcW w:w="180" w:type="dxa"/>
            <w:vAlign w:val="bottom"/>
            <w:shd w:val="clear" w:color="auto" w:fill="D1EDF4"/>
          </w:tcPr>
          <w:p>
            <w:pPr>
              <w:spacing w:after="0"/>
              <w:rPr>
                <w:sz w:val="16"/>
                <w:szCs w:val="16"/>
                <w:color w:val="auto"/>
              </w:rPr>
            </w:pPr>
          </w:p>
        </w:tc>
        <w:tc>
          <w:tcPr>
            <w:tcW w:w="420" w:type="dxa"/>
            <w:vAlign w:val="bottom"/>
            <w:shd w:val="clear" w:color="auto" w:fill="D1ED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D1EDF4"/>
          </w:tcPr>
          <w:p>
            <w:pPr>
              <w:spacing w:after="0"/>
              <w:rPr>
                <w:sz w:val="16"/>
                <w:szCs w:val="16"/>
                <w:color w:val="auto"/>
              </w:rPr>
            </w:pPr>
          </w:p>
        </w:tc>
        <w:tc>
          <w:tcPr>
            <w:tcW w:w="780" w:type="dxa"/>
            <w:vAlign w:val="bottom"/>
            <w:shd w:val="clear" w:color="auto" w:fill="D1EDF4"/>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D1EDF4"/>
          </w:tcPr>
          <w:p>
            <w:pPr>
              <w:spacing w:after="0"/>
              <w:rPr>
                <w:sz w:val="16"/>
                <w:szCs w:val="16"/>
                <w:color w:val="auto"/>
              </w:rPr>
            </w:pPr>
          </w:p>
        </w:tc>
        <w:tc>
          <w:tcPr>
            <w:tcW w:w="20" w:type="dxa"/>
            <w:vAlign w:val="bottom"/>
            <w:shd w:val="clear" w:color="auto" w:fill="D1EDF4"/>
          </w:tcPr>
          <w:p>
            <w:pPr>
              <w:spacing w:after="0"/>
              <w:rPr>
                <w:sz w:val="16"/>
                <w:szCs w:val="16"/>
                <w:color w:val="auto"/>
              </w:rPr>
            </w:pPr>
          </w:p>
        </w:tc>
        <w:tc>
          <w:tcPr>
            <w:tcW w:w="920" w:type="dxa"/>
            <w:vAlign w:val="bottom"/>
            <w:gridSpan w:val="3"/>
            <w:shd w:val="clear" w:color="auto" w:fill="D1EDF4"/>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gridSpan w:val="3"/>
            <w:shd w:val="clear" w:color="auto" w:fill="D1EDF4"/>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shd w:val="clear" w:color="auto" w:fill="D1EDF4"/>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D1EDF4"/>
          </w:tcPr>
          <w:p>
            <w:pPr>
              <w:spacing w:after="0"/>
              <w:rPr>
                <w:sz w:val="16"/>
                <w:szCs w:val="16"/>
                <w:color w:val="auto"/>
              </w:rPr>
            </w:pPr>
          </w:p>
        </w:tc>
        <w:tc>
          <w:tcPr>
            <w:tcW w:w="20" w:type="dxa"/>
            <w:vAlign w:val="bottom"/>
            <w:shd w:val="clear" w:color="auto" w:fill="D1EDF4"/>
          </w:tcPr>
          <w:p>
            <w:pPr>
              <w:spacing w:after="0"/>
              <w:rPr>
                <w:sz w:val="16"/>
                <w:szCs w:val="16"/>
                <w:color w:val="auto"/>
              </w:rPr>
            </w:pPr>
          </w:p>
        </w:tc>
        <w:tc>
          <w:tcPr>
            <w:tcW w:w="820" w:type="dxa"/>
            <w:vAlign w:val="bottom"/>
            <w:gridSpan w:val="2"/>
            <w:shd w:val="clear" w:color="auto" w:fill="D1EDF4"/>
          </w:tcPr>
          <w:p>
            <w:pPr>
              <w:jc w:val="right"/>
              <w:ind w:right="100"/>
              <w:spacing w:after="0"/>
              <w:rPr>
                <w:sz w:val="20"/>
                <w:szCs w:val="20"/>
                <w:color w:val="auto"/>
              </w:rPr>
            </w:pPr>
            <w:r>
              <w:rPr>
                <w:rFonts w:ascii="Arial" w:cs="Arial" w:eastAsia="Arial" w:hAnsi="Arial"/>
                <w:sz w:val="16"/>
                <w:szCs w:val="16"/>
                <w:color w:val="auto"/>
              </w:rPr>
              <w:t>—</w:t>
            </w:r>
          </w:p>
        </w:tc>
      </w:tr>
      <w:tr>
        <w:trPr>
          <w:trHeight w:val="185"/>
        </w:trPr>
        <w:tc>
          <w:tcPr>
            <w:tcW w:w="4380" w:type="dxa"/>
            <w:vAlign w:val="bottom"/>
            <w:gridSpan w:val="2"/>
          </w:tcPr>
          <w:p>
            <w:pPr>
              <w:spacing w:after="0"/>
              <w:rPr>
                <w:sz w:val="20"/>
                <w:szCs w:val="20"/>
                <w:color w:val="auto"/>
              </w:rPr>
            </w:pPr>
            <w:r>
              <w:rPr>
                <w:rFonts w:ascii="Arial" w:cs="Arial" w:eastAsia="Arial" w:hAnsi="Arial"/>
                <w:sz w:val="16"/>
                <w:szCs w:val="16"/>
                <w:color w:val="auto"/>
              </w:rPr>
              <w:t>Stock-based compensation expense</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4,095</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4,095</w:t>
            </w:r>
          </w:p>
        </w:tc>
        <w:tc>
          <w:tcPr>
            <w:tcW w:w="40" w:type="dxa"/>
            <w:vAlign w:val="bottom"/>
          </w:tcPr>
          <w:p>
            <w:pPr>
              <w:spacing w:after="0"/>
              <w:rPr>
                <w:sz w:val="16"/>
                <w:szCs w:val="16"/>
                <w:color w:val="auto"/>
              </w:rPr>
            </w:pPr>
          </w:p>
        </w:tc>
      </w:tr>
      <w:tr>
        <w:trPr>
          <w:trHeight w:val="184"/>
        </w:trPr>
        <w:tc>
          <w:tcPr>
            <w:tcW w:w="4380" w:type="dxa"/>
            <w:vAlign w:val="bottom"/>
            <w:gridSpan w:val="2"/>
            <w:shd w:val="clear" w:color="auto" w:fill="D1EDF4"/>
          </w:tcPr>
          <w:p>
            <w:pPr>
              <w:spacing w:after="0"/>
              <w:rPr>
                <w:sz w:val="20"/>
                <w:szCs w:val="20"/>
                <w:color w:val="auto"/>
              </w:rPr>
            </w:pPr>
            <w:r>
              <w:rPr>
                <w:rFonts w:ascii="Arial" w:cs="Arial" w:eastAsia="Arial" w:hAnsi="Arial"/>
                <w:sz w:val="16"/>
                <w:szCs w:val="16"/>
                <w:color w:val="auto"/>
              </w:rPr>
              <w:t>Shares withheld for settlement of employee taxes on</w:t>
            </w:r>
          </w:p>
        </w:tc>
        <w:tc>
          <w:tcPr>
            <w:tcW w:w="900" w:type="dxa"/>
            <w:vAlign w:val="bottom"/>
            <w:shd w:val="clear" w:color="auto" w:fill="D1EDF4"/>
          </w:tcPr>
          <w:p>
            <w:pPr>
              <w:spacing w:after="0"/>
              <w:rPr>
                <w:sz w:val="15"/>
                <w:szCs w:val="15"/>
                <w:color w:val="auto"/>
              </w:rPr>
            </w:pPr>
          </w:p>
        </w:tc>
        <w:tc>
          <w:tcPr>
            <w:tcW w:w="14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180" w:type="dxa"/>
            <w:vAlign w:val="bottom"/>
            <w:shd w:val="clear" w:color="auto" w:fill="D1EDF4"/>
          </w:tcPr>
          <w:p>
            <w:pPr>
              <w:spacing w:after="0"/>
              <w:rPr>
                <w:sz w:val="15"/>
                <w:szCs w:val="15"/>
                <w:color w:val="auto"/>
              </w:rPr>
            </w:pPr>
          </w:p>
        </w:tc>
        <w:tc>
          <w:tcPr>
            <w:tcW w:w="420" w:type="dxa"/>
            <w:vAlign w:val="bottom"/>
            <w:shd w:val="clear" w:color="auto" w:fill="D1EDF4"/>
          </w:tcPr>
          <w:p>
            <w:pPr>
              <w:spacing w:after="0"/>
              <w:rPr>
                <w:sz w:val="15"/>
                <w:szCs w:val="15"/>
                <w:color w:val="auto"/>
              </w:rPr>
            </w:pPr>
          </w:p>
        </w:tc>
        <w:tc>
          <w:tcPr>
            <w:tcW w:w="160" w:type="dxa"/>
            <w:vAlign w:val="bottom"/>
            <w:shd w:val="clear" w:color="auto" w:fill="D1EDF4"/>
          </w:tcPr>
          <w:p>
            <w:pPr>
              <w:spacing w:after="0"/>
              <w:rPr>
                <w:sz w:val="15"/>
                <w:szCs w:val="15"/>
                <w:color w:val="auto"/>
              </w:rPr>
            </w:pPr>
          </w:p>
        </w:tc>
        <w:tc>
          <w:tcPr>
            <w:tcW w:w="780" w:type="dxa"/>
            <w:vAlign w:val="bottom"/>
            <w:shd w:val="clear" w:color="auto" w:fill="D1EDF4"/>
          </w:tcPr>
          <w:p>
            <w:pPr>
              <w:spacing w:after="0"/>
              <w:rPr>
                <w:sz w:val="15"/>
                <w:szCs w:val="15"/>
                <w:color w:val="auto"/>
              </w:rPr>
            </w:pPr>
          </w:p>
        </w:tc>
        <w:tc>
          <w:tcPr>
            <w:tcW w:w="12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780" w:type="dxa"/>
            <w:vAlign w:val="bottom"/>
            <w:shd w:val="clear" w:color="auto" w:fill="D1EDF4"/>
          </w:tcPr>
          <w:p>
            <w:pPr>
              <w:spacing w:after="0"/>
              <w:rPr>
                <w:sz w:val="15"/>
                <w:szCs w:val="15"/>
                <w:color w:val="auto"/>
              </w:rPr>
            </w:pPr>
          </w:p>
        </w:tc>
        <w:tc>
          <w:tcPr>
            <w:tcW w:w="12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820" w:type="dxa"/>
            <w:vAlign w:val="bottom"/>
            <w:shd w:val="clear" w:color="auto" w:fill="D1EDF4"/>
          </w:tcPr>
          <w:p>
            <w:pPr>
              <w:spacing w:after="0"/>
              <w:rPr>
                <w:sz w:val="15"/>
                <w:szCs w:val="15"/>
                <w:color w:val="auto"/>
              </w:rPr>
            </w:pPr>
          </w:p>
        </w:tc>
        <w:tc>
          <w:tcPr>
            <w:tcW w:w="14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820" w:type="dxa"/>
            <w:vAlign w:val="bottom"/>
            <w:shd w:val="clear" w:color="auto" w:fill="D1EDF4"/>
          </w:tcPr>
          <w:p>
            <w:pPr>
              <w:spacing w:after="0"/>
              <w:rPr>
                <w:sz w:val="15"/>
                <w:szCs w:val="15"/>
                <w:color w:val="auto"/>
              </w:rPr>
            </w:pPr>
          </w:p>
        </w:tc>
        <w:tc>
          <w:tcPr>
            <w:tcW w:w="12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780" w:type="dxa"/>
            <w:vAlign w:val="bottom"/>
            <w:shd w:val="clear" w:color="auto" w:fill="D1EDF4"/>
          </w:tcPr>
          <w:p>
            <w:pPr>
              <w:spacing w:after="0"/>
              <w:rPr>
                <w:sz w:val="15"/>
                <w:szCs w:val="15"/>
                <w:color w:val="auto"/>
              </w:rPr>
            </w:pPr>
          </w:p>
        </w:tc>
        <w:tc>
          <w:tcPr>
            <w:tcW w:w="40" w:type="dxa"/>
            <w:vAlign w:val="bottom"/>
            <w:shd w:val="clear" w:color="auto" w:fill="D1EDF4"/>
          </w:tcPr>
          <w:p>
            <w:pPr>
              <w:spacing w:after="0"/>
              <w:rPr>
                <w:sz w:val="15"/>
                <w:szCs w:val="15"/>
                <w:color w:val="auto"/>
              </w:rPr>
            </w:pPr>
          </w:p>
        </w:tc>
      </w:tr>
      <w:tr>
        <w:trPr>
          <w:trHeight w:val="185"/>
        </w:trPr>
        <w:tc>
          <w:tcPr>
            <w:tcW w:w="4360" w:type="dxa"/>
            <w:vAlign w:val="bottom"/>
            <w:shd w:val="clear" w:color="auto" w:fill="D1EDF4"/>
          </w:tcPr>
          <w:p>
            <w:pPr>
              <w:spacing w:after="0"/>
              <w:rPr>
                <w:sz w:val="20"/>
                <w:szCs w:val="20"/>
                <w:color w:val="auto"/>
              </w:rPr>
            </w:pPr>
            <w:r>
              <w:rPr>
                <w:rFonts w:ascii="Arial" w:cs="Arial" w:eastAsia="Arial" w:hAnsi="Arial"/>
                <w:sz w:val="16"/>
                <w:szCs w:val="16"/>
                <w:color w:val="auto"/>
              </w:rPr>
              <w:t>vesting</w:t>
            </w:r>
          </w:p>
        </w:tc>
        <w:tc>
          <w:tcPr>
            <w:tcW w:w="20" w:type="dxa"/>
            <w:vAlign w:val="bottom"/>
            <w:shd w:val="clear" w:color="auto" w:fill="D1EDF4"/>
          </w:tcPr>
          <w:p>
            <w:pPr>
              <w:spacing w:after="0"/>
              <w:rPr>
                <w:sz w:val="16"/>
                <w:szCs w:val="16"/>
                <w:color w:val="auto"/>
              </w:rPr>
            </w:pPr>
          </w:p>
        </w:tc>
        <w:tc>
          <w:tcPr>
            <w:tcW w:w="900" w:type="dxa"/>
            <w:vAlign w:val="bottom"/>
            <w:shd w:val="clear" w:color="auto" w:fill="D1EDF4"/>
          </w:tcPr>
          <w:p>
            <w:pPr>
              <w:jc w:val="right"/>
              <w:spacing w:after="0"/>
              <w:rPr>
                <w:sz w:val="20"/>
                <w:szCs w:val="20"/>
                <w:color w:val="auto"/>
              </w:rPr>
            </w:pPr>
            <w:r>
              <w:rPr>
                <w:rFonts w:ascii="Arial" w:cs="Arial" w:eastAsia="Arial" w:hAnsi="Arial"/>
                <w:sz w:val="16"/>
                <w:szCs w:val="16"/>
                <w:color w:val="auto"/>
              </w:rPr>
              <w:t>(36,885)</w:t>
            </w:r>
          </w:p>
        </w:tc>
        <w:tc>
          <w:tcPr>
            <w:tcW w:w="140" w:type="dxa"/>
            <w:vAlign w:val="bottom"/>
            <w:shd w:val="clear" w:color="auto" w:fill="D1EDF4"/>
          </w:tcPr>
          <w:p>
            <w:pPr>
              <w:spacing w:after="0"/>
              <w:rPr>
                <w:sz w:val="16"/>
                <w:szCs w:val="16"/>
                <w:color w:val="auto"/>
              </w:rPr>
            </w:pPr>
          </w:p>
        </w:tc>
        <w:tc>
          <w:tcPr>
            <w:tcW w:w="20" w:type="dxa"/>
            <w:vAlign w:val="bottom"/>
            <w:shd w:val="clear" w:color="auto" w:fill="D1EDF4"/>
          </w:tcPr>
          <w:p>
            <w:pPr>
              <w:spacing w:after="0"/>
              <w:rPr>
                <w:sz w:val="16"/>
                <w:szCs w:val="16"/>
                <w:color w:val="auto"/>
              </w:rPr>
            </w:pPr>
          </w:p>
        </w:tc>
        <w:tc>
          <w:tcPr>
            <w:tcW w:w="180" w:type="dxa"/>
            <w:vAlign w:val="bottom"/>
            <w:shd w:val="clear" w:color="auto" w:fill="D1EDF4"/>
          </w:tcPr>
          <w:p>
            <w:pPr>
              <w:spacing w:after="0"/>
              <w:rPr>
                <w:sz w:val="16"/>
                <w:szCs w:val="16"/>
                <w:color w:val="auto"/>
              </w:rPr>
            </w:pPr>
          </w:p>
        </w:tc>
        <w:tc>
          <w:tcPr>
            <w:tcW w:w="420" w:type="dxa"/>
            <w:vAlign w:val="bottom"/>
            <w:shd w:val="clear" w:color="auto" w:fill="D1EDF4"/>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D1EDF4"/>
          </w:tcPr>
          <w:p>
            <w:pPr>
              <w:jc w:val="right"/>
              <w:spacing w:after="0"/>
              <w:rPr>
                <w:sz w:val="20"/>
                <w:szCs w:val="20"/>
                <w:color w:val="auto"/>
              </w:rPr>
            </w:pPr>
            <w:r>
              <w:rPr>
                <w:rFonts w:ascii="Arial" w:cs="Arial" w:eastAsia="Arial" w:hAnsi="Arial"/>
                <w:sz w:val="16"/>
                <w:szCs w:val="16"/>
                <w:color w:val="auto"/>
              </w:rPr>
              <w:t>(854)</w:t>
            </w:r>
          </w:p>
        </w:tc>
        <w:tc>
          <w:tcPr>
            <w:tcW w:w="120" w:type="dxa"/>
            <w:vAlign w:val="bottom"/>
            <w:shd w:val="clear" w:color="auto" w:fill="D1EDF4"/>
          </w:tcPr>
          <w:p>
            <w:pPr>
              <w:spacing w:after="0"/>
              <w:rPr>
                <w:sz w:val="16"/>
                <w:szCs w:val="16"/>
                <w:color w:val="auto"/>
              </w:rPr>
            </w:pPr>
          </w:p>
        </w:tc>
        <w:tc>
          <w:tcPr>
            <w:tcW w:w="20" w:type="dxa"/>
            <w:vAlign w:val="bottom"/>
            <w:shd w:val="clear" w:color="auto" w:fill="D1EDF4"/>
          </w:tcPr>
          <w:p>
            <w:pPr>
              <w:spacing w:after="0"/>
              <w:rPr>
                <w:sz w:val="16"/>
                <w:szCs w:val="16"/>
                <w:color w:val="auto"/>
              </w:rPr>
            </w:pPr>
          </w:p>
        </w:tc>
        <w:tc>
          <w:tcPr>
            <w:tcW w:w="920" w:type="dxa"/>
            <w:vAlign w:val="bottom"/>
            <w:gridSpan w:val="3"/>
            <w:shd w:val="clear" w:color="auto" w:fill="D1EDF4"/>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shd w:val="clear" w:color="auto" w:fill="D1EDF4"/>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D1EDF4"/>
          </w:tcPr>
          <w:p>
            <w:pPr>
              <w:spacing w:after="0"/>
              <w:rPr>
                <w:sz w:val="16"/>
                <w:szCs w:val="16"/>
                <w:color w:val="auto"/>
              </w:rPr>
            </w:pPr>
          </w:p>
        </w:tc>
        <w:tc>
          <w:tcPr>
            <w:tcW w:w="20" w:type="dxa"/>
            <w:vAlign w:val="bottom"/>
            <w:shd w:val="clear" w:color="auto" w:fill="D1EDF4"/>
          </w:tcPr>
          <w:p>
            <w:pPr>
              <w:spacing w:after="0"/>
              <w:rPr>
                <w:sz w:val="16"/>
                <w:szCs w:val="16"/>
                <w:color w:val="auto"/>
              </w:rPr>
            </w:pPr>
          </w:p>
        </w:tc>
        <w:tc>
          <w:tcPr>
            <w:tcW w:w="820" w:type="dxa"/>
            <w:vAlign w:val="bottom"/>
            <w:shd w:val="clear" w:color="auto" w:fill="D1EDF4"/>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3"/>
            <w:shd w:val="clear" w:color="auto" w:fill="D1EDF4"/>
          </w:tcPr>
          <w:p>
            <w:pPr>
              <w:jc w:val="right"/>
              <w:spacing w:after="0"/>
              <w:rPr>
                <w:sz w:val="20"/>
                <w:szCs w:val="20"/>
                <w:color w:val="auto"/>
              </w:rPr>
            </w:pPr>
            <w:r>
              <w:rPr>
                <w:rFonts w:ascii="Arial" w:cs="Arial" w:eastAsia="Arial" w:hAnsi="Arial"/>
                <w:sz w:val="16"/>
                <w:szCs w:val="16"/>
                <w:color w:val="auto"/>
              </w:rPr>
              <w:t>(854)</w:t>
            </w:r>
          </w:p>
        </w:tc>
        <w:tc>
          <w:tcPr>
            <w:tcW w:w="40" w:type="dxa"/>
            <w:vAlign w:val="bottom"/>
            <w:shd w:val="clear" w:color="auto" w:fill="D1EDF4"/>
          </w:tcPr>
          <w:p>
            <w:pPr>
              <w:spacing w:after="0"/>
              <w:rPr>
                <w:sz w:val="16"/>
                <w:szCs w:val="16"/>
                <w:color w:val="auto"/>
              </w:rPr>
            </w:pPr>
          </w:p>
        </w:tc>
      </w:tr>
      <w:tr>
        <w:trPr>
          <w:trHeight w:val="185"/>
        </w:trPr>
        <w:tc>
          <w:tcPr>
            <w:tcW w:w="4380" w:type="dxa"/>
            <w:vAlign w:val="bottom"/>
            <w:tcBorders>
              <w:bottom w:val="single" w:sz="8" w:color="D1EDF4"/>
            </w:tcBorders>
            <w:gridSpan w:val="2"/>
          </w:tcPr>
          <w:p>
            <w:pPr>
              <w:spacing w:after="0"/>
              <w:rPr>
                <w:sz w:val="20"/>
                <w:szCs w:val="20"/>
                <w:color w:val="auto"/>
              </w:rPr>
            </w:pPr>
            <w:r>
              <w:rPr>
                <w:rFonts w:ascii="Arial" w:cs="Arial" w:eastAsia="Arial" w:hAnsi="Arial"/>
                <w:sz w:val="16"/>
                <w:szCs w:val="16"/>
                <w:color w:val="auto"/>
              </w:rPr>
              <w:t>Net loss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D1EDF4"/>
            </w:tcBorders>
          </w:tcPr>
          <w:p>
            <w:pPr>
              <w:spacing w:after="0"/>
              <w:rPr>
                <w:sz w:val="16"/>
                <w:szCs w:val="16"/>
                <w:color w:val="auto"/>
              </w:rPr>
            </w:pPr>
          </w:p>
        </w:tc>
        <w:tc>
          <w:tcPr>
            <w:tcW w:w="20" w:type="dxa"/>
            <w:vAlign w:val="bottom"/>
            <w:tcBorders>
              <w:bottom w:val="single" w:sz="8" w:color="D1EDF4"/>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D1EDF4"/>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D1EDF4"/>
            </w:tcBorders>
            <w:gridSpan w:val="2"/>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(11,979)</w:t>
            </w:r>
          </w:p>
        </w:tc>
        <w:tc>
          <w:tcPr>
            <w:tcW w:w="120" w:type="dxa"/>
            <w:vAlign w:val="bottom"/>
            <w:tcBorders>
              <w:bottom w:val="single" w:sz="8" w:color="D1EDF4"/>
            </w:tcBorders>
          </w:tcPr>
          <w:p>
            <w:pPr>
              <w:spacing w:after="0"/>
              <w:rPr>
                <w:sz w:val="16"/>
                <w:szCs w:val="16"/>
                <w:color w:val="auto"/>
              </w:rPr>
            </w:pPr>
          </w:p>
        </w:tc>
        <w:tc>
          <w:tcPr>
            <w:tcW w:w="20" w:type="dxa"/>
            <w:vAlign w:val="bottom"/>
            <w:tcBorders>
              <w:bottom w:val="single" w:sz="8" w:color="D1EDF4"/>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D1EDF4"/>
            </w:tcBorders>
          </w:tcPr>
          <w:p>
            <w:pPr>
              <w:spacing w:after="0"/>
              <w:rPr>
                <w:sz w:val="16"/>
                <w:szCs w:val="16"/>
                <w:color w:val="auto"/>
              </w:rPr>
            </w:pPr>
          </w:p>
        </w:tc>
        <w:tc>
          <w:tcPr>
            <w:tcW w:w="20" w:type="dxa"/>
            <w:vAlign w:val="bottom"/>
            <w:tcBorders>
              <w:bottom w:val="single" w:sz="8" w:color="D1EDF4"/>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D1EDF4"/>
            </w:tcBorders>
            <w:gridSpan w:val="2"/>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(11,979)</w:t>
            </w:r>
          </w:p>
        </w:tc>
        <w:tc>
          <w:tcPr>
            <w:tcW w:w="40" w:type="dxa"/>
            <w:vAlign w:val="bottom"/>
          </w:tcPr>
          <w:p>
            <w:pPr>
              <w:spacing w:after="0"/>
              <w:rPr>
                <w:sz w:val="16"/>
                <w:szCs w:val="16"/>
                <w:color w:val="auto"/>
              </w:rPr>
            </w:pPr>
          </w:p>
        </w:tc>
      </w:tr>
      <w:tr>
        <w:trPr>
          <w:trHeight w:val="176"/>
        </w:trPr>
        <w:tc>
          <w:tcPr>
            <w:tcW w:w="4380" w:type="dxa"/>
            <w:vAlign w:val="bottom"/>
            <w:gridSpan w:val="2"/>
            <w:shd w:val="clear" w:color="auto" w:fill="D1EDF4"/>
          </w:tcPr>
          <w:p>
            <w:pPr>
              <w:spacing w:after="0" w:line="176" w:lineRule="exact"/>
              <w:rPr>
                <w:sz w:val="20"/>
                <w:szCs w:val="20"/>
                <w:color w:val="auto"/>
              </w:rPr>
            </w:pPr>
            <w:r>
              <w:rPr>
                <w:rFonts w:ascii="Arial" w:cs="Arial" w:eastAsia="Arial" w:hAnsi="Arial"/>
                <w:sz w:val="16"/>
                <w:szCs w:val="16"/>
                <w:b w:val="1"/>
                <w:bCs w:val="1"/>
                <w:color w:val="auto"/>
              </w:rPr>
              <w:t>Balances — February 3, 2024</w:t>
            </w:r>
          </w:p>
        </w:tc>
        <w:tc>
          <w:tcPr>
            <w:tcW w:w="900" w:type="dxa"/>
            <w:vAlign w:val="bottom"/>
            <w:shd w:val="clear" w:color="auto" w:fill="D1EDF4"/>
          </w:tcPr>
          <w:p>
            <w:pPr>
              <w:jc w:val="right"/>
              <w:spacing w:after="0" w:line="176" w:lineRule="exact"/>
              <w:rPr>
                <w:sz w:val="20"/>
                <w:szCs w:val="20"/>
                <w:color w:val="auto"/>
              </w:rPr>
            </w:pPr>
            <w:r>
              <w:rPr>
                <w:rFonts w:ascii="Arial" w:cs="Arial" w:eastAsia="Arial" w:hAnsi="Arial"/>
                <w:sz w:val="16"/>
                <w:szCs w:val="16"/>
                <w:color w:val="auto"/>
                <w:w w:val="99"/>
              </w:rPr>
              <w:t>16,354,714</w:t>
            </w:r>
          </w:p>
        </w:tc>
        <w:tc>
          <w:tcPr>
            <w:tcW w:w="340" w:type="dxa"/>
            <w:vAlign w:val="bottom"/>
            <w:gridSpan w:val="3"/>
            <w:shd w:val="clear" w:color="auto" w:fill="D1EDF4"/>
          </w:tcPr>
          <w:p>
            <w:pPr>
              <w:ind w:left="160"/>
              <w:spacing w:after="0" w:line="176" w:lineRule="exact"/>
              <w:rPr>
                <w:sz w:val="20"/>
                <w:szCs w:val="20"/>
                <w:color w:val="auto"/>
              </w:rPr>
            </w:pPr>
            <w:r>
              <w:rPr>
                <w:rFonts w:ascii="Arial" w:cs="Arial" w:eastAsia="Arial" w:hAnsi="Arial"/>
                <w:sz w:val="16"/>
                <w:szCs w:val="16"/>
                <w:color w:val="auto"/>
              </w:rPr>
              <w:t>$</w:t>
            </w:r>
          </w:p>
        </w:tc>
        <w:tc>
          <w:tcPr>
            <w:tcW w:w="420" w:type="dxa"/>
            <w:vAlign w:val="bottom"/>
            <w:shd w:val="clear" w:color="auto" w:fill="D1EDF4"/>
          </w:tcPr>
          <w:p>
            <w:pPr>
              <w:jc w:val="right"/>
              <w:spacing w:after="0" w:line="176" w:lineRule="exact"/>
              <w:rPr>
                <w:sz w:val="20"/>
                <w:szCs w:val="20"/>
                <w:color w:val="auto"/>
              </w:rPr>
            </w:pPr>
            <w:r>
              <w:rPr>
                <w:rFonts w:ascii="Arial" w:cs="Arial" w:eastAsia="Arial" w:hAnsi="Arial"/>
                <w:sz w:val="16"/>
                <w:szCs w:val="16"/>
                <w:color w:val="auto"/>
              </w:rPr>
              <w:t>160</w:t>
            </w:r>
          </w:p>
        </w:tc>
        <w:tc>
          <w:tcPr>
            <w:tcW w:w="940" w:type="dxa"/>
            <w:vAlign w:val="bottom"/>
            <w:gridSpan w:val="2"/>
            <w:shd w:val="clear" w:color="auto" w:fill="D1EDF4"/>
          </w:tcPr>
          <w:p>
            <w:pPr>
              <w:jc w:val="right"/>
              <w:spacing w:after="0" w:line="176" w:lineRule="exact"/>
              <w:rPr>
                <w:sz w:val="20"/>
                <w:szCs w:val="20"/>
                <w:color w:val="auto"/>
              </w:rPr>
            </w:pPr>
            <w:r>
              <w:rPr>
                <w:rFonts w:ascii="Arial" w:cs="Arial" w:eastAsia="Arial" w:hAnsi="Arial"/>
                <w:sz w:val="16"/>
                <w:szCs w:val="16"/>
                <w:color w:val="auto"/>
              </w:rPr>
              <w:t>$ 105,686</w:t>
            </w:r>
          </w:p>
        </w:tc>
        <w:tc>
          <w:tcPr>
            <w:tcW w:w="920" w:type="dxa"/>
            <w:vAlign w:val="bottom"/>
            <w:gridSpan w:val="3"/>
            <w:shd w:val="clear" w:color="auto" w:fill="D1EDF4"/>
          </w:tcPr>
          <w:p>
            <w:pPr>
              <w:jc w:val="right"/>
              <w:spacing w:after="0" w:line="176" w:lineRule="exact"/>
              <w:rPr>
                <w:sz w:val="20"/>
                <w:szCs w:val="20"/>
                <w:color w:val="auto"/>
              </w:rPr>
            </w:pPr>
            <w:r>
              <w:rPr>
                <w:rFonts w:ascii="Arial" w:cs="Arial" w:eastAsia="Arial" w:hAnsi="Arial"/>
                <w:sz w:val="16"/>
                <w:szCs w:val="16"/>
                <w:color w:val="auto"/>
              </w:rPr>
              <w:t>$ 319,071</w:t>
            </w:r>
          </w:p>
        </w:tc>
        <w:tc>
          <w:tcPr>
            <w:tcW w:w="12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820" w:type="dxa"/>
            <w:vAlign w:val="bottom"/>
            <w:shd w:val="clear" w:color="auto" w:fill="D1EDF4"/>
          </w:tcPr>
          <w:p>
            <w:pPr>
              <w:jc w:val="right"/>
              <w:spacing w:after="0" w:line="176" w:lineRule="exact"/>
              <w:rPr>
                <w:sz w:val="20"/>
                <w:szCs w:val="20"/>
                <w:color w:val="auto"/>
              </w:rPr>
            </w:pPr>
            <w:r>
              <w:rPr>
                <w:rFonts w:ascii="Arial" w:cs="Arial" w:eastAsia="Arial" w:hAnsi="Arial"/>
                <w:sz w:val="16"/>
                <w:szCs w:val="16"/>
                <w:color w:val="auto"/>
              </w:rPr>
              <w:t>7,804,013</w:t>
            </w:r>
          </w:p>
        </w:tc>
        <w:tc>
          <w:tcPr>
            <w:tcW w:w="14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820" w:type="dxa"/>
            <w:vAlign w:val="bottom"/>
            <w:shd w:val="clear" w:color="auto" w:fill="D1EDF4"/>
          </w:tcPr>
          <w:p>
            <w:pPr>
              <w:jc w:val="right"/>
              <w:spacing w:after="0" w:line="176" w:lineRule="exact"/>
              <w:rPr>
                <w:sz w:val="20"/>
                <w:szCs w:val="20"/>
                <w:color w:val="auto"/>
              </w:rPr>
            </w:pPr>
            <w:r>
              <w:rPr>
                <w:rFonts w:ascii="Arial" w:cs="Arial" w:eastAsia="Arial" w:hAnsi="Arial"/>
                <w:sz w:val="16"/>
                <w:szCs w:val="16"/>
                <w:color w:val="auto"/>
                <w:w w:val="97"/>
                <w:shd w:val="clear" w:color="auto" w:fill="D1EDF4"/>
              </w:rPr>
              <w:t>$ (267,211)</w:t>
            </w:r>
          </w:p>
        </w:tc>
        <w:tc>
          <w:tcPr>
            <w:tcW w:w="920" w:type="dxa"/>
            <w:vAlign w:val="bottom"/>
            <w:gridSpan w:val="3"/>
            <w:shd w:val="clear" w:color="auto" w:fill="D1EDF4"/>
          </w:tcPr>
          <w:p>
            <w:pPr>
              <w:jc w:val="right"/>
              <w:spacing w:after="0" w:line="176" w:lineRule="exact"/>
              <w:rPr>
                <w:sz w:val="20"/>
                <w:szCs w:val="20"/>
                <w:color w:val="auto"/>
              </w:rPr>
            </w:pPr>
            <w:r>
              <w:rPr>
                <w:rFonts w:ascii="Arial" w:cs="Arial" w:eastAsia="Arial" w:hAnsi="Arial"/>
                <w:sz w:val="16"/>
                <w:szCs w:val="16"/>
                <w:color w:val="auto"/>
                <w:shd w:val="clear" w:color="auto" w:fill="D1EDF4"/>
              </w:rPr>
              <w:t>$ 157,706</w:t>
            </w:r>
          </w:p>
        </w:tc>
        <w:tc>
          <w:tcPr>
            <w:tcW w:w="40" w:type="dxa"/>
            <w:vAlign w:val="bottom"/>
            <w:shd w:val="clear" w:color="auto" w:fill="D1EDF4"/>
          </w:tcPr>
          <w:p>
            <w:pPr>
              <w:spacing w:after="0"/>
              <w:rPr>
                <w:sz w:val="15"/>
                <w:szCs w:val="15"/>
                <w:color w:val="auto"/>
              </w:rPr>
            </w:pPr>
          </w:p>
        </w:tc>
      </w:tr>
      <w:tr>
        <w:trPr>
          <w:trHeight w:val="185"/>
        </w:trPr>
        <w:tc>
          <w:tcPr>
            <w:tcW w:w="4380" w:type="dxa"/>
            <w:vAlign w:val="bottom"/>
            <w:gridSpan w:val="2"/>
          </w:tcPr>
          <w:p>
            <w:pPr>
              <w:spacing w:after="0"/>
              <w:rPr>
                <w:sz w:val="20"/>
                <w:szCs w:val="20"/>
                <w:color w:val="auto"/>
              </w:rPr>
            </w:pPr>
            <w:r>
              <w:rPr>
                <w:rFonts w:ascii="Arial" w:cs="Arial" w:eastAsia="Arial" w:hAnsi="Arial"/>
                <w:sz w:val="16"/>
                <w:szCs w:val="16"/>
                <w:color w:val="auto"/>
              </w:rPr>
              <w:t>Vesting of restricted shares</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2</w:t>
            </w:r>
          </w:p>
        </w:tc>
        <w:tc>
          <w:tcPr>
            <w:tcW w:w="40" w:type="dxa"/>
            <w:vAlign w:val="bottom"/>
          </w:tcPr>
          <w:p>
            <w:pPr>
              <w:spacing w:after="0"/>
              <w:rPr>
                <w:sz w:val="16"/>
                <w:szCs w:val="16"/>
                <w:color w:val="auto"/>
              </w:rPr>
            </w:pPr>
          </w:p>
        </w:tc>
      </w:tr>
      <w:tr>
        <w:trPr>
          <w:trHeight w:val="185"/>
        </w:trPr>
        <w:tc>
          <w:tcPr>
            <w:tcW w:w="4380" w:type="dxa"/>
            <w:vAlign w:val="bottom"/>
            <w:gridSpan w:val="2"/>
            <w:shd w:val="clear" w:color="auto" w:fill="D1EDF4"/>
          </w:tcPr>
          <w:p>
            <w:pPr>
              <w:spacing w:after="0"/>
              <w:rPr>
                <w:sz w:val="20"/>
                <w:szCs w:val="20"/>
                <w:color w:val="auto"/>
              </w:rPr>
            </w:pPr>
            <w:r>
              <w:rPr>
                <w:rFonts w:ascii="Arial" w:cs="Arial" w:eastAsia="Arial" w:hAnsi="Arial"/>
                <w:sz w:val="16"/>
                <w:szCs w:val="16"/>
                <w:color w:val="auto"/>
              </w:rPr>
              <w:t>Grant of restricted shares</w:t>
            </w:r>
          </w:p>
        </w:tc>
        <w:tc>
          <w:tcPr>
            <w:tcW w:w="900" w:type="dxa"/>
            <w:vAlign w:val="bottom"/>
            <w:shd w:val="clear" w:color="auto" w:fill="D1EDF4"/>
          </w:tcPr>
          <w:p>
            <w:pPr>
              <w:jc w:val="right"/>
              <w:spacing w:after="0"/>
              <w:rPr>
                <w:sz w:val="20"/>
                <w:szCs w:val="20"/>
                <w:color w:val="auto"/>
              </w:rPr>
            </w:pPr>
            <w:r>
              <w:rPr>
                <w:rFonts w:ascii="Arial" w:cs="Arial" w:eastAsia="Arial" w:hAnsi="Arial"/>
                <w:sz w:val="16"/>
                <w:szCs w:val="16"/>
                <w:color w:val="auto"/>
              </w:rPr>
              <w:t>230,852</w:t>
            </w:r>
          </w:p>
        </w:tc>
        <w:tc>
          <w:tcPr>
            <w:tcW w:w="140" w:type="dxa"/>
            <w:vAlign w:val="bottom"/>
            <w:shd w:val="clear" w:color="auto" w:fill="D1EDF4"/>
          </w:tcPr>
          <w:p>
            <w:pPr>
              <w:spacing w:after="0"/>
              <w:rPr>
                <w:sz w:val="16"/>
                <w:szCs w:val="16"/>
                <w:color w:val="auto"/>
              </w:rPr>
            </w:pPr>
          </w:p>
        </w:tc>
        <w:tc>
          <w:tcPr>
            <w:tcW w:w="20" w:type="dxa"/>
            <w:vAlign w:val="bottom"/>
            <w:shd w:val="clear" w:color="auto" w:fill="D1EDF4"/>
          </w:tcPr>
          <w:p>
            <w:pPr>
              <w:spacing w:after="0"/>
              <w:rPr>
                <w:sz w:val="16"/>
                <w:szCs w:val="16"/>
                <w:color w:val="auto"/>
              </w:rPr>
            </w:pPr>
          </w:p>
        </w:tc>
        <w:tc>
          <w:tcPr>
            <w:tcW w:w="180" w:type="dxa"/>
            <w:vAlign w:val="bottom"/>
            <w:shd w:val="clear" w:color="auto" w:fill="D1EDF4"/>
          </w:tcPr>
          <w:p>
            <w:pPr>
              <w:spacing w:after="0"/>
              <w:rPr>
                <w:sz w:val="16"/>
                <w:szCs w:val="16"/>
                <w:color w:val="auto"/>
              </w:rPr>
            </w:pPr>
          </w:p>
        </w:tc>
        <w:tc>
          <w:tcPr>
            <w:tcW w:w="420" w:type="dxa"/>
            <w:vAlign w:val="bottom"/>
            <w:shd w:val="clear" w:color="auto" w:fill="D1ED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D1EDF4"/>
          </w:tcPr>
          <w:p>
            <w:pPr>
              <w:spacing w:after="0"/>
              <w:rPr>
                <w:sz w:val="16"/>
                <w:szCs w:val="16"/>
                <w:color w:val="auto"/>
              </w:rPr>
            </w:pPr>
          </w:p>
        </w:tc>
        <w:tc>
          <w:tcPr>
            <w:tcW w:w="780" w:type="dxa"/>
            <w:vAlign w:val="bottom"/>
            <w:shd w:val="clear" w:color="auto" w:fill="D1EDF4"/>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D1EDF4"/>
          </w:tcPr>
          <w:p>
            <w:pPr>
              <w:spacing w:after="0"/>
              <w:rPr>
                <w:sz w:val="16"/>
                <w:szCs w:val="16"/>
                <w:color w:val="auto"/>
              </w:rPr>
            </w:pPr>
          </w:p>
        </w:tc>
        <w:tc>
          <w:tcPr>
            <w:tcW w:w="20" w:type="dxa"/>
            <w:vAlign w:val="bottom"/>
            <w:shd w:val="clear" w:color="auto" w:fill="D1EDF4"/>
          </w:tcPr>
          <w:p>
            <w:pPr>
              <w:spacing w:after="0"/>
              <w:rPr>
                <w:sz w:val="16"/>
                <w:szCs w:val="16"/>
                <w:color w:val="auto"/>
              </w:rPr>
            </w:pPr>
          </w:p>
        </w:tc>
        <w:tc>
          <w:tcPr>
            <w:tcW w:w="920" w:type="dxa"/>
            <w:vAlign w:val="bottom"/>
            <w:gridSpan w:val="3"/>
            <w:shd w:val="clear" w:color="auto" w:fill="D1EDF4"/>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gridSpan w:val="3"/>
            <w:shd w:val="clear" w:color="auto" w:fill="D1EDF4"/>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shd w:val="clear" w:color="auto" w:fill="D1EDF4"/>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D1EDF4"/>
          </w:tcPr>
          <w:p>
            <w:pPr>
              <w:spacing w:after="0"/>
              <w:rPr>
                <w:sz w:val="16"/>
                <w:szCs w:val="16"/>
                <w:color w:val="auto"/>
              </w:rPr>
            </w:pPr>
          </w:p>
        </w:tc>
        <w:tc>
          <w:tcPr>
            <w:tcW w:w="20" w:type="dxa"/>
            <w:vAlign w:val="bottom"/>
            <w:shd w:val="clear" w:color="auto" w:fill="D1EDF4"/>
          </w:tcPr>
          <w:p>
            <w:pPr>
              <w:spacing w:after="0"/>
              <w:rPr>
                <w:sz w:val="16"/>
                <w:szCs w:val="16"/>
                <w:color w:val="auto"/>
              </w:rPr>
            </w:pPr>
          </w:p>
        </w:tc>
        <w:tc>
          <w:tcPr>
            <w:tcW w:w="820" w:type="dxa"/>
            <w:vAlign w:val="bottom"/>
            <w:gridSpan w:val="2"/>
            <w:shd w:val="clear" w:color="auto" w:fill="D1EDF4"/>
          </w:tcPr>
          <w:p>
            <w:pPr>
              <w:jc w:val="right"/>
              <w:ind w:right="100"/>
              <w:spacing w:after="0"/>
              <w:rPr>
                <w:sz w:val="20"/>
                <w:szCs w:val="20"/>
                <w:color w:val="auto"/>
              </w:rPr>
            </w:pPr>
            <w:r>
              <w:rPr>
                <w:rFonts w:ascii="Arial" w:cs="Arial" w:eastAsia="Arial" w:hAnsi="Arial"/>
                <w:sz w:val="16"/>
                <w:szCs w:val="16"/>
                <w:color w:val="auto"/>
              </w:rPr>
              <w:t>—</w:t>
            </w:r>
          </w:p>
        </w:tc>
      </w:tr>
      <w:tr>
        <w:trPr>
          <w:trHeight w:val="185"/>
        </w:trPr>
        <w:tc>
          <w:tcPr>
            <w:tcW w:w="4380" w:type="dxa"/>
            <w:vAlign w:val="bottom"/>
            <w:gridSpan w:val="2"/>
          </w:tcPr>
          <w:p>
            <w:pPr>
              <w:spacing w:after="0"/>
              <w:rPr>
                <w:sz w:val="20"/>
                <w:szCs w:val="20"/>
                <w:color w:val="auto"/>
              </w:rPr>
            </w:pPr>
            <w:r>
              <w:rPr>
                <w:rFonts w:ascii="Arial" w:cs="Arial" w:eastAsia="Arial" w:hAnsi="Arial"/>
                <w:sz w:val="16"/>
                <w:szCs w:val="16"/>
                <w:color w:val="auto"/>
              </w:rPr>
              <w:t>Forfeiture of restricted shares</w:t>
            </w:r>
          </w:p>
        </w:tc>
        <w:tc>
          <w:tcPr>
            <w:tcW w:w="900" w:type="dxa"/>
            <w:vAlign w:val="bottom"/>
          </w:tcPr>
          <w:p>
            <w:pPr>
              <w:jc w:val="right"/>
              <w:spacing w:after="0"/>
              <w:rPr>
                <w:sz w:val="20"/>
                <w:szCs w:val="20"/>
                <w:color w:val="auto"/>
              </w:rPr>
            </w:pPr>
            <w:r>
              <w:rPr>
                <w:rFonts w:ascii="Arial" w:cs="Arial" w:eastAsia="Arial" w:hAnsi="Arial"/>
                <w:sz w:val="16"/>
                <w:szCs w:val="16"/>
                <w:color w:val="auto"/>
              </w:rPr>
              <w:t>(51,450)</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85"/>
        </w:trPr>
        <w:tc>
          <w:tcPr>
            <w:tcW w:w="4380" w:type="dxa"/>
            <w:vAlign w:val="bottom"/>
            <w:gridSpan w:val="2"/>
            <w:shd w:val="clear" w:color="auto" w:fill="D1EDF4"/>
          </w:tcPr>
          <w:p>
            <w:pPr>
              <w:spacing w:after="0"/>
              <w:rPr>
                <w:sz w:val="20"/>
                <w:szCs w:val="20"/>
                <w:color w:val="auto"/>
              </w:rPr>
            </w:pPr>
            <w:r>
              <w:rPr>
                <w:rFonts w:ascii="Arial" w:cs="Arial" w:eastAsia="Arial" w:hAnsi="Arial"/>
                <w:sz w:val="16"/>
                <w:szCs w:val="16"/>
                <w:color w:val="auto"/>
              </w:rPr>
              <w:t>Stock-based compensation expense</w:t>
            </w:r>
          </w:p>
        </w:tc>
        <w:tc>
          <w:tcPr>
            <w:tcW w:w="900" w:type="dxa"/>
            <w:vAlign w:val="bottom"/>
            <w:shd w:val="clear" w:color="auto" w:fill="D1EDF4"/>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D1EDF4"/>
          </w:tcPr>
          <w:p>
            <w:pPr>
              <w:spacing w:after="0"/>
              <w:rPr>
                <w:sz w:val="16"/>
                <w:szCs w:val="16"/>
                <w:color w:val="auto"/>
              </w:rPr>
            </w:pPr>
          </w:p>
        </w:tc>
        <w:tc>
          <w:tcPr>
            <w:tcW w:w="20" w:type="dxa"/>
            <w:vAlign w:val="bottom"/>
            <w:shd w:val="clear" w:color="auto" w:fill="D1EDF4"/>
          </w:tcPr>
          <w:p>
            <w:pPr>
              <w:spacing w:after="0"/>
              <w:rPr>
                <w:sz w:val="16"/>
                <w:szCs w:val="16"/>
                <w:color w:val="auto"/>
              </w:rPr>
            </w:pPr>
          </w:p>
        </w:tc>
        <w:tc>
          <w:tcPr>
            <w:tcW w:w="180" w:type="dxa"/>
            <w:vAlign w:val="bottom"/>
            <w:shd w:val="clear" w:color="auto" w:fill="D1EDF4"/>
          </w:tcPr>
          <w:p>
            <w:pPr>
              <w:spacing w:after="0"/>
              <w:rPr>
                <w:sz w:val="16"/>
                <w:szCs w:val="16"/>
                <w:color w:val="auto"/>
              </w:rPr>
            </w:pPr>
          </w:p>
        </w:tc>
        <w:tc>
          <w:tcPr>
            <w:tcW w:w="420" w:type="dxa"/>
            <w:vAlign w:val="bottom"/>
            <w:shd w:val="clear" w:color="auto" w:fill="D1EDF4"/>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D1EDF4"/>
          </w:tcPr>
          <w:p>
            <w:pPr>
              <w:jc w:val="right"/>
              <w:spacing w:after="0"/>
              <w:rPr>
                <w:sz w:val="20"/>
                <w:szCs w:val="20"/>
                <w:color w:val="auto"/>
              </w:rPr>
            </w:pPr>
            <w:r>
              <w:rPr>
                <w:rFonts w:ascii="Arial" w:cs="Arial" w:eastAsia="Arial" w:hAnsi="Arial"/>
                <w:sz w:val="16"/>
                <w:szCs w:val="16"/>
                <w:color w:val="auto"/>
              </w:rPr>
              <w:t>3,302</w:t>
            </w:r>
          </w:p>
        </w:tc>
        <w:tc>
          <w:tcPr>
            <w:tcW w:w="120" w:type="dxa"/>
            <w:vAlign w:val="bottom"/>
            <w:shd w:val="clear" w:color="auto" w:fill="D1EDF4"/>
          </w:tcPr>
          <w:p>
            <w:pPr>
              <w:spacing w:after="0"/>
              <w:rPr>
                <w:sz w:val="16"/>
                <w:szCs w:val="16"/>
                <w:color w:val="auto"/>
              </w:rPr>
            </w:pPr>
          </w:p>
        </w:tc>
        <w:tc>
          <w:tcPr>
            <w:tcW w:w="20" w:type="dxa"/>
            <w:vAlign w:val="bottom"/>
            <w:shd w:val="clear" w:color="auto" w:fill="D1EDF4"/>
          </w:tcPr>
          <w:p>
            <w:pPr>
              <w:spacing w:after="0"/>
              <w:rPr>
                <w:sz w:val="16"/>
                <w:szCs w:val="16"/>
                <w:color w:val="auto"/>
              </w:rPr>
            </w:pPr>
          </w:p>
        </w:tc>
        <w:tc>
          <w:tcPr>
            <w:tcW w:w="920" w:type="dxa"/>
            <w:vAlign w:val="bottom"/>
            <w:gridSpan w:val="3"/>
            <w:shd w:val="clear" w:color="auto" w:fill="D1EDF4"/>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gridSpan w:val="3"/>
            <w:shd w:val="clear" w:color="auto" w:fill="D1EDF4"/>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shd w:val="clear" w:color="auto" w:fill="D1EDF4"/>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3"/>
            <w:shd w:val="clear" w:color="auto" w:fill="D1EDF4"/>
          </w:tcPr>
          <w:p>
            <w:pPr>
              <w:jc w:val="right"/>
              <w:spacing w:after="0"/>
              <w:rPr>
                <w:sz w:val="20"/>
                <w:szCs w:val="20"/>
                <w:color w:val="auto"/>
              </w:rPr>
            </w:pPr>
            <w:r>
              <w:rPr>
                <w:rFonts w:ascii="Arial" w:cs="Arial" w:eastAsia="Arial" w:hAnsi="Arial"/>
                <w:sz w:val="16"/>
                <w:szCs w:val="16"/>
                <w:color w:val="auto"/>
              </w:rPr>
              <w:t>3,302</w:t>
            </w:r>
          </w:p>
        </w:tc>
        <w:tc>
          <w:tcPr>
            <w:tcW w:w="40" w:type="dxa"/>
            <w:vAlign w:val="bottom"/>
            <w:shd w:val="clear" w:color="auto" w:fill="D1EDF4"/>
          </w:tcPr>
          <w:p>
            <w:pPr>
              <w:spacing w:after="0"/>
              <w:rPr>
                <w:sz w:val="16"/>
                <w:szCs w:val="16"/>
                <w:color w:val="auto"/>
              </w:rPr>
            </w:pPr>
          </w:p>
        </w:tc>
      </w:tr>
      <w:tr>
        <w:trPr>
          <w:trHeight w:val="170"/>
        </w:trPr>
        <w:tc>
          <w:tcPr>
            <w:tcW w:w="4380" w:type="dxa"/>
            <w:vAlign w:val="bottom"/>
            <w:gridSpan w:val="2"/>
          </w:tcPr>
          <w:p>
            <w:pPr>
              <w:spacing w:after="0" w:line="171" w:lineRule="exact"/>
              <w:rPr>
                <w:sz w:val="20"/>
                <w:szCs w:val="20"/>
                <w:color w:val="auto"/>
              </w:rPr>
            </w:pPr>
            <w:r>
              <w:rPr>
                <w:rFonts w:ascii="Arial" w:cs="Arial" w:eastAsia="Arial" w:hAnsi="Arial"/>
                <w:sz w:val="16"/>
                <w:szCs w:val="16"/>
                <w:color w:val="auto"/>
              </w:rPr>
              <w:t>Shares withheld for settlement of employee taxes on</w:t>
            </w: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99"/>
        </w:trPr>
        <w:tc>
          <w:tcPr>
            <w:tcW w:w="4380" w:type="dxa"/>
            <w:vAlign w:val="bottom"/>
            <w:gridSpan w:val="2"/>
          </w:tcPr>
          <w:p>
            <w:pPr>
              <w:spacing w:after="0"/>
              <w:rPr>
                <w:sz w:val="20"/>
                <w:szCs w:val="20"/>
                <w:color w:val="auto"/>
              </w:rPr>
            </w:pPr>
            <w:r>
              <w:rPr>
                <w:rFonts w:ascii="Arial" w:cs="Arial" w:eastAsia="Arial" w:hAnsi="Arial"/>
                <w:sz w:val="16"/>
                <w:szCs w:val="16"/>
                <w:color w:val="auto"/>
              </w:rPr>
              <w:t>vesting</w:t>
            </w:r>
          </w:p>
        </w:tc>
        <w:tc>
          <w:tcPr>
            <w:tcW w:w="900" w:type="dxa"/>
            <w:vAlign w:val="bottom"/>
          </w:tcPr>
          <w:p>
            <w:pPr>
              <w:jc w:val="right"/>
              <w:spacing w:after="0"/>
              <w:rPr>
                <w:sz w:val="20"/>
                <w:szCs w:val="20"/>
                <w:color w:val="auto"/>
              </w:rPr>
            </w:pPr>
            <w:r>
              <w:rPr>
                <w:rFonts w:ascii="Arial" w:cs="Arial" w:eastAsia="Arial" w:hAnsi="Arial"/>
                <w:sz w:val="16"/>
                <w:szCs w:val="16"/>
                <w:color w:val="auto"/>
              </w:rPr>
              <w:t>(37,024)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(887)</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(887)</w:t>
            </w:r>
          </w:p>
        </w:tc>
        <w:tc>
          <w:tcPr>
            <w:tcW w:w="40" w:type="dxa"/>
            <w:vAlign w:val="bottom"/>
          </w:tcPr>
          <w:p>
            <w:pPr>
              <w:spacing w:after="0"/>
              <w:rPr>
                <w:sz w:val="17"/>
                <w:szCs w:val="17"/>
                <w:color w:val="auto"/>
              </w:rPr>
            </w:pPr>
          </w:p>
        </w:tc>
      </w:tr>
      <w:tr>
        <w:trPr>
          <w:trHeight w:val="185"/>
        </w:trPr>
        <w:tc>
          <w:tcPr>
            <w:tcW w:w="4380" w:type="dxa"/>
            <w:vAlign w:val="bottom"/>
            <w:gridSpan w:val="2"/>
            <w:shd w:val="clear" w:color="auto" w:fill="D1EDF4"/>
          </w:tcPr>
          <w:p>
            <w:pPr>
              <w:spacing w:after="0"/>
              <w:rPr>
                <w:sz w:val="20"/>
                <w:szCs w:val="20"/>
                <w:color w:val="auto"/>
              </w:rPr>
            </w:pPr>
            <w:r>
              <w:rPr>
                <w:rFonts w:ascii="Arial" w:cs="Arial" w:eastAsia="Arial" w:hAnsi="Arial"/>
                <w:sz w:val="16"/>
                <w:szCs w:val="16"/>
                <w:color w:val="auto"/>
              </w:rPr>
              <w:t>Repurchase of common stock</w:t>
            </w:r>
          </w:p>
        </w:tc>
        <w:tc>
          <w:tcPr>
            <w:tcW w:w="900" w:type="dxa"/>
            <w:vAlign w:val="bottom"/>
            <w:shd w:val="clear" w:color="auto" w:fill="D1EDF4"/>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D1EDF4"/>
          </w:tcPr>
          <w:p>
            <w:pPr>
              <w:spacing w:after="0"/>
              <w:rPr>
                <w:sz w:val="16"/>
                <w:szCs w:val="16"/>
                <w:color w:val="auto"/>
              </w:rPr>
            </w:pPr>
          </w:p>
        </w:tc>
        <w:tc>
          <w:tcPr>
            <w:tcW w:w="20" w:type="dxa"/>
            <w:vAlign w:val="bottom"/>
            <w:shd w:val="clear" w:color="auto" w:fill="D1EDF4"/>
          </w:tcPr>
          <w:p>
            <w:pPr>
              <w:spacing w:after="0"/>
              <w:rPr>
                <w:sz w:val="16"/>
                <w:szCs w:val="16"/>
                <w:color w:val="auto"/>
              </w:rPr>
            </w:pPr>
          </w:p>
        </w:tc>
        <w:tc>
          <w:tcPr>
            <w:tcW w:w="180" w:type="dxa"/>
            <w:vAlign w:val="bottom"/>
            <w:shd w:val="clear" w:color="auto" w:fill="D1EDF4"/>
          </w:tcPr>
          <w:p>
            <w:pPr>
              <w:spacing w:after="0"/>
              <w:rPr>
                <w:sz w:val="16"/>
                <w:szCs w:val="16"/>
                <w:color w:val="auto"/>
              </w:rPr>
            </w:pPr>
          </w:p>
        </w:tc>
        <w:tc>
          <w:tcPr>
            <w:tcW w:w="420" w:type="dxa"/>
            <w:vAlign w:val="bottom"/>
            <w:shd w:val="clear" w:color="auto" w:fill="D1ED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D1EDF4"/>
          </w:tcPr>
          <w:p>
            <w:pPr>
              <w:spacing w:after="0"/>
              <w:rPr>
                <w:sz w:val="16"/>
                <w:szCs w:val="16"/>
                <w:color w:val="auto"/>
              </w:rPr>
            </w:pPr>
          </w:p>
        </w:tc>
        <w:tc>
          <w:tcPr>
            <w:tcW w:w="780" w:type="dxa"/>
            <w:vAlign w:val="bottom"/>
            <w:shd w:val="clear" w:color="auto" w:fill="D1EDF4"/>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D1EDF4"/>
          </w:tcPr>
          <w:p>
            <w:pPr>
              <w:spacing w:after="0"/>
              <w:rPr>
                <w:sz w:val="16"/>
                <w:szCs w:val="16"/>
                <w:color w:val="auto"/>
              </w:rPr>
            </w:pPr>
          </w:p>
        </w:tc>
        <w:tc>
          <w:tcPr>
            <w:tcW w:w="20" w:type="dxa"/>
            <w:vAlign w:val="bottom"/>
            <w:shd w:val="clear" w:color="auto" w:fill="D1EDF4"/>
          </w:tcPr>
          <w:p>
            <w:pPr>
              <w:spacing w:after="0"/>
              <w:rPr>
                <w:sz w:val="16"/>
                <w:szCs w:val="16"/>
                <w:color w:val="auto"/>
              </w:rPr>
            </w:pPr>
          </w:p>
        </w:tc>
        <w:tc>
          <w:tcPr>
            <w:tcW w:w="920" w:type="dxa"/>
            <w:vAlign w:val="bottom"/>
            <w:gridSpan w:val="3"/>
            <w:shd w:val="clear" w:color="auto" w:fill="D1EDF4"/>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shd w:val="clear" w:color="auto" w:fill="D1EDF4"/>
          </w:tcPr>
          <w:p>
            <w:pPr>
              <w:jc w:val="right"/>
              <w:spacing w:after="0"/>
              <w:rPr>
                <w:sz w:val="20"/>
                <w:szCs w:val="20"/>
                <w:color w:val="auto"/>
              </w:rPr>
            </w:pPr>
            <w:r>
              <w:rPr>
                <w:rFonts w:ascii="Arial" w:cs="Arial" w:eastAsia="Arial" w:hAnsi="Arial"/>
                <w:sz w:val="16"/>
                <w:szCs w:val="16"/>
                <w:color w:val="auto"/>
              </w:rPr>
              <w:t>145,238</w:t>
            </w:r>
          </w:p>
        </w:tc>
        <w:tc>
          <w:tcPr>
            <w:tcW w:w="140" w:type="dxa"/>
            <w:vAlign w:val="bottom"/>
            <w:shd w:val="clear" w:color="auto" w:fill="D1EDF4"/>
          </w:tcPr>
          <w:p>
            <w:pPr>
              <w:spacing w:after="0"/>
              <w:rPr>
                <w:sz w:val="16"/>
                <w:szCs w:val="16"/>
                <w:color w:val="auto"/>
              </w:rPr>
            </w:pPr>
          </w:p>
        </w:tc>
        <w:tc>
          <w:tcPr>
            <w:tcW w:w="20" w:type="dxa"/>
            <w:vAlign w:val="bottom"/>
            <w:shd w:val="clear" w:color="auto" w:fill="D1EDF4"/>
          </w:tcPr>
          <w:p>
            <w:pPr>
              <w:spacing w:after="0"/>
              <w:rPr>
                <w:sz w:val="16"/>
                <w:szCs w:val="16"/>
                <w:color w:val="auto"/>
              </w:rPr>
            </w:pPr>
          </w:p>
        </w:tc>
        <w:tc>
          <w:tcPr>
            <w:tcW w:w="820" w:type="dxa"/>
            <w:vAlign w:val="bottom"/>
            <w:shd w:val="clear" w:color="auto" w:fill="D1EDF4"/>
          </w:tcPr>
          <w:p>
            <w:pPr>
              <w:jc w:val="right"/>
              <w:spacing w:after="0"/>
              <w:rPr>
                <w:sz w:val="20"/>
                <w:szCs w:val="20"/>
                <w:color w:val="auto"/>
              </w:rPr>
            </w:pPr>
            <w:r>
              <w:rPr>
                <w:rFonts w:ascii="Arial" w:cs="Arial" w:eastAsia="Arial" w:hAnsi="Arial"/>
                <w:sz w:val="16"/>
                <w:szCs w:val="16"/>
                <w:color w:val="auto"/>
              </w:rPr>
              <w:t>(3,777)</w:t>
            </w:r>
          </w:p>
        </w:tc>
        <w:tc>
          <w:tcPr>
            <w:tcW w:w="920" w:type="dxa"/>
            <w:vAlign w:val="bottom"/>
            <w:gridSpan w:val="3"/>
            <w:shd w:val="clear" w:color="auto" w:fill="D1EDF4"/>
          </w:tcPr>
          <w:p>
            <w:pPr>
              <w:jc w:val="right"/>
              <w:spacing w:after="0"/>
              <w:rPr>
                <w:sz w:val="20"/>
                <w:szCs w:val="20"/>
                <w:color w:val="auto"/>
              </w:rPr>
            </w:pPr>
            <w:r>
              <w:rPr>
                <w:rFonts w:ascii="Arial" w:cs="Arial" w:eastAsia="Arial" w:hAnsi="Arial"/>
                <w:sz w:val="16"/>
                <w:szCs w:val="16"/>
                <w:color w:val="auto"/>
              </w:rPr>
              <w:t>(3,777)</w:t>
            </w:r>
          </w:p>
        </w:tc>
        <w:tc>
          <w:tcPr>
            <w:tcW w:w="40" w:type="dxa"/>
            <w:vAlign w:val="bottom"/>
            <w:shd w:val="clear" w:color="auto" w:fill="D1EDF4"/>
          </w:tcPr>
          <w:p>
            <w:pPr>
              <w:spacing w:after="0"/>
              <w:rPr>
                <w:sz w:val="16"/>
                <w:szCs w:val="16"/>
                <w:color w:val="auto"/>
              </w:rPr>
            </w:pPr>
          </w:p>
        </w:tc>
      </w:tr>
      <w:tr>
        <w:trPr>
          <w:trHeight w:val="185"/>
        </w:trPr>
        <w:tc>
          <w:tcPr>
            <w:tcW w:w="4380" w:type="dxa"/>
            <w:vAlign w:val="bottom"/>
            <w:tcBorders>
              <w:bottom w:val="single" w:sz="8" w:color="D1EDF4"/>
            </w:tcBorders>
            <w:gridSpan w:val="2"/>
          </w:tcPr>
          <w:p>
            <w:pPr>
              <w:spacing w:after="0"/>
              <w:rPr>
                <w:sz w:val="20"/>
                <w:szCs w:val="20"/>
                <w:color w:val="auto"/>
              </w:rPr>
            </w:pPr>
            <w:r>
              <w:rPr>
                <w:rFonts w:ascii="Arial" w:cs="Arial" w:eastAsia="Arial" w:hAnsi="Arial"/>
                <w:sz w:val="16"/>
                <w:szCs w:val="16"/>
                <w:color w:val="auto"/>
              </w:rPr>
              <w:t>Net loss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D1EDF4"/>
            </w:tcBorders>
          </w:tcPr>
          <w:p>
            <w:pPr>
              <w:spacing w:after="0"/>
              <w:rPr>
                <w:sz w:val="16"/>
                <w:szCs w:val="16"/>
                <w:color w:val="auto"/>
              </w:rPr>
            </w:pPr>
          </w:p>
        </w:tc>
        <w:tc>
          <w:tcPr>
            <w:tcW w:w="20" w:type="dxa"/>
            <w:vAlign w:val="bottom"/>
            <w:tcBorders>
              <w:bottom w:val="single" w:sz="8" w:color="D1EDF4"/>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D1EDF4"/>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D1EDF4"/>
            </w:tcBorders>
            <w:gridSpan w:val="2"/>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(43,170)</w:t>
            </w:r>
          </w:p>
        </w:tc>
        <w:tc>
          <w:tcPr>
            <w:tcW w:w="120" w:type="dxa"/>
            <w:vAlign w:val="bottom"/>
            <w:tcBorders>
              <w:bottom w:val="single" w:sz="8" w:color="D1EDF4"/>
            </w:tcBorders>
          </w:tcPr>
          <w:p>
            <w:pPr>
              <w:spacing w:after="0"/>
              <w:rPr>
                <w:sz w:val="16"/>
                <w:szCs w:val="16"/>
                <w:color w:val="auto"/>
              </w:rPr>
            </w:pPr>
          </w:p>
        </w:tc>
        <w:tc>
          <w:tcPr>
            <w:tcW w:w="20" w:type="dxa"/>
            <w:vAlign w:val="bottom"/>
            <w:tcBorders>
              <w:bottom w:val="single" w:sz="8" w:color="D1EDF4"/>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D1EDF4"/>
            </w:tcBorders>
            <w:gridSpan w:val="2"/>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D1EDF4"/>
            </w:tcBorders>
            <w:gridSpan w:val="2"/>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(43,170)</w:t>
            </w:r>
          </w:p>
        </w:tc>
        <w:tc>
          <w:tcPr>
            <w:tcW w:w="40" w:type="dxa"/>
            <w:vAlign w:val="bottom"/>
          </w:tcPr>
          <w:p>
            <w:pPr>
              <w:spacing w:after="0"/>
              <w:rPr>
                <w:sz w:val="16"/>
                <w:szCs w:val="16"/>
                <w:color w:val="auto"/>
              </w:rPr>
            </w:pPr>
          </w:p>
        </w:tc>
      </w:tr>
      <w:tr>
        <w:trPr>
          <w:trHeight w:val="176"/>
        </w:trPr>
        <w:tc>
          <w:tcPr>
            <w:tcW w:w="4380" w:type="dxa"/>
            <w:vAlign w:val="bottom"/>
            <w:gridSpan w:val="2"/>
            <w:shd w:val="clear" w:color="auto" w:fill="D1EDF4"/>
          </w:tcPr>
          <w:p>
            <w:pPr>
              <w:spacing w:after="0" w:line="176" w:lineRule="exact"/>
              <w:rPr>
                <w:sz w:val="20"/>
                <w:szCs w:val="20"/>
                <w:color w:val="auto"/>
              </w:rPr>
            </w:pPr>
            <w:r>
              <w:rPr>
                <w:rFonts w:ascii="Arial" w:cs="Arial" w:eastAsia="Arial" w:hAnsi="Arial"/>
                <w:sz w:val="16"/>
                <w:szCs w:val="16"/>
                <w:b w:val="1"/>
                <w:bCs w:val="1"/>
                <w:color w:val="auto"/>
              </w:rPr>
              <w:t>Balances — February 1, 2025</w:t>
            </w:r>
          </w:p>
        </w:tc>
        <w:tc>
          <w:tcPr>
            <w:tcW w:w="900" w:type="dxa"/>
            <w:vAlign w:val="bottom"/>
            <w:shd w:val="clear" w:color="auto" w:fill="D1EDF4"/>
          </w:tcPr>
          <w:p>
            <w:pPr>
              <w:jc w:val="right"/>
              <w:spacing w:after="0" w:line="176" w:lineRule="exact"/>
              <w:rPr>
                <w:sz w:val="20"/>
                <w:szCs w:val="20"/>
                <w:color w:val="auto"/>
              </w:rPr>
            </w:pPr>
            <w:r>
              <w:rPr>
                <w:rFonts w:ascii="Arial" w:cs="Arial" w:eastAsia="Arial" w:hAnsi="Arial"/>
                <w:sz w:val="16"/>
                <w:szCs w:val="16"/>
                <w:color w:val="auto"/>
                <w:w w:val="99"/>
              </w:rPr>
              <w:t>16,497,092</w:t>
            </w:r>
          </w:p>
        </w:tc>
        <w:tc>
          <w:tcPr>
            <w:tcW w:w="340" w:type="dxa"/>
            <w:vAlign w:val="bottom"/>
            <w:gridSpan w:val="3"/>
            <w:shd w:val="clear" w:color="auto" w:fill="D1EDF4"/>
          </w:tcPr>
          <w:p>
            <w:pPr>
              <w:ind w:left="160"/>
              <w:spacing w:after="0" w:line="176" w:lineRule="exact"/>
              <w:rPr>
                <w:sz w:val="20"/>
                <w:szCs w:val="20"/>
                <w:color w:val="auto"/>
              </w:rPr>
            </w:pPr>
            <w:r>
              <w:rPr>
                <w:rFonts w:ascii="Arial" w:cs="Arial" w:eastAsia="Arial" w:hAnsi="Arial"/>
                <w:sz w:val="16"/>
                <w:szCs w:val="16"/>
                <w:color w:val="auto"/>
              </w:rPr>
              <w:t>$</w:t>
            </w:r>
          </w:p>
        </w:tc>
        <w:tc>
          <w:tcPr>
            <w:tcW w:w="420" w:type="dxa"/>
            <w:vAlign w:val="bottom"/>
            <w:shd w:val="clear" w:color="auto" w:fill="D1EDF4"/>
          </w:tcPr>
          <w:p>
            <w:pPr>
              <w:jc w:val="right"/>
              <w:spacing w:after="0" w:line="176" w:lineRule="exact"/>
              <w:rPr>
                <w:sz w:val="20"/>
                <w:szCs w:val="20"/>
                <w:color w:val="auto"/>
              </w:rPr>
            </w:pPr>
            <w:r>
              <w:rPr>
                <w:rFonts w:ascii="Arial" w:cs="Arial" w:eastAsia="Arial" w:hAnsi="Arial"/>
                <w:sz w:val="16"/>
                <w:szCs w:val="16"/>
                <w:color w:val="auto"/>
              </w:rPr>
              <w:t>162</w:t>
            </w:r>
          </w:p>
        </w:tc>
        <w:tc>
          <w:tcPr>
            <w:tcW w:w="940" w:type="dxa"/>
            <w:vAlign w:val="bottom"/>
            <w:gridSpan w:val="2"/>
            <w:shd w:val="clear" w:color="auto" w:fill="D1EDF4"/>
          </w:tcPr>
          <w:p>
            <w:pPr>
              <w:jc w:val="right"/>
              <w:spacing w:after="0" w:line="176" w:lineRule="exact"/>
              <w:rPr>
                <w:sz w:val="20"/>
                <w:szCs w:val="20"/>
                <w:color w:val="auto"/>
              </w:rPr>
            </w:pPr>
            <w:r>
              <w:rPr>
                <w:rFonts w:ascii="Arial" w:cs="Arial" w:eastAsia="Arial" w:hAnsi="Arial"/>
                <w:sz w:val="16"/>
                <w:szCs w:val="16"/>
                <w:color w:val="auto"/>
              </w:rPr>
              <w:t>$ 108,101</w:t>
            </w:r>
          </w:p>
        </w:tc>
        <w:tc>
          <w:tcPr>
            <w:tcW w:w="920" w:type="dxa"/>
            <w:vAlign w:val="bottom"/>
            <w:gridSpan w:val="3"/>
            <w:shd w:val="clear" w:color="auto" w:fill="D1EDF4"/>
          </w:tcPr>
          <w:p>
            <w:pPr>
              <w:jc w:val="right"/>
              <w:spacing w:after="0" w:line="176" w:lineRule="exact"/>
              <w:rPr>
                <w:sz w:val="20"/>
                <w:szCs w:val="20"/>
                <w:color w:val="auto"/>
              </w:rPr>
            </w:pPr>
            <w:r>
              <w:rPr>
                <w:rFonts w:ascii="Arial" w:cs="Arial" w:eastAsia="Arial" w:hAnsi="Arial"/>
                <w:sz w:val="16"/>
                <w:szCs w:val="16"/>
                <w:color w:val="auto"/>
              </w:rPr>
              <w:t>$ 275,901</w:t>
            </w:r>
          </w:p>
        </w:tc>
        <w:tc>
          <w:tcPr>
            <w:tcW w:w="12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820" w:type="dxa"/>
            <w:vAlign w:val="bottom"/>
            <w:shd w:val="clear" w:color="auto" w:fill="D1EDF4"/>
          </w:tcPr>
          <w:p>
            <w:pPr>
              <w:jc w:val="right"/>
              <w:spacing w:after="0" w:line="176" w:lineRule="exact"/>
              <w:rPr>
                <w:sz w:val="20"/>
                <w:szCs w:val="20"/>
                <w:color w:val="auto"/>
              </w:rPr>
            </w:pPr>
            <w:r>
              <w:rPr>
                <w:rFonts w:ascii="Arial" w:cs="Arial" w:eastAsia="Arial" w:hAnsi="Arial"/>
                <w:sz w:val="16"/>
                <w:szCs w:val="16"/>
                <w:color w:val="auto"/>
              </w:rPr>
              <w:t>7,949,251</w:t>
            </w:r>
          </w:p>
        </w:tc>
        <w:tc>
          <w:tcPr>
            <w:tcW w:w="14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820" w:type="dxa"/>
            <w:vAlign w:val="bottom"/>
            <w:shd w:val="clear" w:color="auto" w:fill="D1EDF4"/>
          </w:tcPr>
          <w:p>
            <w:pPr>
              <w:jc w:val="right"/>
              <w:spacing w:after="0" w:line="176" w:lineRule="exact"/>
              <w:rPr>
                <w:sz w:val="20"/>
                <w:szCs w:val="20"/>
                <w:color w:val="auto"/>
              </w:rPr>
            </w:pPr>
            <w:r>
              <w:rPr>
                <w:rFonts w:ascii="Arial" w:cs="Arial" w:eastAsia="Arial" w:hAnsi="Arial"/>
                <w:sz w:val="16"/>
                <w:szCs w:val="16"/>
                <w:color w:val="auto"/>
                <w:w w:val="97"/>
                <w:shd w:val="clear" w:color="auto" w:fill="D1EDF4"/>
              </w:rPr>
              <w:t>$ (270,988)</w:t>
            </w:r>
          </w:p>
        </w:tc>
        <w:tc>
          <w:tcPr>
            <w:tcW w:w="920" w:type="dxa"/>
            <w:vAlign w:val="bottom"/>
            <w:gridSpan w:val="3"/>
            <w:shd w:val="clear" w:color="auto" w:fill="D1EDF4"/>
          </w:tcPr>
          <w:p>
            <w:pPr>
              <w:jc w:val="right"/>
              <w:spacing w:after="0" w:line="176" w:lineRule="exact"/>
              <w:rPr>
                <w:sz w:val="20"/>
                <w:szCs w:val="20"/>
                <w:color w:val="auto"/>
              </w:rPr>
            </w:pPr>
            <w:r>
              <w:rPr>
                <w:rFonts w:ascii="Arial" w:cs="Arial" w:eastAsia="Arial" w:hAnsi="Arial"/>
                <w:sz w:val="16"/>
                <w:szCs w:val="16"/>
                <w:color w:val="auto"/>
                <w:shd w:val="clear" w:color="auto" w:fill="D1EDF4"/>
              </w:rPr>
              <w:t>$ 113,176</w:t>
            </w:r>
          </w:p>
        </w:tc>
        <w:tc>
          <w:tcPr>
            <w:tcW w:w="40" w:type="dxa"/>
            <w:vAlign w:val="bottom"/>
            <w:shd w:val="clear" w:color="auto" w:fill="D1EDF4"/>
          </w:tcPr>
          <w:p>
            <w:pPr>
              <w:spacing w:after="0"/>
              <w:rPr>
                <w:sz w:val="15"/>
                <w:szCs w:val="15"/>
                <w:color w:val="auto"/>
              </w:rPr>
            </w:pPr>
          </w:p>
        </w:tc>
      </w:tr>
      <w:tr>
        <w:trPr>
          <w:trHeight w:val="185"/>
        </w:trPr>
        <w:tc>
          <w:tcPr>
            <w:tcW w:w="4380" w:type="dxa"/>
            <w:vAlign w:val="bottom"/>
            <w:gridSpan w:val="2"/>
          </w:tcPr>
          <w:p>
            <w:pPr>
              <w:spacing w:after="0"/>
              <w:rPr>
                <w:sz w:val="20"/>
                <w:szCs w:val="20"/>
                <w:color w:val="auto"/>
              </w:rPr>
            </w:pPr>
            <w:r>
              <w:rPr>
                <w:rFonts w:ascii="Arial" w:cs="Arial" w:eastAsia="Arial" w:hAnsi="Arial"/>
                <w:sz w:val="16"/>
                <w:szCs w:val="16"/>
                <w:color w:val="auto"/>
              </w:rPr>
              <w:t>Vesting of restricted shares</w:t>
            </w:r>
          </w:p>
        </w:tc>
        <w:tc>
          <w:tcPr>
            <w:tcW w:w="900" w:type="dxa"/>
            <w:vAlign w:val="bottom"/>
          </w:tcPr>
          <w:p>
            <w:pPr>
              <w:jc w:val="right"/>
              <w:spacing w:after="0"/>
              <w:rPr>
                <w:sz w:val="20"/>
                <w:szCs w:val="20"/>
                <w:color w:val="auto"/>
              </w:rPr>
            </w:pPr>
            <w:r>
              <w:rPr>
                <w:rFonts w:ascii="Arial" w:cs="Arial" w:eastAsia="Arial" w:hAnsi="Arial"/>
                <w:sz w:val="16"/>
                <w:szCs w:val="16"/>
                <w:color w:val="auto"/>
              </w:rPr>
              <w:t>52,244</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1</w:t>
            </w:r>
          </w:p>
        </w:tc>
        <w:tc>
          <w:tcPr>
            <w:tcW w:w="40" w:type="dxa"/>
            <w:vAlign w:val="bottom"/>
          </w:tcPr>
          <w:p>
            <w:pPr>
              <w:spacing w:after="0"/>
              <w:rPr>
                <w:sz w:val="16"/>
                <w:szCs w:val="16"/>
                <w:color w:val="auto"/>
              </w:rPr>
            </w:pPr>
          </w:p>
        </w:tc>
      </w:tr>
      <w:tr>
        <w:trPr>
          <w:trHeight w:val="185"/>
        </w:trPr>
        <w:tc>
          <w:tcPr>
            <w:tcW w:w="4380" w:type="dxa"/>
            <w:vAlign w:val="bottom"/>
            <w:gridSpan w:val="2"/>
            <w:shd w:val="clear" w:color="auto" w:fill="D1EDF4"/>
          </w:tcPr>
          <w:p>
            <w:pPr>
              <w:spacing w:after="0"/>
              <w:rPr>
                <w:sz w:val="20"/>
                <w:szCs w:val="20"/>
                <w:color w:val="auto"/>
              </w:rPr>
            </w:pPr>
            <w:r>
              <w:rPr>
                <w:rFonts w:ascii="Arial" w:cs="Arial" w:eastAsia="Arial" w:hAnsi="Arial"/>
                <w:sz w:val="16"/>
                <w:szCs w:val="16"/>
                <w:color w:val="auto"/>
              </w:rPr>
              <w:t>Grant of restricted shares</w:t>
            </w:r>
          </w:p>
        </w:tc>
        <w:tc>
          <w:tcPr>
            <w:tcW w:w="900" w:type="dxa"/>
            <w:vAlign w:val="bottom"/>
            <w:shd w:val="clear" w:color="auto" w:fill="D1EDF4"/>
          </w:tcPr>
          <w:p>
            <w:pPr>
              <w:jc w:val="right"/>
              <w:spacing w:after="0"/>
              <w:rPr>
                <w:sz w:val="20"/>
                <w:szCs w:val="20"/>
                <w:color w:val="auto"/>
              </w:rPr>
            </w:pPr>
            <w:r>
              <w:rPr>
                <w:rFonts w:ascii="Arial" w:cs="Arial" w:eastAsia="Arial" w:hAnsi="Arial"/>
                <w:sz w:val="16"/>
                <w:szCs w:val="16"/>
                <w:color w:val="auto"/>
              </w:rPr>
              <w:t>64,468</w:t>
            </w:r>
          </w:p>
        </w:tc>
        <w:tc>
          <w:tcPr>
            <w:tcW w:w="140" w:type="dxa"/>
            <w:vAlign w:val="bottom"/>
            <w:shd w:val="clear" w:color="auto" w:fill="D1EDF4"/>
          </w:tcPr>
          <w:p>
            <w:pPr>
              <w:spacing w:after="0"/>
              <w:rPr>
                <w:sz w:val="16"/>
                <w:szCs w:val="16"/>
                <w:color w:val="auto"/>
              </w:rPr>
            </w:pPr>
          </w:p>
        </w:tc>
        <w:tc>
          <w:tcPr>
            <w:tcW w:w="20" w:type="dxa"/>
            <w:vAlign w:val="bottom"/>
            <w:shd w:val="clear" w:color="auto" w:fill="D1EDF4"/>
          </w:tcPr>
          <w:p>
            <w:pPr>
              <w:spacing w:after="0"/>
              <w:rPr>
                <w:sz w:val="16"/>
                <w:szCs w:val="16"/>
                <w:color w:val="auto"/>
              </w:rPr>
            </w:pPr>
          </w:p>
        </w:tc>
        <w:tc>
          <w:tcPr>
            <w:tcW w:w="180" w:type="dxa"/>
            <w:vAlign w:val="bottom"/>
            <w:shd w:val="clear" w:color="auto" w:fill="D1EDF4"/>
          </w:tcPr>
          <w:p>
            <w:pPr>
              <w:spacing w:after="0"/>
              <w:rPr>
                <w:sz w:val="16"/>
                <w:szCs w:val="16"/>
                <w:color w:val="auto"/>
              </w:rPr>
            </w:pPr>
          </w:p>
        </w:tc>
        <w:tc>
          <w:tcPr>
            <w:tcW w:w="420" w:type="dxa"/>
            <w:vAlign w:val="bottom"/>
            <w:shd w:val="clear" w:color="auto" w:fill="D1ED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D1EDF4"/>
          </w:tcPr>
          <w:p>
            <w:pPr>
              <w:spacing w:after="0"/>
              <w:rPr>
                <w:sz w:val="16"/>
                <w:szCs w:val="16"/>
                <w:color w:val="auto"/>
              </w:rPr>
            </w:pPr>
          </w:p>
        </w:tc>
        <w:tc>
          <w:tcPr>
            <w:tcW w:w="780" w:type="dxa"/>
            <w:vAlign w:val="bottom"/>
            <w:shd w:val="clear" w:color="auto" w:fill="D1EDF4"/>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D1EDF4"/>
          </w:tcPr>
          <w:p>
            <w:pPr>
              <w:spacing w:after="0"/>
              <w:rPr>
                <w:sz w:val="16"/>
                <w:szCs w:val="16"/>
                <w:color w:val="auto"/>
              </w:rPr>
            </w:pPr>
          </w:p>
        </w:tc>
        <w:tc>
          <w:tcPr>
            <w:tcW w:w="20" w:type="dxa"/>
            <w:vAlign w:val="bottom"/>
            <w:shd w:val="clear" w:color="auto" w:fill="D1EDF4"/>
          </w:tcPr>
          <w:p>
            <w:pPr>
              <w:spacing w:after="0"/>
              <w:rPr>
                <w:sz w:val="16"/>
                <w:szCs w:val="16"/>
                <w:color w:val="auto"/>
              </w:rPr>
            </w:pPr>
          </w:p>
        </w:tc>
        <w:tc>
          <w:tcPr>
            <w:tcW w:w="920" w:type="dxa"/>
            <w:vAlign w:val="bottom"/>
            <w:gridSpan w:val="3"/>
            <w:shd w:val="clear" w:color="auto" w:fill="D1EDF4"/>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gridSpan w:val="3"/>
            <w:shd w:val="clear" w:color="auto" w:fill="D1EDF4"/>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shd w:val="clear" w:color="auto" w:fill="D1EDF4"/>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D1EDF4"/>
          </w:tcPr>
          <w:p>
            <w:pPr>
              <w:spacing w:after="0"/>
              <w:rPr>
                <w:sz w:val="16"/>
                <w:szCs w:val="16"/>
                <w:color w:val="auto"/>
              </w:rPr>
            </w:pPr>
          </w:p>
        </w:tc>
        <w:tc>
          <w:tcPr>
            <w:tcW w:w="20" w:type="dxa"/>
            <w:vAlign w:val="bottom"/>
            <w:shd w:val="clear" w:color="auto" w:fill="D1EDF4"/>
          </w:tcPr>
          <w:p>
            <w:pPr>
              <w:spacing w:after="0"/>
              <w:rPr>
                <w:sz w:val="16"/>
                <w:szCs w:val="16"/>
                <w:color w:val="auto"/>
              </w:rPr>
            </w:pPr>
          </w:p>
        </w:tc>
        <w:tc>
          <w:tcPr>
            <w:tcW w:w="820" w:type="dxa"/>
            <w:vAlign w:val="bottom"/>
            <w:gridSpan w:val="2"/>
            <w:shd w:val="clear" w:color="auto" w:fill="D1EDF4"/>
          </w:tcPr>
          <w:p>
            <w:pPr>
              <w:jc w:val="right"/>
              <w:ind w:right="100"/>
              <w:spacing w:after="0"/>
              <w:rPr>
                <w:sz w:val="20"/>
                <w:szCs w:val="20"/>
                <w:color w:val="auto"/>
              </w:rPr>
            </w:pPr>
            <w:r>
              <w:rPr>
                <w:rFonts w:ascii="Arial" w:cs="Arial" w:eastAsia="Arial" w:hAnsi="Arial"/>
                <w:sz w:val="16"/>
                <w:szCs w:val="16"/>
                <w:color w:val="auto"/>
              </w:rPr>
              <w:t>—</w:t>
            </w:r>
          </w:p>
        </w:tc>
      </w:tr>
      <w:tr>
        <w:trPr>
          <w:trHeight w:val="185"/>
        </w:trPr>
        <w:tc>
          <w:tcPr>
            <w:tcW w:w="4380" w:type="dxa"/>
            <w:vAlign w:val="bottom"/>
            <w:gridSpan w:val="2"/>
          </w:tcPr>
          <w:p>
            <w:pPr>
              <w:spacing w:after="0"/>
              <w:rPr>
                <w:sz w:val="20"/>
                <w:szCs w:val="20"/>
                <w:color w:val="auto"/>
              </w:rPr>
            </w:pPr>
            <w:r>
              <w:rPr>
                <w:rFonts w:ascii="Arial" w:cs="Arial" w:eastAsia="Arial" w:hAnsi="Arial"/>
                <w:sz w:val="16"/>
                <w:szCs w:val="16"/>
                <w:color w:val="auto"/>
              </w:rPr>
              <w:t>Forfeiture of restricted shares</w:t>
            </w:r>
          </w:p>
        </w:tc>
        <w:tc>
          <w:tcPr>
            <w:tcW w:w="900" w:type="dxa"/>
            <w:vAlign w:val="bottom"/>
          </w:tcPr>
          <w:p>
            <w:pPr>
              <w:jc w:val="right"/>
              <w:spacing w:after="0"/>
              <w:rPr>
                <w:sz w:val="20"/>
                <w:szCs w:val="20"/>
                <w:color w:val="auto"/>
              </w:rPr>
            </w:pPr>
            <w:r>
              <w:rPr>
                <w:rFonts w:ascii="Arial" w:cs="Arial" w:eastAsia="Arial" w:hAnsi="Arial"/>
                <w:sz w:val="16"/>
                <w:szCs w:val="16"/>
                <w:color w:val="auto"/>
              </w:rPr>
              <w:t>(26,464)</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85"/>
        </w:trPr>
        <w:tc>
          <w:tcPr>
            <w:tcW w:w="4380" w:type="dxa"/>
            <w:vAlign w:val="bottom"/>
            <w:gridSpan w:val="2"/>
            <w:shd w:val="clear" w:color="auto" w:fill="D1EDF4"/>
          </w:tcPr>
          <w:p>
            <w:pPr>
              <w:spacing w:after="0"/>
              <w:rPr>
                <w:sz w:val="20"/>
                <w:szCs w:val="20"/>
                <w:color w:val="auto"/>
              </w:rPr>
            </w:pPr>
            <w:r>
              <w:rPr>
                <w:rFonts w:ascii="Arial" w:cs="Arial" w:eastAsia="Arial" w:hAnsi="Arial"/>
                <w:sz w:val="16"/>
                <w:szCs w:val="16"/>
                <w:color w:val="auto"/>
              </w:rPr>
              <w:t>Stock-based compensation expense</w:t>
            </w:r>
          </w:p>
        </w:tc>
        <w:tc>
          <w:tcPr>
            <w:tcW w:w="900" w:type="dxa"/>
            <w:vAlign w:val="bottom"/>
            <w:shd w:val="clear" w:color="auto" w:fill="D1EDF4"/>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D1EDF4"/>
          </w:tcPr>
          <w:p>
            <w:pPr>
              <w:spacing w:after="0"/>
              <w:rPr>
                <w:sz w:val="16"/>
                <w:szCs w:val="16"/>
                <w:color w:val="auto"/>
              </w:rPr>
            </w:pPr>
          </w:p>
        </w:tc>
        <w:tc>
          <w:tcPr>
            <w:tcW w:w="20" w:type="dxa"/>
            <w:vAlign w:val="bottom"/>
            <w:shd w:val="clear" w:color="auto" w:fill="D1EDF4"/>
          </w:tcPr>
          <w:p>
            <w:pPr>
              <w:spacing w:after="0"/>
              <w:rPr>
                <w:sz w:val="16"/>
                <w:szCs w:val="16"/>
                <w:color w:val="auto"/>
              </w:rPr>
            </w:pPr>
          </w:p>
        </w:tc>
        <w:tc>
          <w:tcPr>
            <w:tcW w:w="180" w:type="dxa"/>
            <w:vAlign w:val="bottom"/>
            <w:shd w:val="clear" w:color="auto" w:fill="D1EDF4"/>
          </w:tcPr>
          <w:p>
            <w:pPr>
              <w:spacing w:after="0"/>
              <w:rPr>
                <w:sz w:val="16"/>
                <w:szCs w:val="16"/>
                <w:color w:val="auto"/>
              </w:rPr>
            </w:pPr>
          </w:p>
        </w:tc>
        <w:tc>
          <w:tcPr>
            <w:tcW w:w="420" w:type="dxa"/>
            <w:vAlign w:val="bottom"/>
            <w:shd w:val="clear" w:color="auto" w:fill="D1EDF4"/>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D1EDF4"/>
          </w:tcPr>
          <w:p>
            <w:pPr>
              <w:jc w:val="right"/>
              <w:spacing w:after="0"/>
              <w:rPr>
                <w:sz w:val="20"/>
                <w:szCs w:val="20"/>
                <w:color w:val="auto"/>
              </w:rPr>
            </w:pPr>
            <w:r>
              <w:rPr>
                <w:rFonts w:ascii="Arial" w:cs="Arial" w:eastAsia="Arial" w:hAnsi="Arial"/>
                <w:sz w:val="16"/>
                <w:szCs w:val="16"/>
                <w:color w:val="auto"/>
              </w:rPr>
              <w:t>5,389</w:t>
            </w:r>
          </w:p>
        </w:tc>
        <w:tc>
          <w:tcPr>
            <w:tcW w:w="120" w:type="dxa"/>
            <w:vAlign w:val="bottom"/>
            <w:shd w:val="clear" w:color="auto" w:fill="D1EDF4"/>
          </w:tcPr>
          <w:p>
            <w:pPr>
              <w:spacing w:after="0"/>
              <w:rPr>
                <w:sz w:val="16"/>
                <w:szCs w:val="16"/>
                <w:color w:val="auto"/>
              </w:rPr>
            </w:pPr>
          </w:p>
        </w:tc>
        <w:tc>
          <w:tcPr>
            <w:tcW w:w="20" w:type="dxa"/>
            <w:vAlign w:val="bottom"/>
            <w:shd w:val="clear" w:color="auto" w:fill="D1EDF4"/>
          </w:tcPr>
          <w:p>
            <w:pPr>
              <w:spacing w:after="0"/>
              <w:rPr>
                <w:sz w:val="16"/>
                <w:szCs w:val="16"/>
                <w:color w:val="auto"/>
              </w:rPr>
            </w:pPr>
          </w:p>
        </w:tc>
        <w:tc>
          <w:tcPr>
            <w:tcW w:w="920" w:type="dxa"/>
            <w:vAlign w:val="bottom"/>
            <w:gridSpan w:val="3"/>
            <w:shd w:val="clear" w:color="auto" w:fill="D1EDF4"/>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gridSpan w:val="3"/>
            <w:shd w:val="clear" w:color="auto" w:fill="D1EDF4"/>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shd w:val="clear" w:color="auto" w:fill="D1EDF4"/>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3"/>
            <w:shd w:val="clear" w:color="auto" w:fill="D1EDF4"/>
          </w:tcPr>
          <w:p>
            <w:pPr>
              <w:jc w:val="right"/>
              <w:spacing w:after="0"/>
              <w:rPr>
                <w:sz w:val="20"/>
                <w:szCs w:val="20"/>
                <w:color w:val="auto"/>
              </w:rPr>
            </w:pPr>
            <w:r>
              <w:rPr>
                <w:rFonts w:ascii="Arial" w:cs="Arial" w:eastAsia="Arial" w:hAnsi="Arial"/>
                <w:sz w:val="16"/>
                <w:szCs w:val="16"/>
                <w:color w:val="auto"/>
              </w:rPr>
              <w:t>5,389</w:t>
            </w:r>
          </w:p>
        </w:tc>
        <w:tc>
          <w:tcPr>
            <w:tcW w:w="40" w:type="dxa"/>
            <w:vAlign w:val="bottom"/>
            <w:shd w:val="clear" w:color="auto" w:fill="D1EDF4"/>
          </w:tcPr>
          <w:p>
            <w:pPr>
              <w:spacing w:after="0"/>
              <w:rPr>
                <w:sz w:val="16"/>
                <w:szCs w:val="16"/>
                <w:color w:val="auto"/>
              </w:rPr>
            </w:pPr>
          </w:p>
        </w:tc>
      </w:tr>
      <w:tr>
        <w:trPr>
          <w:trHeight w:val="170"/>
        </w:trPr>
        <w:tc>
          <w:tcPr>
            <w:tcW w:w="4380" w:type="dxa"/>
            <w:vAlign w:val="bottom"/>
            <w:gridSpan w:val="2"/>
          </w:tcPr>
          <w:p>
            <w:pPr>
              <w:spacing w:after="0" w:line="171" w:lineRule="exact"/>
              <w:rPr>
                <w:sz w:val="20"/>
                <w:szCs w:val="20"/>
                <w:color w:val="auto"/>
              </w:rPr>
            </w:pPr>
            <w:r>
              <w:rPr>
                <w:rFonts w:ascii="Arial" w:cs="Arial" w:eastAsia="Arial" w:hAnsi="Arial"/>
                <w:sz w:val="16"/>
                <w:szCs w:val="16"/>
                <w:color w:val="auto"/>
              </w:rPr>
              <w:t>Shares withheld for settlement of employee taxes on</w:t>
            </w: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99"/>
        </w:trPr>
        <w:tc>
          <w:tcPr>
            <w:tcW w:w="4380" w:type="dxa"/>
            <w:vAlign w:val="bottom"/>
            <w:gridSpan w:val="2"/>
          </w:tcPr>
          <w:p>
            <w:pPr>
              <w:spacing w:after="0"/>
              <w:rPr>
                <w:sz w:val="20"/>
                <w:szCs w:val="20"/>
                <w:color w:val="auto"/>
              </w:rPr>
            </w:pPr>
            <w:r>
              <w:rPr>
                <w:rFonts w:ascii="Arial" w:cs="Arial" w:eastAsia="Arial" w:hAnsi="Arial"/>
                <w:sz w:val="16"/>
                <w:szCs w:val="16"/>
                <w:color w:val="auto"/>
              </w:rPr>
              <w:t>vesting</w:t>
            </w:r>
          </w:p>
        </w:tc>
        <w:tc>
          <w:tcPr>
            <w:tcW w:w="900" w:type="dxa"/>
            <w:vAlign w:val="bottom"/>
          </w:tcPr>
          <w:p>
            <w:pPr>
              <w:jc w:val="right"/>
              <w:spacing w:after="0"/>
              <w:rPr>
                <w:sz w:val="20"/>
                <w:szCs w:val="20"/>
                <w:color w:val="auto"/>
              </w:rPr>
            </w:pPr>
            <w:r>
              <w:rPr>
                <w:rFonts w:ascii="Arial" w:cs="Arial" w:eastAsia="Arial" w:hAnsi="Arial"/>
                <w:sz w:val="16"/>
                <w:szCs w:val="16"/>
                <w:color w:val="auto"/>
              </w:rPr>
              <w:t>(41,617)</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(1,138)</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(1,138)</w:t>
            </w:r>
          </w:p>
        </w:tc>
        <w:tc>
          <w:tcPr>
            <w:tcW w:w="40" w:type="dxa"/>
            <w:vAlign w:val="bottom"/>
          </w:tcPr>
          <w:p>
            <w:pPr>
              <w:spacing w:after="0"/>
              <w:rPr>
                <w:sz w:val="17"/>
                <w:szCs w:val="17"/>
                <w:color w:val="auto"/>
              </w:rPr>
            </w:pPr>
          </w:p>
        </w:tc>
      </w:tr>
      <w:tr>
        <w:trPr>
          <w:trHeight w:val="185"/>
        </w:trPr>
        <w:tc>
          <w:tcPr>
            <w:tcW w:w="4380" w:type="dxa"/>
            <w:vAlign w:val="bottom"/>
            <w:gridSpan w:val="2"/>
            <w:shd w:val="clear" w:color="auto" w:fill="D1EDF4"/>
          </w:tcPr>
          <w:p>
            <w:pPr>
              <w:spacing w:after="0"/>
              <w:rPr>
                <w:sz w:val="20"/>
                <w:szCs w:val="20"/>
                <w:color w:val="auto"/>
              </w:rPr>
            </w:pPr>
            <w:r>
              <w:rPr>
                <w:rFonts w:ascii="Arial" w:cs="Arial" w:eastAsia="Arial" w:hAnsi="Arial"/>
                <w:sz w:val="16"/>
                <w:szCs w:val="16"/>
                <w:color w:val="auto"/>
              </w:rPr>
              <w:t>Repurchase of common stock</w:t>
            </w:r>
          </w:p>
        </w:tc>
        <w:tc>
          <w:tcPr>
            <w:tcW w:w="900" w:type="dxa"/>
            <w:vAlign w:val="bottom"/>
            <w:shd w:val="clear" w:color="auto" w:fill="D1EDF4"/>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D1EDF4"/>
          </w:tcPr>
          <w:p>
            <w:pPr>
              <w:spacing w:after="0"/>
              <w:rPr>
                <w:sz w:val="16"/>
                <w:szCs w:val="16"/>
                <w:color w:val="auto"/>
              </w:rPr>
            </w:pPr>
          </w:p>
        </w:tc>
        <w:tc>
          <w:tcPr>
            <w:tcW w:w="20" w:type="dxa"/>
            <w:vAlign w:val="bottom"/>
            <w:shd w:val="clear" w:color="auto" w:fill="D1EDF4"/>
          </w:tcPr>
          <w:p>
            <w:pPr>
              <w:spacing w:after="0"/>
              <w:rPr>
                <w:sz w:val="16"/>
                <w:szCs w:val="16"/>
                <w:color w:val="auto"/>
              </w:rPr>
            </w:pPr>
          </w:p>
        </w:tc>
        <w:tc>
          <w:tcPr>
            <w:tcW w:w="180" w:type="dxa"/>
            <w:vAlign w:val="bottom"/>
            <w:shd w:val="clear" w:color="auto" w:fill="D1EDF4"/>
          </w:tcPr>
          <w:p>
            <w:pPr>
              <w:spacing w:after="0"/>
              <w:rPr>
                <w:sz w:val="16"/>
                <w:szCs w:val="16"/>
                <w:color w:val="auto"/>
              </w:rPr>
            </w:pPr>
          </w:p>
        </w:tc>
        <w:tc>
          <w:tcPr>
            <w:tcW w:w="420" w:type="dxa"/>
            <w:vAlign w:val="bottom"/>
            <w:shd w:val="clear" w:color="auto" w:fill="D1ED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D1EDF4"/>
          </w:tcPr>
          <w:p>
            <w:pPr>
              <w:spacing w:after="0"/>
              <w:rPr>
                <w:sz w:val="16"/>
                <w:szCs w:val="16"/>
                <w:color w:val="auto"/>
              </w:rPr>
            </w:pPr>
          </w:p>
        </w:tc>
        <w:tc>
          <w:tcPr>
            <w:tcW w:w="780" w:type="dxa"/>
            <w:vAlign w:val="bottom"/>
            <w:shd w:val="clear" w:color="auto" w:fill="D1EDF4"/>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D1EDF4"/>
          </w:tcPr>
          <w:p>
            <w:pPr>
              <w:spacing w:after="0"/>
              <w:rPr>
                <w:sz w:val="16"/>
                <w:szCs w:val="16"/>
                <w:color w:val="auto"/>
              </w:rPr>
            </w:pPr>
          </w:p>
        </w:tc>
        <w:tc>
          <w:tcPr>
            <w:tcW w:w="20" w:type="dxa"/>
            <w:vAlign w:val="bottom"/>
            <w:shd w:val="clear" w:color="auto" w:fill="D1EDF4"/>
          </w:tcPr>
          <w:p>
            <w:pPr>
              <w:spacing w:after="0"/>
              <w:rPr>
                <w:sz w:val="16"/>
                <w:szCs w:val="16"/>
                <w:color w:val="auto"/>
              </w:rPr>
            </w:pPr>
          </w:p>
        </w:tc>
        <w:tc>
          <w:tcPr>
            <w:tcW w:w="920" w:type="dxa"/>
            <w:vAlign w:val="bottom"/>
            <w:gridSpan w:val="3"/>
            <w:shd w:val="clear" w:color="auto" w:fill="D1EDF4"/>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shd w:val="clear" w:color="auto" w:fill="D1EDF4"/>
          </w:tcPr>
          <w:p>
            <w:pPr>
              <w:jc w:val="right"/>
              <w:spacing w:after="0"/>
              <w:rPr>
                <w:sz w:val="20"/>
                <w:szCs w:val="20"/>
                <w:color w:val="auto"/>
              </w:rPr>
            </w:pPr>
            <w:r>
              <w:rPr>
                <w:rFonts w:ascii="Arial" w:cs="Arial" w:eastAsia="Arial" w:hAnsi="Arial"/>
                <w:sz w:val="16"/>
                <w:szCs w:val="16"/>
                <w:color w:val="auto"/>
              </w:rPr>
              <w:t>250,555</w:t>
            </w:r>
          </w:p>
        </w:tc>
        <w:tc>
          <w:tcPr>
            <w:tcW w:w="140" w:type="dxa"/>
            <w:vAlign w:val="bottom"/>
            <w:shd w:val="clear" w:color="auto" w:fill="D1EDF4"/>
          </w:tcPr>
          <w:p>
            <w:pPr>
              <w:spacing w:after="0"/>
              <w:rPr>
                <w:sz w:val="16"/>
                <w:szCs w:val="16"/>
                <w:color w:val="auto"/>
              </w:rPr>
            </w:pPr>
          </w:p>
        </w:tc>
        <w:tc>
          <w:tcPr>
            <w:tcW w:w="20" w:type="dxa"/>
            <w:vAlign w:val="bottom"/>
            <w:shd w:val="clear" w:color="auto" w:fill="D1EDF4"/>
          </w:tcPr>
          <w:p>
            <w:pPr>
              <w:spacing w:after="0"/>
              <w:rPr>
                <w:sz w:val="16"/>
                <w:szCs w:val="16"/>
                <w:color w:val="auto"/>
              </w:rPr>
            </w:pPr>
          </w:p>
        </w:tc>
        <w:tc>
          <w:tcPr>
            <w:tcW w:w="820" w:type="dxa"/>
            <w:vAlign w:val="bottom"/>
            <w:shd w:val="clear" w:color="auto" w:fill="D1EDF4"/>
          </w:tcPr>
          <w:p>
            <w:pPr>
              <w:jc w:val="right"/>
              <w:spacing w:after="0"/>
              <w:rPr>
                <w:sz w:val="20"/>
                <w:szCs w:val="20"/>
                <w:color w:val="auto"/>
              </w:rPr>
            </w:pPr>
            <w:r>
              <w:rPr>
                <w:rFonts w:ascii="Arial" w:cs="Arial" w:eastAsia="Arial" w:hAnsi="Arial"/>
                <w:sz w:val="16"/>
                <w:szCs w:val="16"/>
                <w:color w:val="auto"/>
              </w:rPr>
              <w:t>(6,315)</w:t>
            </w:r>
          </w:p>
        </w:tc>
        <w:tc>
          <w:tcPr>
            <w:tcW w:w="920" w:type="dxa"/>
            <w:vAlign w:val="bottom"/>
            <w:gridSpan w:val="3"/>
            <w:shd w:val="clear" w:color="auto" w:fill="D1EDF4"/>
          </w:tcPr>
          <w:p>
            <w:pPr>
              <w:jc w:val="right"/>
              <w:spacing w:after="0"/>
              <w:rPr>
                <w:sz w:val="20"/>
                <w:szCs w:val="20"/>
                <w:color w:val="auto"/>
              </w:rPr>
            </w:pPr>
            <w:r>
              <w:rPr>
                <w:rFonts w:ascii="Arial" w:cs="Arial" w:eastAsia="Arial" w:hAnsi="Arial"/>
                <w:sz w:val="16"/>
                <w:szCs w:val="16"/>
                <w:color w:val="auto"/>
              </w:rPr>
              <w:t>(6,315)</w:t>
            </w:r>
          </w:p>
        </w:tc>
        <w:tc>
          <w:tcPr>
            <w:tcW w:w="40" w:type="dxa"/>
            <w:vAlign w:val="bottom"/>
            <w:shd w:val="clear" w:color="auto" w:fill="D1EDF4"/>
          </w:tcPr>
          <w:p>
            <w:pPr>
              <w:spacing w:after="0"/>
              <w:rPr>
                <w:sz w:val="16"/>
                <w:szCs w:val="16"/>
                <w:color w:val="auto"/>
              </w:rPr>
            </w:pPr>
          </w:p>
        </w:tc>
      </w:tr>
      <w:tr>
        <w:trPr>
          <w:trHeight w:val="185"/>
        </w:trPr>
        <w:tc>
          <w:tcPr>
            <w:tcW w:w="4380" w:type="dxa"/>
            <w:vAlign w:val="bottom"/>
            <w:tcBorders>
              <w:bottom w:val="single" w:sz="8" w:color="D1EDF4"/>
            </w:tcBorders>
            <w:gridSpan w:val="2"/>
          </w:tcPr>
          <w:p>
            <w:pPr>
              <w:spacing w:after="0"/>
              <w:rPr>
                <w:sz w:val="20"/>
                <w:szCs w:val="20"/>
                <w:color w:val="auto"/>
              </w:rPr>
            </w:pPr>
            <w:r>
              <w:rPr>
                <w:rFonts w:ascii="Arial" w:cs="Arial" w:eastAsia="Arial" w:hAnsi="Arial"/>
                <w:sz w:val="16"/>
                <w:szCs w:val="16"/>
                <w:color w:val="auto"/>
              </w:rPr>
              <w:t>Net income</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D1EDF4"/>
            </w:tcBorders>
          </w:tcPr>
          <w:p>
            <w:pPr>
              <w:spacing w:after="0"/>
              <w:rPr>
                <w:sz w:val="16"/>
                <w:szCs w:val="16"/>
                <w:color w:val="auto"/>
              </w:rPr>
            </w:pPr>
          </w:p>
        </w:tc>
        <w:tc>
          <w:tcPr>
            <w:tcW w:w="20" w:type="dxa"/>
            <w:vAlign w:val="bottom"/>
            <w:tcBorders>
              <w:bottom w:val="single" w:sz="8" w:color="D1EDF4"/>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D1EDF4"/>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D1EDF4"/>
            </w:tcBorders>
            <w:gridSpan w:val="2"/>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5,207</w:t>
            </w:r>
          </w:p>
        </w:tc>
        <w:tc>
          <w:tcPr>
            <w:tcW w:w="120" w:type="dxa"/>
            <w:vAlign w:val="bottom"/>
            <w:tcBorders>
              <w:bottom w:val="single" w:sz="8" w:color="D1EDF4"/>
            </w:tcBorders>
          </w:tcPr>
          <w:p>
            <w:pPr>
              <w:spacing w:after="0"/>
              <w:rPr>
                <w:sz w:val="16"/>
                <w:szCs w:val="16"/>
                <w:color w:val="auto"/>
              </w:rPr>
            </w:pPr>
          </w:p>
        </w:tc>
        <w:tc>
          <w:tcPr>
            <w:tcW w:w="20" w:type="dxa"/>
            <w:vAlign w:val="bottom"/>
            <w:tcBorders>
              <w:bottom w:val="single" w:sz="8" w:color="D1EDF4"/>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D1EDF4"/>
            </w:tcBorders>
            <w:gridSpan w:val="2"/>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D1EDF4"/>
            </w:tcBorders>
            <w:gridSpan w:val="2"/>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5,207</w:t>
            </w:r>
          </w:p>
        </w:tc>
        <w:tc>
          <w:tcPr>
            <w:tcW w:w="40" w:type="dxa"/>
            <w:vAlign w:val="bottom"/>
          </w:tcPr>
          <w:p>
            <w:pPr>
              <w:spacing w:after="0"/>
              <w:rPr>
                <w:sz w:val="16"/>
                <w:szCs w:val="16"/>
                <w:color w:val="auto"/>
              </w:rPr>
            </w:pPr>
          </w:p>
        </w:tc>
      </w:tr>
      <w:tr>
        <w:trPr>
          <w:trHeight w:val="186"/>
        </w:trPr>
        <w:tc>
          <w:tcPr>
            <w:tcW w:w="4360" w:type="dxa"/>
            <w:vAlign w:val="bottom"/>
            <w:shd w:val="clear" w:color="auto" w:fill="D1EDF4"/>
          </w:tcPr>
          <w:p>
            <w:pPr>
              <w:spacing w:after="0" w:line="176" w:lineRule="exact"/>
              <w:rPr>
                <w:sz w:val="20"/>
                <w:szCs w:val="20"/>
                <w:color w:val="auto"/>
              </w:rPr>
            </w:pPr>
            <w:r>
              <w:rPr>
                <w:rFonts w:ascii="Arial" w:cs="Arial" w:eastAsia="Arial" w:hAnsi="Arial"/>
                <w:sz w:val="16"/>
                <w:szCs w:val="16"/>
                <w:b w:val="1"/>
                <w:bCs w:val="1"/>
                <w:color w:val="auto"/>
              </w:rPr>
              <w:t>Balances — January 31, 2026</w:t>
            </w:r>
          </w:p>
        </w:tc>
        <w:tc>
          <w:tcPr>
            <w:tcW w:w="20" w:type="dxa"/>
            <w:vAlign w:val="bottom"/>
            <w:tcBorders>
              <w:bottom w:val="single" w:sz="8" w:color="auto"/>
            </w:tcBorders>
            <w:shd w:val="clear" w:color="auto" w:fill="D1EDF4"/>
          </w:tcPr>
          <w:p>
            <w:pPr>
              <w:spacing w:after="0"/>
              <w:rPr>
                <w:sz w:val="16"/>
                <w:szCs w:val="16"/>
                <w:color w:val="auto"/>
              </w:rPr>
            </w:pPr>
          </w:p>
        </w:tc>
        <w:tc>
          <w:tcPr>
            <w:tcW w:w="900" w:type="dxa"/>
            <w:vAlign w:val="bottom"/>
            <w:tcBorders>
              <w:bottom w:val="single" w:sz="8" w:color="auto"/>
            </w:tcBorders>
            <w:shd w:val="clear" w:color="auto" w:fill="D1EDF4"/>
          </w:tcPr>
          <w:p>
            <w:pPr>
              <w:jc w:val="right"/>
              <w:spacing w:after="0" w:line="176" w:lineRule="exact"/>
              <w:rPr>
                <w:sz w:val="20"/>
                <w:szCs w:val="20"/>
                <w:color w:val="auto"/>
              </w:rPr>
            </w:pPr>
            <w:r>
              <w:rPr>
                <w:rFonts w:ascii="Arial" w:cs="Arial" w:eastAsia="Arial" w:hAnsi="Arial"/>
                <w:sz w:val="16"/>
                <w:szCs w:val="16"/>
                <w:color w:val="auto"/>
                <w:w w:val="99"/>
              </w:rPr>
              <w:t>16,545,723</w:t>
            </w:r>
          </w:p>
        </w:tc>
        <w:tc>
          <w:tcPr>
            <w:tcW w:w="140" w:type="dxa"/>
            <w:vAlign w:val="bottom"/>
            <w:shd w:val="clear" w:color="auto" w:fill="D1EDF4"/>
          </w:tcPr>
          <w:p>
            <w:pPr>
              <w:spacing w:after="0"/>
              <w:rPr>
                <w:sz w:val="16"/>
                <w:szCs w:val="16"/>
                <w:color w:val="auto"/>
              </w:rPr>
            </w:pPr>
          </w:p>
        </w:tc>
        <w:tc>
          <w:tcPr>
            <w:tcW w:w="200" w:type="dxa"/>
            <w:vAlign w:val="bottom"/>
            <w:tcBorders>
              <w:bottom w:val="single" w:sz="8" w:color="auto"/>
            </w:tcBorders>
            <w:gridSpan w:val="2"/>
            <w:shd w:val="clear" w:color="auto" w:fill="D1EDF4"/>
          </w:tcPr>
          <w:p>
            <w:pPr>
              <w:ind w:left="20"/>
              <w:spacing w:after="0" w:line="176" w:lineRule="exact"/>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D1EDF4"/>
          </w:tcPr>
          <w:p>
            <w:pPr>
              <w:jc w:val="right"/>
              <w:spacing w:after="0" w:line="176" w:lineRule="exact"/>
              <w:rPr>
                <w:sz w:val="20"/>
                <w:szCs w:val="20"/>
                <w:color w:val="auto"/>
              </w:rPr>
            </w:pPr>
            <w:r>
              <w:rPr>
                <w:rFonts w:ascii="Arial" w:cs="Arial" w:eastAsia="Arial" w:hAnsi="Arial"/>
                <w:sz w:val="16"/>
                <w:szCs w:val="16"/>
                <w:color w:val="auto"/>
              </w:rPr>
              <w:t>163</w:t>
            </w:r>
          </w:p>
        </w:tc>
        <w:tc>
          <w:tcPr>
            <w:tcW w:w="160" w:type="dxa"/>
            <w:vAlign w:val="bottom"/>
            <w:shd w:val="clear" w:color="auto" w:fill="D1EDF4"/>
          </w:tcPr>
          <w:p>
            <w:pPr>
              <w:spacing w:after="0"/>
              <w:rPr>
                <w:sz w:val="16"/>
                <w:szCs w:val="16"/>
                <w:color w:val="auto"/>
              </w:rPr>
            </w:pPr>
          </w:p>
        </w:tc>
        <w:tc>
          <w:tcPr>
            <w:tcW w:w="780" w:type="dxa"/>
            <w:vAlign w:val="bottom"/>
            <w:tcBorders>
              <w:bottom w:val="single" w:sz="8" w:color="auto"/>
            </w:tcBorders>
            <w:shd w:val="clear" w:color="auto" w:fill="D1EDF4"/>
          </w:tcPr>
          <w:p>
            <w:pPr>
              <w:jc w:val="right"/>
              <w:spacing w:after="0" w:line="176" w:lineRule="exact"/>
              <w:rPr>
                <w:sz w:val="20"/>
                <w:szCs w:val="20"/>
                <w:color w:val="auto"/>
              </w:rPr>
            </w:pPr>
            <w:r>
              <w:rPr>
                <w:rFonts w:ascii="Arial" w:cs="Arial" w:eastAsia="Arial" w:hAnsi="Arial"/>
                <w:sz w:val="16"/>
                <w:szCs w:val="16"/>
                <w:color w:val="auto"/>
                <w:w w:val="98"/>
              </w:rPr>
              <w:t>$ 112,352</w:t>
            </w:r>
          </w:p>
        </w:tc>
        <w:tc>
          <w:tcPr>
            <w:tcW w:w="120" w:type="dxa"/>
            <w:vAlign w:val="bottom"/>
            <w:shd w:val="clear" w:color="auto" w:fill="D1EDF4"/>
          </w:tcPr>
          <w:p>
            <w:pPr>
              <w:spacing w:after="0"/>
              <w:rPr>
                <w:sz w:val="16"/>
                <w:szCs w:val="16"/>
                <w:color w:val="auto"/>
              </w:rPr>
            </w:pPr>
          </w:p>
        </w:tc>
        <w:tc>
          <w:tcPr>
            <w:tcW w:w="800" w:type="dxa"/>
            <w:vAlign w:val="bottom"/>
            <w:tcBorders>
              <w:bottom w:val="single" w:sz="8" w:color="auto"/>
            </w:tcBorders>
            <w:gridSpan w:val="2"/>
            <w:shd w:val="clear" w:color="auto" w:fill="D1EDF4"/>
          </w:tcPr>
          <w:p>
            <w:pPr>
              <w:jc w:val="right"/>
              <w:spacing w:after="0" w:line="176" w:lineRule="exact"/>
              <w:rPr>
                <w:sz w:val="20"/>
                <w:szCs w:val="20"/>
                <w:color w:val="auto"/>
              </w:rPr>
            </w:pPr>
            <w:r>
              <w:rPr>
                <w:rFonts w:ascii="Arial" w:cs="Arial" w:eastAsia="Arial" w:hAnsi="Arial"/>
                <w:sz w:val="16"/>
                <w:szCs w:val="16"/>
                <w:color w:val="auto"/>
              </w:rPr>
              <w:t>$ 281,108</w:t>
            </w:r>
          </w:p>
        </w:tc>
        <w:tc>
          <w:tcPr>
            <w:tcW w:w="120" w:type="dxa"/>
            <w:vAlign w:val="bottom"/>
            <w:shd w:val="clear" w:color="auto" w:fill="D1EDF4"/>
          </w:tcPr>
          <w:p>
            <w:pPr>
              <w:spacing w:after="0"/>
              <w:rPr>
                <w:sz w:val="16"/>
                <w:szCs w:val="16"/>
                <w:color w:val="auto"/>
              </w:rPr>
            </w:pPr>
          </w:p>
        </w:tc>
        <w:tc>
          <w:tcPr>
            <w:tcW w:w="20" w:type="dxa"/>
            <w:vAlign w:val="bottom"/>
            <w:tcBorders>
              <w:bottom w:val="single" w:sz="8" w:color="auto"/>
            </w:tcBorders>
            <w:shd w:val="clear" w:color="auto" w:fill="D1EDF4"/>
          </w:tcPr>
          <w:p>
            <w:pPr>
              <w:spacing w:after="0"/>
              <w:rPr>
                <w:sz w:val="16"/>
                <w:szCs w:val="16"/>
                <w:color w:val="auto"/>
              </w:rPr>
            </w:pPr>
          </w:p>
        </w:tc>
        <w:tc>
          <w:tcPr>
            <w:tcW w:w="820" w:type="dxa"/>
            <w:vAlign w:val="bottom"/>
            <w:tcBorders>
              <w:bottom w:val="single" w:sz="8" w:color="auto"/>
            </w:tcBorders>
            <w:shd w:val="clear" w:color="auto" w:fill="D1EDF4"/>
          </w:tcPr>
          <w:p>
            <w:pPr>
              <w:jc w:val="right"/>
              <w:spacing w:after="0" w:line="176" w:lineRule="exact"/>
              <w:rPr>
                <w:sz w:val="20"/>
                <w:szCs w:val="20"/>
                <w:color w:val="auto"/>
              </w:rPr>
            </w:pPr>
            <w:r>
              <w:rPr>
                <w:rFonts w:ascii="Arial" w:cs="Arial" w:eastAsia="Arial" w:hAnsi="Arial"/>
                <w:sz w:val="16"/>
                <w:szCs w:val="16"/>
                <w:color w:val="auto"/>
              </w:rPr>
              <w:t>8,199,806</w:t>
            </w:r>
          </w:p>
        </w:tc>
        <w:tc>
          <w:tcPr>
            <w:tcW w:w="140" w:type="dxa"/>
            <w:vAlign w:val="bottom"/>
            <w:shd w:val="clear" w:color="auto" w:fill="D1EDF4"/>
          </w:tcPr>
          <w:p>
            <w:pPr>
              <w:spacing w:after="0"/>
              <w:rPr>
                <w:sz w:val="16"/>
                <w:szCs w:val="16"/>
                <w:color w:val="auto"/>
              </w:rPr>
            </w:pPr>
          </w:p>
        </w:tc>
        <w:tc>
          <w:tcPr>
            <w:tcW w:w="20" w:type="dxa"/>
            <w:vAlign w:val="bottom"/>
            <w:tcBorders>
              <w:bottom w:val="single" w:sz="8" w:color="auto"/>
            </w:tcBorders>
            <w:shd w:val="clear" w:color="auto" w:fill="D1EDF4"/>
          </w:tcPr>
          <w:p>
            <w:pPr>
              <w:spacing w:after="0"/>
              <w:rPr>
                <w:sz w:val="16"/>
                <w:szCs w:val="16"/>
                <w:color w:val="auto"/>
              </w:rPr>
            </w:pPr>
          </w:p>
        </w:tc>
        <w:tc>
          <w:tcPr>
            <w:tcW w:w="820" w:type="dxa"/>
            <w:vAlign w:val="bottom"/>
            <w:tcBorders>
              <w:bottom w:val="single" w:sz="8" w:color="auto"/>
            </w:tcBorders>
            <w:shd w:val="clear" w:color="auto" w:fill="D1EDF4"/>
          </w:tcPr>
          <w:p>
            <w:pPr>
              <w:jc w:val="right"/>
              <w:spacing w:after="0" w:line="176" w:lineRule="exact"/>
              <w:rPr>
                <w:sz w:val="20"/>
                <w:szCs w:val="20"/>
                <w:color w:val="auto"/>
              </w:rPr>
            </w:pPr>
            <w:r>
              <w:rPr>
                <w:rFonts w:ascii="Arial" w:cs="Arial" w:eastAsia="Arial" w:hAnsi="Arial"/>
                <w:sz w:val="16"/>
                <w:szCs w:val="16"/>
                <w:color w:val="auto"/>
                <w:w w:val="97"/>
                <w:shd w:val="clear" w:color="auto" w:fill="D1EDF4"/>
              </w:rPr>
              <w:t>$ (277,303)</w:t>
            </w:r>
          </w:p>
        </w:tc>
        <w:tc>
          <w:tcPr>
            <w:tcW w:w="120" w:type="dxa"/>
            <w:vAlign w:val="bottom"/>
            <w:shd w:val="clear" w:color="auto" w:fill="D1EDF4"/>
          </w:tcPr>
          <w:p>
            <w:pPr>
              <w:spacing w:after="0"/>
              <w:rPr>
                <w:sz w:val="16"/>
                <w:szCs w:val="16"/>
                <w:color w:val="auto"/>
              </w:rPr>
            </w:pPr>
          </w:p>
        </w:tc>
        <w:tc>
          <w:tcPr>
            <w:tcW w:w="800" w:type="dxa"/>
            <w:vAlign w:val="bottom"/>
            <w:tcBorders>
              <w:bottom w:val="single" w:sz="8" w:color="auto"/>
            </w:tcBorders>
            <w:gridSpan w:val="2"/>
            <w:shd w:val="clear" w:color="auto" w:fill="D1EDF4"/>
          </w:tcPr>
          <w:p>
            <w:pPr>
              <w:jc w:val="right"/>
              <w:spacing w:after="0" w:line="176" w:lineRule="exact"/>
              <w:rPr>
                <w:sz w:val="20"/>
                <w:szCs w:val="20"/>
                <w:color w:val="auto"/>
              </w:rPr>
            </w:pPr>
            <w:r>
              <w:rPr>
                <w:rFonts w:ascii="Arial" w:cs="Arial" w:eastAsia="Arial" w:hAnsi="Arial"/>
                <w:sz w:val="16"/>
                <w:szCs w:val="16"/>
                <w:color w:val="auto"/>
                <w:shd w:val="clear" w:color="auto" w:fill="D1EDF4"/>
              </w:rPr>
              <w:t>$ 116,320</w:t>
            </w:r>
          </w:p>
        </w:tc>
        <w:tc>
          <w:tcPr>
            <w:tcW w:w="40" w:type="dxa"/>
            <w:vAlign w:val="bottom"/>
            <w:shd w:val="clear" w:color="auto" w:fill="D1EDF4"/>
          </w:tcPr>
          <w:p>
            <w:pPr>
              <w:spacing w:after="0"/>
              <w:rPr>
                <w:sz w:val="16"/>
                <w:szCs w:val="16"/>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6829425</wp:posOffset>
                </wp:positionH>
                <wp:positionV relativeFrom="paragraph">
                  <wp:posOffset>-3099435</wp:posOffset>
                </wp:positionV>
                <wp:extent cx="28575" cy="12065"/>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575" cy="12065"/>
                        </a:xfrm>
                        <a:prstGeom prst="rect">
                          <a:avLst/>
                        </a:prstGeom>
                        <a:solidFill>
                          <a:srgbClr val="D1EDF4"/>
                        </a:solidFill>
                      </wps:spPr>
                      <wps:bodyPr/>
                    </wps:wsp>
                  </a:graphicData>
                </a:graphic>
              </wp:anchor>
            </w:drawing>
          </mc:Choice>
          <mc:Fallback>
            <w:pict>
              <v:rect id="Shape 6" o:spid="_x0000_s1031" style="position:absolute;margin-left:537.75pt;margin-top:-244.0499pt;width:2.2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6829425</wp:posOffset>
                </wp:positionH>
                <wp:positionV relativeFrom="paragraph">
                  <wp:posOffset>-2272030</wp:posOffset>
                </wp:positionV>
                <wp:extent cx="28575" cy="1270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575" cy="12700"/>
                        </a:xfrm>
                        <a:prstGeom prst="rect">
                          <a:avLst/>
                        </a:prstGeom>
                        <a:solidFill>
                          <a:srgbClr val="D1EDF4"/>
                        </a:solidFill>
                      </wps:spPr>
                      <wps:bodyPr/>
                    </wps:wsp>
                  </a:graphicData>
                </a:graphic>
              </wp:anchor>
            </w:drawing>
          </mc:Choice>
          <mc:Fallback>
            <w:pict>
              <v:rect id="Shape 7" o:spid="_x0000_s1032" style="position:absolute;margin-left:537.75pt;margin-top:-178.8999pt;width:2.2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6829425</wp:posOffset>
                </wp:positionH>
                <wp:positionV relativeFrom="paragraph">
                  <wp:posOffset>-1209040</wp:posOffset>
                </wp:positionV>
                <wp:extent cx="28575" cy="12065"/>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575" cy="12065"/>
                        </a:xfrm>
                        <a:prstGeom prst="rect">
                          <a:avLst/>
                        </a:prstGeom>
                        <a:solidFill>
                          <a:srgbClr val="D1EDF4"/>
                        </a:solidFill>
                      </wps:spPr>
                      <wps:bodyPr/>
                    </wps:wsp>
                  </a:graphicData>
                </a:graphic>
              </wp:anchor>
            </w:drawing>
          </mc:Choice>
          <mc:Fallback>
            <w:pict>
              <v:rect id="Shape 8" o:spid="_x0000_s1033" style="position:absolute;margin-left:537.75pt;margin-top:-95.1999pt;width:2.2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6829425</wp:posOffset>
                </wp:positionH>
                <wp:positionV relativeFrom="paragraph">
                  <wp:posOffset>-146050</wp:posOffset>
                </wp:positionV>
                <wp:extent cx="28575" cy="12065"/>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575" cy="12065"/>
                        </a:xfrm>
                        <a:prstGeom prst="rect">
                          <a:avLst/>
                        </a:prstGeom>
                        <a:solidFill>
                          <a:srgbClr val="D1EDF4"/>
                        </a:solidFill>
                      </wps:spPr>
                      <wps:bodyPr/>
                    </wps:wsp>
                  </a:graphicData>
                </a:graphic>
              </wp:anchor>
            </w:drawing>
          </mc:Choice>
          <mc:Fallback>
            <w:pict>
              <v:rect id="Shape 9" o:spid="_x0000_s1034" style="position:absolute;margin-left:537.75pt;margin-top:-11.4999pt;width:2.2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color w:val="auto"/>
        </w:rPr>
        <w:t>See accompanying notes to consolidated financial statements.</w:t>
      </w:r>
    </w:p>
    <w:p>
      <w:pPr>
        <w:sectPr>
          <w:pgSz w:w="11880" w:h="15480" w:orient="portrait"/>
          <w:cols w:equalWidth="0" w:num="1">
            <w:col w:w="10800"/>
          </w:cols>
          <w:pgMar w:left="540" w:top="804" w:right="540" w:bottom="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ectPr>
          <w:pgSz w:w="11880" w:h="15480" w:orient="portrait"/>
          <w:cols w:equalWidth="0" w:num="1">
            <w:col w:w="10800"/>
          </w:cols>
          <w:pgMar w:left="540" w:top="804" w:right="540" w:bottom="16" w:gutter="0" w:footer="0" w:header="0"/>
          <w:type w:val="continuous"/>
        </w:sectPr>
      </w:pPr>
    </w:p>
    <w:bookmarkStart w:id="36" w:name="page37"/>
    <w:bookmarkEnd w:id="36"/>
    <w:p>
      <w:pPr>
        <w:jc w:val="center"/>
        <w:spacing w:after="0"/>
        <w:rPr>
          <w:sz w:val="20"/>
          <w:szCs w:val="20"/>
          <w:color w:val="auto"/>
        </w:rPr>
      </w:pPr>
      <w:r>
        <w:rPr>
          <w:rFonts w:ascii="Arial" w:cs="Arial" w:eastAsia="Arial" w:hAnsi="Arial"/>
          <w:sz w:val="19"/>
          <w:szCs w:val="19"/>
          <w:b w:val="1"/>
          <w:bCs w:val="1"/>
          <w:color w:val="auto"/>
        </w:rPr>
        <w:t>Citi Trends, Inc.</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 Organization and Business</w:t>
      </w:r>
    </w:p>
    <w:p>
      <w:pPr>
        <w:spacing w:after="0" w:line="164" w:lineRule="exact"/>
        <w:rPr>
          <w:sz w:val="20"/>
          <w:szCs w:val="20"/>
          <w:color w:val="auto"/>
        </w:rPr>
      </w:pPr>
    </w:p>
    <w:p>
      <w:pPr>
        <w:jc w:val="both"/>
        <w:ind w:right="480"/>
        <w:spacing w:after="0" w:line="260" w:lineRule="auto"/>
        <w:rPr>
          <w:sz w:val="20"/>
          <w:szCs w:val="20"/>
          <w:color w:val="auto"/>
        </w:rPr>
      </w:pPr>
      <w:r>
        <w:rPr>
          <w:rFonts w:ascii="Arial" w:cs="Arial" w:eastAsia="Arial" w:hAnsi="Arial"/>
          <w:sz w:val="19"/>
          <w:szCs w:val="19"/>
          <w:color w:val="auto"/>
        </w:rPr>
        <w:t>Citi Trends, Inc. and its subsidiary (the “Company”) is the leading off- price value retailer of apparel, accessories and home trends primarily for Black families in the United States. As of January 31, 2026, the Company operated 590 stores in urban, suburban and rural markets in 33 states.</w:t>
      </w:r>
    </w:p>
    <w:p>
      <w:pPr>
        <w:spacing w:after="0" w:line="1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2. Summary of Significant Accounting Policies</w:t>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Principles of Consolidation</w:t>
      </w:r>
    </w:p>
    <w:p>
      <w:pPr>
        <w:spacing w:after="0" w:line="156" w:lineRule="exact"/>
        <w:rPr>
          <w:sz w:val="20"/>
          <w:szCs w:val="20"/>
          <w:color w:val="auto"/>
        </w:rPr>
      </w:pPr>
    </w:p>
    <w:p>
      <w:pPr>
        <w:ind w:right="220"/>
        <w:spacing w:after="0" w:line="281" w:lineRule="auto"/>
        <w:rPr>
          <w:sz w:val="20"/>
          <w:szCs w:val="20"/>
          <w:color w:val="auto"/>
        </w:rPr>
      </w:pPr>
      <w:r>
        <w:rPr>
          <w:rFonts w:ascii="Arial" w:cs="Arial" w:eastAsia="Arial" w:hAnsi="Arial"/>
          <w:sz w:val="19"/>
          <w:szCs w:val="19"/>
          <w:color w:val="auto"/>
        </w:rPr>
        <w:t>The consolidated financial statements include the accounts of the Company and its wholly owned subsidiary. All intercompany transactions and balances have been eliminated in consolidation.</w:t>
      </w:r>
    </w:p>
    <w:p>
      <w:pPr>
        <w:spacing w:after="0" w:line="9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Fiscal Year</w:t>
      </w:r>
    </w:p>
    <w:p>
      <w:pPr>
        <w:spacing w:after="0" w:line="156" w:lineRule="exact"/>
        <w:rPr>
          <w:sz w:val="20"/>
          <w:szCs w:val="20"/>
          <w:color w:val="auto"/>
        </w:rPr>
      </w:pPr>
    </w:p>
    <w:p>
      <w:pPr>
        <w:spacing w:after="0" w:line="253" w:lineRule="auto"/>
        <w:rPr>
          <w:sz w:val="20"/>
          <w:szCs w:val="20"/>
          <w:color w:val="auto"/>
        </w:rPr>
      </w:pPr>
      <w:r>
        <w:rPr>
          <w:rFonts w:ascii="Arial" w:cs="Arial" w:eastAsia="Arial" w:hAnsi="Arial"/>
          <w:sz w:val="19"/>
          <w:szCs w:val="19"/>
          <w:color w:val="auto"/>
        </w:rPr>
        <w:t>The Company’s fiscal year ends on the Saturday closest to January 31 of each year. The years ended January 31, 2026, February 1, 2025 and February 3, 2024 are referred to as fiscal 2025, fiscal 2024 and fiscal 2023, respectively, in the accompanying consolidated financial statements. Fiscal years 2025 and 2024 have a 52-week accounting period, and fiscal year 2023 is comprised of 53 weeks.</w:t>
      </w:r>
    </w:p>
    <w:p>
      <w:pPr>
        <w:spacing w:after="0" w:line="11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Use of Estimates</w:t>
      </w:r>
    </w:p>
    <w:p>
      <w:pPr>
        <w:spacing w:after="0" w:line="156" w:lineRule="exact"/>
        <w:rPr>
          <w:sz w:val="20"/>
          <w:szCs w:val="20"/>
          <w:color w:val="auto"/>
        </w:rPr>
      </w:pPr>
    </w:p>
    <w:p>
      <w:pPr>
        <w:ind w:right="160"/>
        <w:spacing w:after="0" w:line="260" w:lineRule="auto"/>
        <w:rPr>
          <w:sz w:val="20"/>
          <w:szCs w:val="20"/>
          <w:color w:val="auto"/>
        </w:rPr>
      </w:pPr>
      <w:r>
        <w:rPr>
          <w:rFonts w:ascii="Arial" w:cs="Arial" w:eastAsia="Arial" w:hAnsi="Arial"/>
          <w:sz w:val="19"/>
          <w:szCs w:val="19"/>
          <w:color w:val="auto"/>
        </w:rPr>
        <w:t>The preparation of financial statements in conformity with accounting principles generally accepted in the United States of America (“U.S. GAAP”) requires management to make estimates and apply judgments that affect the reported amounts. Actual results could differ from those estimates.</w:t>
      </w:r>
    </w:p>
    <w:p>
      <w:pPr>
        <w:spacing w:after="0" w:line="105"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The most significant estimates include those used in the valuation of inventory, property and equipment, self-insurance liabilities, leases and income taxes. Management periodically evaluates estimates used in the preparation of the consolidated financial statements for continued reasonableness. Appropriate adjustments, if any, to the estimates used are made prospectively.</w:t>
      </w:r>
    </w:p>
    <w:p>
      <w:pPr>
        <w:spacing w:after="0" w:line="9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Cash and Cash Equivalents/Concentration of Credit Risk</w:t>
      </w:r>
    </w:p>
    <w:p>
      <w:pPr>
        <w:spacing w:after="0" w:line="154" w:lineRule="exact"/>
        <w:rPr>
          <w:sz w:val="20"/>
          <w:szCs w:val="20"/>
          <w:color w:val="auto"/>
        </w:rPr>
      </w:pPr>
    </w:p>
    <w:p>
      <w:pPr>
        <w:ind w:right="20"/>
        <w:spacing w:after="0" w:line="250" w:lineRule="auto"/>
        <w:rPr>
          <w:sz w:val="20"/>
          <w:szCs w:val="20"/>
          <w:color w:val="auto"/>
        </w:rPr>
      </w:pPr>
      <w:r>
        <w:rPr>
          <w:rFonts w:ascii="Arial" w:cs="Arial" w:eastAsia="Arial" w:hAnsi="Arial"/>
          <w:sz w:val="19"/>
          <w:szCs w:val="19"/>
          <w:color w:val="auto"/>
        </w:rPr>
        <w:t>For purposes of the consolidated balance sheets and consolidated statements of cash flows, the Company considers all highly liquid investments with maturities at date of purchase of three months or less to be cash equivalents. Financial instruments that potentially subject the Company to a concentration of credit risk consist principally of cash and cash equivalents. The Company places its cash and cash equivalents in what it believes to be high credit quality banks and institutional money market funds. The Company maintains cash accounts that exceed federally insured limits.</w:t>
      </w:r>
    </w:p>
    <w:p>
      <w:pPr>
        <w:spacing w:after="0" w:line="12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Inventory</w:t>
      </w:r>
    </w:p>
    <w:p>
      <w:pPr>
        <w:spacing w:after="0" w:line="154"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color w:val="auto"/>
        </w:rPr>
        <w:t>Inventory is stated at the lower of cost (first- in, first-out basis) or net realizable value as determined by the retail inventory method for store inventory and the average cost method for distribution center inventory. Under the retail inventory method, the cost of inventory is determined by calculating a cost-to-retail ratio and applying it to the retail value of inventory. Merchandise markdowns are reflected in the inventory valuation when the retail price of an item is lowered in the stores. Inventory is recorded net of an allowance for shrink based on the most recent physical inventory counts and other assumptions for shrink activity.</w:t>
      </w:r>
    </w:p>
    <w:p>
      <w:pPr>
        <w:spacing w:after="0" w:line="10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Property and Equipment, net</w:t>
      </w:r>
    </w:p>
    <w:p>
      <w:pPr>
        <w:spacing w:after="0" w:line="154" w:lineRule="exact"/>
        <w:rPr>
          <w:sz w:val="20"/>
          <w:szCs w:val="20"/>
          <w:color w:val="auto"/>
        </w:rPr>
      </w:pPr>
    </w:p>
    <w:p>
      <w:pPr>
        <w:jc w:val="both"/>
        <w:ind w:right="120"/>
        <w:spacing w:after="0" w:line="253" w:lineRule="auto"/>
        <w:rPr>
          <w:sz w:val="20"/>
          <w:szCs w:val="20"/>
          <w:color w:val="auto"/>
        </w:rPr>
      </w:pPr>
      <w:r>
        <w:rPr>
          <w:rFonts w:ascii="Arial" w:cs="Arial" w:eastAsia="Arial" w:hAnsi="Arial"/>
          <w:sz w:val="19"/>
          <w:szCs w:val="19"/>
          <w:color w:val="auto"/>
        </w:rPr>
        <w:t>Property and equipment, net are stated at cost less accumulated depreciation. Depreciation is computed using the straight-line method over the lesser of the estimated useful lives (primarily three to five years for computer equipment and furniture, fixtures and equipment, seven years for major purchased software systems, ten years for leasehold improvements and fifteen to twenty years for buildings and building improvements) of the related assets or the relevant lease term.</w:t>
      </w:r>
    </w:p>
    <w:p>
      <w:pPr>
        <w:sectPr>
          <w:pgSz w:w="11880" w:h="15480" w:orient="portrait"/>
          <w:cols w:equalWidth="0" w:num="1">
            <w:col w:w="10800"/>
          </w:cols>
          <w:pgMar w:left="540" w:top="804" w:right="540" w:bottom="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ectPr>
          <w:pgSz w:w="11880" w:h="15480" w:orient="portrait"/>
          <w:cols w:equalWidth="0" w:num="1">
            <w:col w:w="10800"/>
          </w:cols>
          <w:pgMar w:left="540" w:top="804" w:right="540" w:bottom="16" w:gutter="0" w:footer="0" w:header="0"/>
          <w:type w:val="continuous"/>
        </w:sectPr>
      </w:pPr>
    </w:p>
    <w:bookmarkStart w:id="37" w:name="page38"/>
    <w:bookmarkEnd w:id="37"/>
    <w:p>
      <w:pPr>
        <w:spacing w:after="0"/>
        <w:rPr>
          <w:sz w:val="20"/>
          <w:szCs w:val="20"/>
          <w:color w:val="auto"/>
        </w:rPr>
      </w:pPr>
      <w:r>
        <w:rPr>
          <w:rFonts w:ascii="Arial" w:cs="Arial" w:eastAsia="Arial" w:hAnsi="Arial"/>
          <w:sz w:val="19"/>
          <w:szCs w:val="19"/>
          <w:b w:val="1"/>
          <w:bCs w:val="1"/>
          <w:i w:val="1"/>
          <w:iCs w:val="1"/>
          <w:color w:val="auto"/>
        </w:rPr>
        <w:t>Impairment of Long-Lived Assets</w:t>
      </w:r>
    </w:p>
    <w:p>
      <w:pPr>
        <w:spacing w:after="0" w:line="154" w:lineRule="exact"/>
        <w:rPr>
          <w:sz w:val="20"/>
          <w:szCs w:val="20"/>
          <w:color w:val="auto"/>
        </w:rPr>
      </w:pPr>
    </w:p>
    <w:p>
      <w:pPr>
        <w:ind w:right="180"/>
        <w:spacing w:after="0" w:line="247" w:lineRule="auto"/>
        <w:rPr>
          <w:sz w:val="20"/>
          <w:szCs w:val="20"/>
          <w:color w:val="auto"/>
        </w:rPr>
      </w:pPr>
      <w:r>
        <w:rPr>
          <w:rFonts w:ascii="Arial" w:cs="Arial" w:eastAsia="Arial" w:hAnsi="Arial"/>
          <w:sz w:val="19"/>
          <w:szCs w:val="19"/>
          <w:color w:val="auto"/>
        </w:rPr>
        <w:t>If facts and circumstances indicate that a long-lived asset may be impaired, the carrying value is reviewed. If this review indicates that the carrying value of the asset group will not be recovered as determined based on projected undiscounted cash flows expected to be generated by that asset, the carrying value of the asset is reduced to its estimated fair value. There was non-cash impairment expense in fiscal 2025 of $0.6 million consisting of $ 0.3 million for leasehold improvements and fixtures and equipment at underperforming stores, and $0.3 million for right of use assets. There was non -cash impairment expense in fiscal year 2024 of $2.5 million consisting of $1.2 million for leasehold improvements and fixtures and equipment at an underperforming store, and $1.3 million for a right of use asset.</w:t>
      </w:r>
    </w:p>
    <w:p>
      <w:pPr>
        <w:spacing w:after="0" w:line="12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Insurance Liabilities</w:t>
      </w:r>
    </w:p>
    <w:p>
      <w:pPr>
        <w:spacing w:after="0" w:line="156" w:lineRule="exact"/>
        <w:rPr>
          <w:sz w:val="20"/>
          <w:szCs w:val="20"/>
          <w:color w:val="auto"/>
        </w:rPr>
      </w:pPr>
    </w:p>
    <w:p>
      <w:pPr>
        <w:ind w:right="80"/>
        <w:spacing w:after="0" w:line="245" w:lineRule="auto"/>
        <w:rPr>
          <w:sz w:val="20"/>
          <w:szCs w:val="20"/>
          <w:color w:val="auto"/>
        </w:rPr>
      </w:pPr>
      <w:r>
        <w:rPr>
          <w:rFonts w:ascii="Arial" w:cs="Arial" w:eastAsia="Arial" w:hAnsi="Arial"/>
          <w:sz w:val="19"/>
          <w:szCs w:val="19"/>
          <w:color w:val="auto"/>
        </w:rPr>
        <w:t>The Company is largely self-insured for workers’ compensation costs, general liability claims. The Company’s self-insured retention or deductible, as applicable, for each claim involving workers’ compensation and general liability is limited to $ 250,000 and $250,000 respectively. Self-insurance liabilities are based on the total estimated costs of claims filed and estimates of claims incurred but not reported, less amounts paid against such claims. Current and historical claims data, together with information from actuarial studies, are used in developing the estimates. The insurance liabilities that are recorded are primarily influenced by the frequency and severity of claims and the Company’s growth. If the underlying facts and circumstances related to the claims change, then the Company may be required to record more or less expense which could be material in relation to results of operations.</w:t>
      </w:r>
    </w:p>
    <w:p>
      <w:pPr>
        <w:spacing w:after="0" w:line="12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Stock-Based Compensation</w:t>
      </w:r>
    </w:p>
    <w:p>
      <w:pPr>
        <w:spacing w:after="0" w:line="156" w:lineRule="exact"/>
        <w:rPr>
          <w:sz w:val="20"/>
          <w:szCs w:val="20"/>
          <w:color w:val="auto"/>
        </w:rPr>
      </w:pPr>
    </w:p>
    <w:p>
      <w:pPr>
        <w:ind w:right="160"/>
        <w:spacing w:after="0" w:line="250" w:lineRule="auto"/>
        <w:rPr>
          <w:sz w:val="20"/>
          <w:szCs w:val="20"/>
          <w:color w:val="auto"/>
        </w:rPr>
      </w:pPr>
      <w:r>
        <w:rPr>
          <w:rFonts w:ascii="Arial" w:cs="Arial" w:eastAsia="Arial" w:hAnsi="Arial"/>
          <w:sz w:val="19"/>
          <w:szCs w:val="19"/>
          <w:color w:val="auto"/>
        </w:rPr>
        <w:t>The Company recognizes compensation expense associated with all nonvested restricted stock and performance-based restricted stock units based on the grant-date fair value of each award. The fair value of the awards is calculated based on the stock price on the grant date, incorporating an analysis of the performance measure where applicable. Compensation expense is recognized ratably over the requisite service period. See Note 6 for additional information on the Company’s stock-based compensation plans.</w:t>
      </w: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Revenue Recognition</w:t>
      </w:r>
    </w:p>
    <w:p>
      <w:pPr>
        <w:spacing w:after="0" w:line="156" w:lineRule="exact"/>
        <w:rPr>
          <w:sz w:val="20"/>
          <w:szCs w:val="20"/>
          <w:color w:val="auto"/>
        </w:rPr>
      </w:pPr>
    </w:p>
    <w:p>
      <w:pPr>
        <w:ind w:right="80"/>
        <w:spacing w:after="0" w:line="245" w:lineRule="auto"/>
        <w:rPr>
          <w:sz w:val="20"/>
          <w:szCs w:val="20"/>
          <w:color w:val="auto"/>
        </w:rPr>
      </w:pPr>
      <w:r>
        <w:rPr>
          <w:rFonts w:ascii="Arial" w:cs="Arial" w:eastAsia="Arial" w:hAnsi="Arial"/>
          <w:sz w:val="19"/>
          <w:szCs w:val="19"/>
          <w:color w:val="auto"/>
        </w:rPr>
        <w:t>The Company’s primary source of revenue is derived from the sale of apparel, accessories and home goods to its customers with the Company’s performance obligations satisfied at the point of sale when the customer pays for their purchase and receives the merchandise. Sales taxes collected by the Company from customers are excluded from revenue. Revenue from layaway sales is recognized at the point in time when the merchandise is paid for and control of the goods is transferred to the customer, thereby satisfying the Company’s performance obligation. The Company defers revenue from the sale of gift cards and recognizes the associated revenue upon the redemption of the cards by customers to purchase merchandise. Breakage on gift cards is minimal as the cards are generally subject to escheat regulations of the state in which the gift card subsidiary is located.</w:t>
      </w:r>
    </w:p>
    <w:p>
      <w:pPr>
        <w:spacing w:after="0" w:line="13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Sales Returns</w:t>
      </w:r>
    </w:p>
    <w:p>
      <w:pPr>
        <w:spacing w:after="0" w:line="150" w:lineRule="exact"/>
        <w:rPr>
          <w:sz w:val="20"/>
          <w:szCs w:val="20"/>
          <w:color w:val="auto"/>
        </w:rPr>
      </w:pPr>
    </w:p>
    <w:p>
      <w:pPr>
        <w:spacing w:after="0" w:line="250" w:lineRule="auto"/>
        <w:rPr>
          <w:sz w:val="20"/>
          <w:szCs w:val="20"/>
          <w:color w:val="auto"/>
        </w:rPr>
      </w:pPr>
      <w:r>
        <w:rPr>
          <w:rFonts w:ascii="Arial" w:cs="Arial" w:eastAsia="Arial" w:hAnsi="Arial"/>
          <w:sz w:val="19"/>
          <w:szCs w:val="19"/>
          <w:color w:val="auto"/>
        </w:rPr>
        <w:t>The Company allows customers to return merchandise for up to thirty days after the date of sale. Expected refunds to customers are recorded based on estimated margin using historical return information. The refund liability for merchandise returns is recorded in accrued expenses on the consolidated balance sheet and totaled $0.1 million and $0.2 million as of January 31, 2026 and February 1, 2025, respectively. The corresponding asset for the recoverable cost of expected refunds is included in prepaid and other current assets and totaled $0.1 million as of both January 31, 2026 and February 1, 2025.</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Disaggregation of Revenue</w:t>
      </w:r>
    </w:p>
    <w:p>
      <w:pPr>
        <w:spacing w:after="0" w:line="150" w:lineRule="exact"/>
        <w:rPr>
          <w:sz w:val="20"/>
          <w:szCs w:val="20"/>
          <w:color w:val="auto"/>
        </w:rPr>
      </w:pPr>
    </w:p>
    <w:p>
      <w:pPr>
        <w:ind w:right="620"/>
        <w:spacing w:after="0" w:line="281" w:lineRule="auto"/>
        <w:rPr>
          <w:sz w:val="20"/>
          <w:szCs w:val="20"/>
          <w:color w:val="auto"/>
        </w:rPr>
      </w:pPr>
      <w:r>
        <w:rPr>
          <w:rFonts w:ascii="Arial" w:cs="Arial" w:eastAsia="Arial" w:hAnsi="Arial"/>
          <w:sz w:val="19"/>
          <w:szCs w:val="19"/>
          <w:color w:val="auto"/>
        </w:rPr>
        <w:t>In the following table, the Company’s revenue is disaggregated by Division or major product category. The following table provides the percentage of net sales for each Division within the merchandise assortment:</w:t>
      </w:r>
    </w:p>
    <w:p>
      <w:pPr>
        <w:spacing w:after="0" w:line="105" w:lineRule="exact"/>
        <w:rPr>
          <w:sz w:val="20"/>
          <w:szCs w:val="20"/>
          <w:color w:val="auto"/>
        </w:rPr>
      </w:pPr>
    </w:p>
    <w:tbl>
      <w:tblPr>
        <w:tblLayout w:type="fixed"/>
        <w:tblInd w:w="1360" w:type="dxa"/>
        <w:tblCellMar>
          <w:top w:w="0" w:type="dxa"/>
          <w:left w:w="0" w:type="dxa"/>
          <w:bottom w:w="0" w:type="dxa"/>
          <w:right w:w="0" w:type="dxa"/>
        </w:tblCellMar>
      </w:tblPr>
      <w:tr>
        <w:trPr>
          <w:trHeight w:val="204"/>
        </w:trPr>
        <w:tc>
          <w:tcPr>
            <w:tcW w:w="5960" w:type="dxa"/>
            <w:vAlign w:val="bottom"/>
            <w:vMerge w:val="restart"/>
          </w:tcPr>
          <w:p>
            <w:pPr>
              <w:spacing w:after="0"/>
              <w:rPr>
                <w:sz w:val="20"/>
                <w:szCs w:val="20"/>
                <w:color w:val="auto"/>
              </w:rPr>
            </w:pPr>
            <w:r>
              <w:rPr>
                <w:rFonts w:ascii="Arial" w:cs="Arial" w:eastAsia="Arial" w:hAnsi="Arial"/>
                <w:sz w:val="19"/>
                <w:szCs w:val="19"/>
                <w:b w:val="1"/>
                <w:bCs w:val="1"/>
                <w:color w:val="auto"/>
              </w:rPr>
              <w:t>Divisions</w:t>
            </w:r>
          </w:p>
        </w:tc>
        <w:tc>
          <w:tcPr>
            <w:tcW w:w="180" w:type="dxa"/>
            <w:vAlign w:val="bottom"/>
            <w:vMerge w:val="restart"/>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9"/>
              </w:rPr>
              <w:t>Fiscal Year</w:t>
            </w:r>
          </w:p>
        </w:tc>
        <w:tc>
          <w:tcPr>
            <w:tcW w:w="42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96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b w:val="1"/>
                <w:bCs w:val="1"/>
                <w:color w:val="auto"/>
                <w:w w:val="95"/>
              </w:rPr>
              <w:t>2025</w:t>
            </w:r>
          </w:p>
        </w:tc>
        <w:tc>
          <w:tcPr>
            <w:tcW w:w="2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b w:val="1"/>
                <w:bCs w:val="1"/>
                <w:color w:val="auto"/>
                <w:w w:val="89"/>
              </w:rPr>
              <w:t>2024</w:t>
            </w:r>
          </w:p>
        </w:tc>
        <w:tc>
          <w:tcPr>
            <w:tcW w:w="2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shd w:val="clear" w:color="auto" w:fill="000000"/>
          </w:tcPr>
          <w:p>
            <w:pPr>
              <w:spacing w:after="0" w:line="20" w:lineRule="exact"/>
              <w:rPr>
                <w:sz w:val="1"/>
                <w:szCs w:val="1"/>
                <w:color w:val="auto"/>
              </w:rPr>
            </w:pPr>
          </w:p>
        </w:tc>
        <w:tc>
          <w:tcPr>
            <w:tcW w:w="180" w:type="dxa"/>
            <w:vAlign w:val="bottom"/>
            <w:shd w:val="clear" w:color="auto" w:fill="D1EDF4"/>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Borders>
              <w:right w:val="single" w:sz="8" w:color="D1EDF4"/>
            </w:tcBorders>
            <w:shd w:val="clear" w:color="auto" w:fill="D1EDF4"/>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D1EDF4"/>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D1EDF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60" w:type="dxa"/>
            <w:vAlign w:val="bottom"/>
            <w:shd w:val="clear" w:color="auto" w:fill="D1EDF4"/>
          </w:tcPr>
          <w:p>
            <w:pPr>
              <w:spacing w:after="0" w:line="209" w:lineRule="exact"/>
              <w:rPr>
                <w:sz w:val="20"/>
                <w:szCs w:val="20"/>
                <w:color w:val="auto"/>
              </w:rPr>
            </w:pPr>
            <w:r>
              <w:rPr>
                <w:rFonts w:ascii="Arial" w:cs="Arial" w:eastAsia="Arial" w:hAnsi="Arial"/>
                <w:sz w:val="19"/>
                <w:szCs w:val="19"/>
                <w:color w:val="auto"/>
              </w:rPr>
              <w:t>Women's</w:t>
            </w:r>
          </w:p>
        </w:tc>
        <w:tc>
          <w:tcPr>
            <w:tcW w:w="180" w:type="dxa"/>
            <w:vAlign w:val="bottom"/>
            <w:shd w:val="clear" w:color="auto" w:fill="D1EDF4"/>
          </w:tcPr>
          <w:p>
            <w:pPr>
              <w:spacing w:after="0"/>
              <w:rPr>
                <w:sz w:val="18"/>
                <w:szCs w:val="18"/>
                <w:color w:val="auto"/>
              </w:rPr>
            </w:pPr>
          </w:p>
        </w:tc>
        <w:tc>
          <w:tcPr>
            <w:tcW w:w="1960" w:type="dxa"/>
            <w:vAlign w:val="bottom"/>
            <w:gridSpan w:val="6"/>
            <w:shd w:val="clear" w:color="auto" w:fill="D1EDF4"/>
          </w:tcPr>
          <w:p>
            <w:pPr>
              <w:jc w:val="right"/>
              <w:ind w:right="120"/>
              <w:spacing w:after="0" w:line="209" w:lineRule="exact"/>
              <w:rPr>
                <w:sz w:val="20"/>
                <w:szCs w:val="20"/>
                <w:color w:val="auto"/>
              </w:rPr>
            </w:pPr>
            <w:r>
              <w:rPr>
                <w:rFonts w:ascii="Arial" w:cs="Arial" w:eastAsia="Arial" w:hAnsi="Arial"/>
                <w:sz w:val="19"/>
                <w:szCs w:val="19"/>
                <w:color w:val="auto"/>
              </w:rPr>
              <w:t>27 %  27 %   27 %</w:t>
            </w:r>
          </w:p>
        </w:tc>
        <w:tc>
          <w:tcPr>
            <w:tcW w:w="0" w:type="dxa"/>
            <w:vAlign w:val="bottom"/>
          </w:tcPr>
          <w:p>
            <w:pPr>
              <w:spacing w:after="0"/>
              <w:rPr>
                <w:sz w:val="1"/>
                <w:szCs w:val="1"/>
                <w:color w:val="auto"/>
              </w:rPr>
            </w:pPr>
          </w:p>
        </w:tc>
      </w:tr>
      <w:tr>
        <w:trPr>
          <w:trHeight w:val="220"/>
        </w:trPr>
        <w:tc>
          <w:tcPr>
            <w:tcW w:w="6140" w:type="dxa"/>
            <w:vAlign w:val="bottom"/>
            <w:gridSpan w:val="2"/>
          </w:tcPr>
          <w:p>
            <w:pPr>
              <w:spacing w:after="0"/>
              <w:rPr>
                <w:sz w:val="20"/>
                <w:szCs w:val="20"/>
                <w:color w:val="auto"/>
              </w:rPr>
            </w:pPr>
            <w:r>
              <w:rPr>
                <w:rFonts w:ascii="Arial" w:cs="Arial" w:eastAsia="Arial" w:hAnsi="Arial"/>
                <w:sz w:val="19"/>
                <w:szCs w:val="19"/>
                <w:color w:val="auto"/>
              </w:rPr>
              <w:t>Children's</w:t>
            </w:r>
          </w:p>
        </w:tc>
        <w:tc>
          <w:tcPr>
            <w:tcW w:w="1960" w:type="dxa"/>
            <w:vAlign w:val="bottom"/>
            <w:gridSpan w:val="6"/>
          </w:tcPr>
          <w:p>
            <w:pPr>
              <w:jc w:val="right"/>
              <w:ind w:right="120"/>
              <w:spacing w:after="0"/>
              <w:rPr>
                <w:sz w:val="20"/>
                <w:szCs w:val="20"/>
                <w:color w:val="auto"/>
              </w:rPr>
            </w:pPr>
            <w:r>
              <w:rPr>
                <w:rFonts w:ascii="Arial" w:cs="Arial" w:eastAsia="Arial" w:hAnsi="Arial"/>
                <w:sz w:val="19"/>
                <w:szCs w:val="19"/>
                <w:color w:val="auto"/>
              </w:rPr>
              <w:t>23 %  23 %   23 %</w:t>
            </w:r>
          </w:p>
        </w:tc>
        <w:tc>
          <w:tcPr>
            <w:tcW w:w="0" w:type="dxa"/>
            <w:vAlign w:val="bottom"/>
          </w:tcPr>
          <w:p>
            <w:pPr>
              <w:spacing w:after="0"/>
              <w:rPr>
                <w:sz w:val="1"/>
                <w:szCs w:val="1"/>
                <w:color w:val="auto"/>
              </w:rPr>
            </w:pPr>
          </w:p>
        </w:tc>
      </w:tr>
      <w:tr>
        <w:trPr>
          <w:trHeight w:val="220"/>
        </w:trPr>
        <w:tc>
          <w:tcPr>
            <w:tcW w:w="6140" w:type="dxa"/>
            <w:vAlign w:val="bottom"/>
            <w:gridSpan w:val="2"/>
            <w:shd w:val="clear" w:color="auto" w:fill="D1EDF4"/>
          </w:tcPr>
          <w:p>
            <w:pPr>
              <w:spacing w:after="0"/>
              <w:rPr>
                <w:sz w:val="20"/>
                <w:szCs w:val="20"/>
                <w:color w:val="auto"/>
              </w:rPr>
            </w:pPr>
            <w:r>
              <w:rPr>
                <w:rFonts w:ascii="Arial" w:cs="Arial" w:eastAsia="Arial" w:hAnsi="Arial"/>
                <w:sz w:val="19"/>
                <w:szCs w:val="19"/>
                <w:color w:val="auto"/>
              </w:rPr>
              <w:t>Men's</w:t>
            </w:r>
          </w:p>
        </w:tc>
        <w:tc>
          <w:tcPr>
            <w:tcW w:w="1960" w:type="dxa"/>
            <w:vAlign w:val="bottom"/>
            <w:gridSpan w:val="6"/>
            <w:shd w:val="clear" w:color="auto" w:fill="D1EDF4"/>
          </w:tcPr>
          <w:p>
            <w:pPr>
              <w:jc w:val="right"/>
              <w:ind w:right="120"/>
              <w:spacing w:after="0"/>
              <w:rPr>
                <w:sz w:val="20"/>
                <w:szCs w:val="20"/>
                <w:color w:val="auto"/>
              </w:rPr>
            </w:pPr>
            <w:r>
              <w:rPr>
                <w:rFonts w:ascii="Arial" w:cs="Arial" w:eastAsia="Arial" w:hAnsi="Arial"/>
                <w:sz w:val="19"/>
                <w:szCs w:val="19"/>
                <w:color w:val="auto"/>
              </w:rPr>
              <w:t>17 %  17 %   17 %</w:t>
            </w:r>
          </w:p>
        </w:tc>
        <w:tc>
          <w:tcPr>
            <w:tcW w:w="0" w:type="dxa"/>
            <w:vAlign w:val="bottom"/>
          </w:tcPr>
          <w:p>
            <w:pPr>
              <w:spacing w:after="0"/>
              <w:rPr>
                <w:sz w:val="1"/>
                <w:szCs w:val="1"/>
                <w:color w:val="auto"/>
              </w:rPr>
            </w:pPr>
          </w:p>
        </w:tc>
      </w:tr>
      <w:tr>
        <w:trPr>
          <w:trHeight w:val="220"/>
        </w:trPr>
        <w:tc>
          <w:tcPr>
            <w:tcW w:w="6140" w:type="dxa"/>
            <w:vAlign w:val="bottom"/>
            <w:gridSpan w:val="2"/>
          </w:tcPr>
          <w:p>
            <w:pPr>
              <w:spacing w:after="0"/>
              <w:rPr>
                <w:sz w:val="20"/>
                <w:szCs w:val="20"/>
                <w:color w:val="auto"/>
              </w:rPr>
            </w:pPr>
            <w:r>
              <w:rPr>
                <w:rFonts w:ascii="Arial" w:cs="Arial" w:eastAsia="Arial" w:hAnsi="Arial"/>
                <w:sz w:val="19"/>
                <w:szCs w:val="19"/>
                <w:color w:val="auto"/>
              </w:rPr>
              <w:t>Accessories &amp; Beauty</w:t>
            </w:r>
          </w:p>
        </w:tc>
        <w:tc>
          <w:tcPr>
            <w:tcW w:w="1960" w:type="dxa"/>
            <w:vAlign w:val="bottom"/>
            <w:gridSpan w:val="6"/>
          </w:tcPr>
          <w:p>
            <w:pPr>
              <w:jc w:val="right"/>
              <w:ind w:right="120"/>
              <w:spacing w:after="0"/>
              <w:rPr>
                <w:sz w:val="20"/>
                <w:szCs w:val="20"/>
                <w:color w:val="auto"/>
              </w:rPr>
            </w:pPr>
            <w:r>
              <w:rPr>
                <w:rFonts w:ascii="Arial" w:cs="Arial" w:eastAsia="Arial" w:hAnsi="Arial"/>
                <w:sz w:val="19"/>
                <w:szCs w:val="19"/>
                <w:color w:val="auto"/>
              </w:rPr>
              <w:t>16 %  17 %   17 %</w:t>
            </w:r>
          </w:p>
        </w:tc>
        <w:tc>
          <w:tcPr>
            <w:tcW w:w="0" w:type="dxa"/>
            <w:vAlign w:val="bottom"/>
          </w:tcPr>
          <w:p>
            <w:pPr>
              <w:spacing w:after="0"/>
              <w:rPr>
                <w:sz w:val="1"/>
                <w:szCs w:val="1"/>
                <w:color w:val="auto"/>
              </w:rPr>
            </w:pPr>
          </w:p>
        </w:tc>
      </w:tr>
      <w:tr>
        <w:trPr>
          <w:trHeight w:val="220"/>
        </w:trPr>
        <w:tc>
          <w:tcPr>
            <w:tcW w:w="6140" w:type="dxa"/>
            <w:vAlign w:val="bottom"/>
            <w:gridSpan w:val="2"/>
            <w:shd w:val="clear" w:color="auto" w:fill="D1EDF4"/>
          </w:tcPr>
          <w:p>
            <w:pPr>
              <w:spacing w:after="0"/>
              <w:rPr>
                <w:sz w:val="20"/>
                <w:szCs w:val="20"/>
                <w:color w:val="auto"/>
              </w:rPr>
            </w:pPr>
            <w:r>
              <w:rPr>
                <w:rFonts w:ascii="Arial" w:cs="Arial" w:eastAsia="Arial" w:hAnsi="Arial"/>
                <w:sz w:val="19"/>
                <w:szCs w:val="19"/>
                <w:color w:val="auto"/>
              </w:rPr>
              <w:t>Home &amp; Lifestyle</w:t>
            </w:r>
          </w:p>
        </w:tc>
        <w:tc>
          <w:tcPr>
            <w:tcW w:w="640" w:type="dxa"/>
            <w:vAlign w:val="bottom"/>
            <w:tcBorders>
              <w:right w:val="single" w:sz="8" w:color="D1EDF4"/>
            </w:tcBorders>
            <w:gridSpan w:val="2"/>
            <w:shd w:val="clear" w:color="auto" w:fill="D1EDF4"/>
          </w:tcPr>
          <w:p>
            <w:pPr>
              <w:jc w:val="right"/>
              <w:ind w:right="40"/>
              <w:spacing w:after="0"/>
              <w:rPr>
                <w:sz w:val="20"/>
                <w:szCs w:val="20"/>
                <w:color w:val="auto"/>
              </w:rPr>
            </w:pPr>
            <w:r>
              <w:rPr>
                <w:rFonts w:ascii="Arial" w:cs="Arial" w:eastAsia="Arial" w:hAnsi="Arial"/>
                <w:sz w:val="19"/>
                <w:szCs w:val="19"/>
                <w:color w:val="auto"/>
              </w:rPr>
              <w:t>10 %</w:t>
            </w:r>
          </w:p>
        </w:tc>
        <w:tc>
          <w:tcPr>
            <w:tcW w:w="620" w:type="dxa"/>
            <w:vAlign w:val="bottom"/>
            <w:gridSpan w:val="2"/>
            <w:shd w:val="clear" w:color="auto" w:fill="D1EDF4"/>
          </w:tcPr>
          <w:p>
            <w:pPr>
              <w:jc w:val="right"/>
              <w:ind w:right="100"/>
              <w:spacing w:after="0"/>
              <w:rPr>
                <w:sz w:val="20"/>
                <w:szCs w:val="20"/>
                <w:color w:val="auto"/>
              </w:rPr>
            </w:pPr>
            <w:r>
              <w:rPr>
                <w:rFonts w:ascii="Arial" w:cs="Arial" w:eastAsia="Arial" w:hAnsi="Arial"/>
                <w:sz w:val="19"/>
                <w:szCs w:val="19"/>
                <w:color w:val="auto"/>
              </w:rPr>
              <w:t>10 %</w:t>
            </w:r>
          </w:p>
        </w:tc>
        <w:tc>
          <w:tcPr>
            <w:tcW w:w="700" w:type="dxa"/>
            <w:vAlign w:val="bottom"/>
            <w:gridSpan w:val="2"/>
            <w:shd w:val="clear" w:color="auto" w:fill="D1EDF4"/>
          </w:tcPr>
          <w:p>
            <w:pPr>
              <w:jc w:val="right"/>
              <w:ind w:right="120"/>
              <w:spacing w:after="0"/>
              <w:rPr>
                <w:sz w:val="20"/>
                <w:szCs w:val="20"/>
                <w:color w:val="auto"/>
              </w:rPr>
            </w:pPr>
            <w:r>
              <w:rPr>
                <w:rFonts w:ascii="Arial" w:cs="Arial" w:eastAsia="Arial" w:hAnsi="Arial"/>
                <w:sz w:val="19"/>
                <w:szCs w:val="19"/>
                <w:color w:val="auto"/>
              </w:rPr>
              <w:t>9 %</w:t>
            </w:r>
          </w:p>
        </w:tc>
        <w:tc>
          <w:tcPr>
            <w:tcW w:w="0" w:type="dxa"/>
            <w:vAlign w:val="bottom"/>
          </w:tcPr>
          <w:p>
            <w:pPr>
              <w:spacing w:after="0"/>
              <w:rPr>
                <w:sz w:val="1"/>
                <w:szCs w:val="1"/>
                <w:color w:val="auto"/>
              </w:rPr>
            </w:pPr>
          </w:p>
        </w:tc>
      </w:tr>
      <w:tr>
        <w:trPr>
          <w:trHeight w:val="256"/>
        </w:trPr>
        <w:tc>
          <w:tcPr>
            <w:tcW w:w="6140" w:type="dxa"/>
            <w:vAlign w:val="bottom"/>
            <w:gridSpan w:val="2"/>
          </w:tcPr>
          <w:p>
            <w:pPr>
              <w:spacing w:after="0"/>
              <w:rPr>
                <w:sz w:val="20"/>
                <w:szCs w:val="20"/>
                <w:color w:val="auto"/>
              </w:rPr>
            </w:pPr>
            <w:r>
              <w:rPr>
                <w:rFonts w:ascii="Arial" w:cs="Arial" w:eastAsia="Arial" w:hAnsi="Arial"/>
                <w:sz w:val="19"/>
                <w:szCs w:val="19"/>
                <w:color w:val="auto"/>
              </w:rPr>
              <w:t>Footwear</w:t>
            </w:r>
          </w:p>
        </w:tc>
        <w:tc>
          <w:tcPr>
            <w:tcW w:w="640" w:type="dxa"/>
            <w:vAlign w:val="bottom"/>
            <w:gridSpan w:val="2"/>
          </w:tcPr>
          <w:p>
            <w:pPr>
              <w:jc w:val="right"/>
              <w:ind w:right="40"/>
              <w:spacing w:after="0"/>
              <w:rPr>
                <w:sz w:val="20"/>
                <w:szCs w:val="20"/>
                <w:color w:val="auto"/>
              </w:rPr>
            </w:pPr>
            <w:r>
              <w:rPr>
                <w:rFonts w:ascii="Arial" w:cs="Arial" w:eastAsia="Arial" w:hAnsi="Arial"/>
                <w:sz w:val="19"/>
                <w:szCs w:val="19"/>
                <w:color w:val="auto"/>
              </w:rPr>
              <w:t>7 %</w:t>
            </w:r>
          </w:p>
        </w:tc>
        <w:tc>
          <w:tcPr>
            <w:tcW w:w="620" w:type="dxa"/>
            <w:vAlign w:val="bottom"/>
            <w:gridSpan w:val="2"/>
          </w:tcPr>
          <w:p>
            <w:pPr>
              <w:jc w:val="right"/>
              <w:ind w:right="100"/>
              <w:spacing w:after="0"/>
              <w:rPr>
                <w:sz w:val="20"/>
                <w:szCs w:val="20"/>
                <w:color w:val="auto"/>
              </w:rPr>
            </w:pPr>
            <w:r>
              <w:rPr>
                <w:rFonts w:ascii="Arial" w:cs="Arial" w:eastAsia="Arial" w:hAnsi="Arial"/>
                <w:sz w:val="19"/>
                <w:szCs w:val="19"/>
                <w:color w:val="auto"/>
              </w:rPr>
              <w:t>6 %</w:t>
            </w:r>
          </w:p>
        </w:tc>
        <w:tc>
          <w:tcPr>
            <w:tcW w:w="700" w:type="dxa"/>
            <w:vAlign w:val="bottom"/>
            <w:gridSpan w:val="2"/>
          </w:tcPr>
          <w:p>
            <w:pPr>
              <w:jc w:val="right"/>
              <w:ind w:right="120"/>
              <w:spacing w:after="0"/>
              <w:rPr>
                <w:sz w:val="20"/>
                <w:szCs w:val="20"/>
                <w:color w:val="auto"/>
              </w:rPr>
            </w:pPr>
            <w:r>
              <w:rPr>
                <w:rFonts w:ascii="Arial" w:cs="Arial" w:eastAsia="Arial" w:hAnsi="Arial"/>
                <w:sz w:val="19"/>
                <w:szCs w:val="19"/>
                <w:color w:val="auto"/>
              </w:rPr>
              <w:t>7 %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780"/>
          </w:cols>
          <w:pgMar w:left="540" w:top="812" w:right="560" w:bottom="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ectPr>
          <w:pgSz w:w="11880" w:h="15480" w:orient="portrait"/>
          <w:cols w:equalWidth="0" w:num="1">
            <w:col w:w="10780"/>
          </w:cols>
          <w:pgMar w:left="540" w:top="812" w:right="560" w:bottom="16" w:gutter="0" w:footer="0" w:header="0"/>
          <w:type w:val="continuous"/>
        </w:sectPr>
      </w:pPr>
    </w:p>
    <w:bookmarkStart w:id="38" w:name="page39"/>
    <w:bookmarkEnd w:id="38"/>
    <w:p>
      <w:pPr>
        <w:spacing w:after="0"/>
        <w:rPr>
          <w:sz w:val="20"/>
          <w:szCs w:val="20"/>
          <w:color w:val="auto"/>
        </w:rPr>
      </w:pPr>
      <w:r>
        <w:rPr>
          <w:rFonts w:ascii="Arial" w:cs="Arial" w:eastAsia="Arial" w:hAnsi="Arial"/>
          <w:sz w:val="19"/>
          <w:szCs w:val="19"/>
          <w:b w:val="1"/>
          <w:bCs w:val="1"/>
          <w:i w:val="1"/>
          <w:iCs w:val="1"/>
          <w:color w:val="auto"/>
        </w:rPr>
        <w:t>Cost of Sales</w:t>
      </w:r>
    </w:p>
    <w:p>
      <w:pPr>
        <w:spacing w:after="0" w:line="154" w:lineRule="exact"/>
        <w:rPr>
          <w:sz w:val="20"/>
          <w:szCs w:val="20"/>
          <w:color w:val="auto"/>
        </w:rPr>
      </w:pPr>
    </w:p>
    <w:p>
      <w:pPr>
        <w:ind w:right="220"/>
        <w:spacing w:after="0" w:line="247" w:lineRule="auto"/>
        <w:rPr>
          <w:sz w:val="20"/>
          <w:szCs w:val="20"/>
          <w:color w:val="auto"/>
        </w:rPr>
      </w:pPr>
      <w:r>
        <w:rPr>
          <w:rFonts w:ascii="Arial" w:cs="Arial" w:eastAsia="Arial" w:hAnsi="Arial"/>
          <w:sz w:val="19"/>
          <w:szCs w:val="19"/>
          <w:color w:val="auto"/>
        </w:rPr>
        <w:t>Cost of sales includes the cost of inventory sold during the period and transportation costs, including inbound freight related to inventory sold, freight from the distribution centers to the stores and freight from vendors to stores, net of discounts and allowances. Distribution center costs, store occupancy expenses and marketing expenses are not considered components of cost of sales and are included as part of selling, general and administrative expenses. Depreciation is also not considered a component of cost of sales and is included as a separate line item in the consolidated statements of operations. Distribution center costs (exclusive of depreciation) for fiscal 2025, 2024 and 2023 were $32.7 million, $32.1 million and $31.0 million, respectively.</w:t>
      </w:r>
    </w:p>
    <w:p>
      <w:pPr>
        <w:spacing w:after="0" w:line="12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Earnings per Share</w:t>
      </w:r>
    </w:p>
    <w:p>
      <w:pPr>
        <w:spacing w:after="0" w:line="156" w:lineRule="exact"/>
        <w:rPr>
          <w:sz w:val="20"/>
          <w:szCs w:val="20"/>
          <w:color w:val="auto"/>
        </w:rPr>
      </w:pPr>
    </w:p>
    <w:p>
      <w:pPr>
        <w:ind w:right="180"/>
        <w:spacing w:after="0" w:line="250" w:lineRule="auto"/>
        <w:rPr>
          <w:sz w:val="20"/>
          <w:szCs w:val="20"/>
          <w:color w:val="auto"/>
        </w:rPr>
      </w:pPr>
      <w:r>
        <w:rPr>
          <w:rFonts w:ascii="Arial" w:cs="Arial" w:eastAsia="Arial" w:hAnsi="Arial"/>
          <w:sz w:val="19"/>
          <w:szCs w:val="19"/>
          <w:color w:val="auto"/>
        </w:rPr>
        <w:t>Basic earnings per common share amounts are calculated using the weighted average number of common shares outstanding for the period. Diluted earnings per common share amounts are calculated using the weighted average number of common shares outstanding plus the additional dilution for all potentially dilutive securities, such as nonvested restricted stock. During loss periods, diluted loss per share amounts are based on the weighted average number of common shares outstanding because the inclusion of common stock equivalents would be antidilutive.</w:t>
      </w:r>
    </w:p>
    <w:p>
      <w:pPr>
        <w:spacing w:after="0" w:line="114" w:lineRule="exact"/>
        <w:rPr>
          <w:sz w:val="20"/>
          <w:szCs w:val="20"/>
          <w:color w:val="auto"/>
        </w:rPr>
      </w:pPr>
    </w:p>
    <w:p>
      <w:pPr>
        <w:jc w:val="both"/>
        <w:ind w:right="460"/>
        <w:spacing w:after="0" w:line="260" w:lineRule="auto"/>
        <w:rPr>
          <w:sz w:val="20"/>
          <w:szCs w:val="20"/>
          <w:color w:val="auto"/>
        </w:rPr>
      </w:pPr>
      <w:r>
        <w:rPr>
          <w:rFonts w:ascii="Arial" w:cs="Arial" w:eastAsia="Arial" w:hAnsi="Arial"/>
          <w:sz w:val="19"/>
          <w:szCs w:val="19"/>
          <w:color w:val="auto"/>
        </w:rPr>
        <w:t>The following table provides a reconciliation of the number of average common shares outstanding used to calculate basic earnings per share to the number of common shares and common stock equivalents outstanding used in calculating diluted earnings per share: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84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7"/>
              <w:spacing w:after="0"/>
              <w:rPr>
                <w:sz w:val="20"/>
                <w:szCs w:val="20"/>
                <w:color w:val="auto"/>
              </w:rPr>
            </w:pPr>
            <w:r>
              <w:rPr>
                <w:rFonts w:ascii="Arial" w:cs="Arial" w:eastAsia="Arial" w:hAnsi="Arial"/>
                <w:sz w:val="16"/>
                <w:szCs w:val="16"/>
                <w:b w:val="1"/>
                <w:bCs w:val="1"/>
                <w:color w:val="auto"/>
              </w:rPr>
              <w:t>Fiscal Year</w:t>
            </w: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74"/>
        </w:trPr>
        <w:tc>
          <w:tcPr>
            <w:tcW w:w="6840" w:type="dxa"/>
            <w:vAlign w:val="bottom"/>
            <w:tcBorders>
              <w:bottom w:val="single" w:sz="8" w:color="D1EDF4"/>
            </w:tcBorders>
          </w:tcPr>
          <w:p>
            <w:pPr>
              <w:spacing w:after="0"/>
              <w:rPr>
                <w:sz w:val="15"/>
                <w:szCs w:val="15"/>
                <w:color w:val="auto"/>
              </w:rPr>
            </w:pPr>
          </w:p>
        </w:tc>
        <w:tc>
          <w:tcPr>
            <w:tcW w:w="1140" w:type="dxa"/>
            <w:vAlign w:val="bottom"/>
            <w:tcBorders>
              <w:bottom w:val="single" w:sz="8" w:color="auto"/>
            </w:tcBorders>
          </w:tcPr>
          <w:p>
            <w:pPr>
              <w:jc w:val="right"/>
              <w:ind w:right="293"/>
              <w:spacing w:after="0" w:line="175" w:lineRule="exact"/>
              <w:rPr>
                <w:sz w:val="20"/>
                <w:szCs w:val="20"/>
                <w:color w:val="auto"/>
              </w:rPr>
            </w:pPr>
            <w:r>
              <w:rPr>
                <w:rFonts w:ascii="Arial" w:cs="Arial" w:eastAsia="Arial" w:hAnsi="Arial"/>
                <w:sz w:val="16"/>
                <w:szCs w:val="16"/>
                <w:b w:val="1"/>
                <w:bCs w:val="1"/>
                <w:color w:val="auto"/>
              </w:rPr>
              <w:t>2025</w:t>
            </w:r>
          </w:p>
        </w:tc>
        <w:tc>
          <w:tcPr>
            <w:tcW w:w="220" w:type="dxa"/>
            <w:vAlign w:val="bottom"/>
            <w:tcBorders>
              <w:bottom w:val="single" w:sz="8" w:color="D1EDF4"/>
            </w:tcBorders>
            <w:gridSpan w:val="2"/>
          </w:tcPr>
          <w:p>
            <w:pPr>
              <w:spacing w:after="0"/>
              <w:rPr>
                <w:sz w:val="15"/>
                <w:szCs w:val="15"/>
                <w:color w:val="auto"/>
              </w:rPr>
            </w:pPr>
          </w:p>
        </w:tc>
        <w:tc>
          <w:tcPr>
            <w:tcW w:w="1140" w:type="dxa"/>
            <w:vAlign w:val="bottom"/>
            <w:tcBorders>
              <w:bottom w:val="single" w:sz="8" w:color="auto"/>
            </w:tcBorders>
          </w:tcPr>
          <w:p>
            <w:pPr>
              <w:jc w:val="right"/>
              <w:ind w:right="317"/>
              <w:spacing w:after="0" w:line="175" w:lineRule="exact"/>
              <w:rPr>
                <w:sz w:val="20"/>
                <w:szCs w:val="20"/>
                <w:color w:val="auto"/>
              </w:rPr>
            </w:pPr>
            <w:r>
              <w:rPr>
                <w:rFonts w:ascii="Arial" w:cs="Arial" w:eastAsia="Arial" w:hAnsi="Arial"/>
                <w:sz w:val="16"/>
                <w:szCs w:val="16"/>
                <w:b w:val="1"/>
                <w:bCs w:val="1"/>
                <w:color w:val="auto"/>
              </w:rPr>
              <w:t>2024</w:t>
            </w:r>
          </w:p>
        </w:tc>
        <w:tc>
          <w:tcPr>
            <w:tcW w:w="200" w:type="dxa"/>
            <w:vAlign w:val="bottom"/>
            <w:tcBorders>
              <w:bottom w:val="single" w:sz="8" w:color="D1EDF4"/>
            </w:tcBorders>
          </w:tcPr>
          <w:p>
            <w:pPr>
              <w:spacing w:after="0"/>
              <w:rPr>
                <w:sz w:val="15"/>
                <w:szCs w:val="15"/>
                <w:color w:val="auto"/>
              </w:rPr>
            </w:pPr>
          </w:p>
        </w:tc>
        <w:tc>
          <w:tcPr>
            <w:tcW w:w="1140" w:type="dxa"/>
            <w:vAlign w:val="bottom"/>
            <w:tcBorders>
              <w:bottom w:val="single" w:sz="8" w:color="auto"/>
            </w:tcBorders>
          </w:tcPr>
          <w:p>
            <w:pPr>
              <w:jc w:val="right"/>
              <w:ind w:right="293"/>
              <w:spacing w:after="0" w:line="175" w:lineRule="exact"/>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D1EDF4"/>
            </w:tcBorders>
          </w:tcPr>
          <w:p>
            <w:pPr>
              <w:spacing w:after="0"/>
              <w:rPr>
                <w:sz w:val="15"/>
                <w:szCs w:val="15"/>
                <w:color w:val="auto"/>
              </w:rPr>
            </w:pPr>
          </w:p>
        </w:tc>
      </w:tr>
      <w:tr>
        <w:trPr>
          <w:trHeight w:val="209"/>
        </w:trPr>
        <w:tc>
          <w:tcPr>
            <w:tcW w:w="6840" w:type="dxa"/>
            <w:vAlign w:val="bottom"/>
            <w:shd w:val="clear" w:color="auto" w:fill="D1EDF4"/>
          </w:tcPr>
          <w:p>
            <w:pPr>
              <w:spacing w:after="0"/>
              <w:rPr>
                <w:sz w:val="20"/>
                <w:szCs w:val="20"/>
                <w:color w:val="auto"/>
              </w:rPr>
            </w:pPr>
            <w:r>
              <w:rPr>
                <w:rFonts w:ascii="Arial" w:cs="Arial" w:eastAsia="Arial" w:hAnsi="Arial"/>
                <w:sz w:val="18"/>
                <w:szCs w:val="18"/>
                <w:color w:val="auto"/>
              </w:rPr>
              <w:t>Weighted average number of common shares outstanding (basic)</w:t>
            </w:r>
          </w:p>
        </w:tc>
        <w:tc>
          <w:tcPr>
            <w:tcW w:w="1140" w:type="dxa"/>
            <w:vAlign w:val="bottom"/>
            <w:shd w:val="clear" w:color="auto" w:fill="D1EDF4"/>
          </w:tcPr>
          <w:p>
            <w:pPr>
              <w:jc w:val="right"/>
              <w:spacing w:after="0"/>
              <w:rPr>
                <w:sz w:val="20"/>
                <w:szCs w:val="20"/>
                <w:color w:val="auto"/>
              </w:rPr>
            </w:pPr>
            <w:r>
              <w:rPr>
                <w:rFonts w:ascii="Arial" w:cs="Arial" w:eastAsia="Arial" w:hAnsi="Arial"/>
                <w:sz w:val="18"/>
                <w:szCs w:val="18"/>
                <w:color w:val="auto"/>
              </w:rPr>
              <w:t>8,057,405</w:t>
            </w:r>
          </w:p>
        </w:tc>
        <w:tc>
          <w:tcPr>
            <w:tcW w:w="1360" w:type="dxa"/>
            <w:vAlign w:val="bottom"/>
            <w:gridSpan w:val="3"/>
            <w:shd w:val="clear" w:color="auto" w:fill="D1EDF4"/>
          </w:tcPr>
          <w:p>
            <w:pPr>
              <w:jc w:val="right"/>
              <w:spacing w:after="0"/>
              <w:rPr>
                <w:sz w:val="20"/>
                <w:szCs w:val="20"/>
                <w:color w:val="auto"/>
              </w:rPr>
            </w:pPr>
            <w:r>
              <w:rPr>
                <w:rFonts w:ascii="Arial" w:cs="Arial" w:eastAsia="Arial" w:hAnsi="Arial"/>
                <w:sz w:val="18"/>
                <w:szCs w:val="18"/>
                <w:color w:val="auto"/>
              </w:rPr>
              <w:t>8,314,825</w:t>
            </w:r>
          </w:p>
        </w:tc>
        <w:tc>
          <w:tcPr>
            <w:tcW w:w="1340" w:type="dxa"/>
            <w:vAlign w:val="bottom"/>
            <w:gridSpan w:val="2"/>
            <w:shd w:val="clear" w:color="auto" w:fill="D1EDF4"/>
          </w:tcPr>
          <w:p>
            <w:pPr>
              <w:jc w:val="right"/>
              <w:spacing w:after="0"/>
              <w:rPr>
                <w:sz w:val="20"/>
                <w:szCs w:val="20"/>
                <w:color w:val="auto"/>
              </w:rPr>
            </w:pPr>
            <w:r>
              <w:rPr>
                <w:rFonts w:ascii="Arial" w:cs="Arial" w:eastAsia="Arial" w:hAnsi="Arial"/>
                <w:sz w:val="18"/>
                <w:szCs w:val="18"/>
                <w:color w:val="auto"/>
              </w:rPr>
              <w:t>8,221,450</w:t>
            </w:r>
          </w:p>
        </w:tc>
        <w:tc>
          <w:tcPr>
            <w:tcW w:w="120" w:type="dxa"/>
            <w:vAlign w:val="bottom"/>
            <w:shd w:val="clear" w:color="auto" w:fill="D1EDF4"/>
          </w:tcPr>
          <w:p>
            <w:pPr>
              <w:spacing w:after="0"/>
              <w:rPr>
                <w:sz w:val="18"/>
                <w:szCs w:val="18"/>
                <w:color w:val="auto"/>
              </w:rPr>
            </w:pPr>
          </w:p>
        </w:tc>
      </w:tr>
      <w:tr>
        <w:trPr>
          <w:trHeight w:val="220"/>
        </w:trPr>
        <w:tc>
          <w:tcPr>
            <w:tcW w:w="6840" w:type="dxa"/>
            <w:vAlign w:val="bottom"/>
            <w:tcBorders>
              <w:bottom w:val="single" w:sz="8" w:color="D1EDF4"/>
            </w:tcBorders>
          </w:tcPr>
          <w:p>
            <w:pPr>
              <w:spacing w:after="0"/>
              <w:rPr>
                <w:sz w:val="20"/>
                <w:szCs w:val="20"/>
                <w:color w:val="auto"/>
              </w:rPr>
            </w:pPr>
            <w:r>
              <w:rPr>
                <w:rFonts w:ascii="Arial" w:cs="Arial" w:eastAsia="Arial" w:hAnsi="Arial"/>
                <w:sz w:val="18"/>
                <w:szCs w:val="18"/>
                <w:color w:val="auto"/>
              </w:rPr>
              <w:t>Incremental shares from assumed vesting of nonvested restricted stock</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242,685</w:t>
            </w:r>
          </w:p>
        </w:tc>
        <w:tc>
          <w:tcPr>
            <w:tcW w:w="200" w:type="dxa"/>
            <w:vAlign w:val="bottom"/>
            <w:tcBorders>
              <w:bottom w:val="single" w:sz="8" w:color="D1EDF4"/>
            </w:tcBorders>
          </w:tcPr>
          <w:p>
            <w:pPr>
              <w:spacing w:after="0"/>
              <w:rPr>
                <w:sz w:val="19"/>
                <w:szCs w:val="19"/>
                <w:color w:val="auto"/>
              </w:rPr>
            </w:pPr>
          </w:p>
        </w:tc>
        <w:tc>
          <w:tcPr>
            <w:tcW w:w="20" w:type="dxa"/>
            <w:vAlign w:val="bottom"/>
            <w:tcBorders>
              <w:bottom w:val="single" w:sz="8" w:color="D1EDF4"/>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D1EDF4"/>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D1EDF4"/>
            </w:tcBorders>
          </w:tcPr>
          <w:p>
            <w:pPr>
              <w:spacing w:after="0"/>
              <w:rPr>
                <w:sz w:val="19"/>
                <w:szCs w:val="19"/>
                <w:color w:val="auto"/>
              </w:rPr>
            </w:pPr>
          </w:p>
        </w:tc>
      </w:tr>
      <w:tr>
        <w:trPr>
          <w:trHeight w:val="219"/>
        </w:trPr>
        <w:tc>
          <w:tcPr>
            <w:tcW w:w="6840" w:type="dxa"/>
            <w:vAlign w:val="bottom"/>
            <w:shd w:val="clear" w:color="auto" w:fill="D1EDF4"/>
          </w:tcPr>
          <w:p>
            <w:pPr>
              <w:spacing w:after="0"/>
              <w:rPr>
                <w:sz w:val="20"/>
                <w:szCs w:val="20"/>
                <w:color w:val="auto"/>
              </w:rPr>
            </w:pPr>
            <w:r>
              <w:rPr>
                <w:rFonts w:ascii="Arial" w:cs="Arial" w:eastAsia="Arial" w:hAnsi="Arial"/>
                <w:sz w:val="18"/>
                <w:szCs w:val="18"/>
                <w:color w:val="auto"/>
              </w:rPr>
              <w:t>Average number of common shares and common stock equivalents outstanding</w:t>
            </w:r>
          </w:p>
        </w:tc>
        <w:tc>
          <w:tcPr>
            <w:tcW w:w="1140" w:type="dxa"/>
            <w:vAlign w:val="bottom"/>
            <w:tcBorders>
              <w:bottom w:val="single" w:sz="8" w:color="auto"/>
            </w:tcBorders>
            <w:shd w:val="clear" w:color="auto" w:fill="D1EDF4"/>
          </w:tcPr>
          <w:p>
            <w:pPr>
              <w:jc w:val="right"/>
              <w:spacing w:after="0"/>
              <w:rPr>
                <w:sz w:val="20"/>
                <w:szCs w:val="20"/>
                <w:color w:val="auto"/>
              </w:rPr>
            </w:pPr>
            <w:r>
              <w:rPr>
                <w:rFonts w:ascii="Arial" w:cs="Arial" w:eastAsia="Arial" w:hAnsi="Arial"/>
                <w:sz w:val="18"/>
                <w:szCs w:val="18"/>
                <w:color w:val="auto"/>
              </w:rPr>
              <w:t>8,300,090</w:t>
            </w:r>
          </w:p>
        </w:tc>
        <w:tc>
          <w:tcPr>
            <w:tcW w:w="200" w:type="dxa"/>
            <w:vAlign w:val="bottom"/>
            <w:shd w:val="clear" w:color="auto" w:fill="D1EDF4"/>
          </w:tcPr>
          <w:p>
            <w:pPr>
              <w:spacing w:after="0"/>
              <w:rPr>
                <w:sz w:val="19"/>
                <w:szCs w:val="19"/>
                <w:color w:val="auto"/>
              </w:rPr>
            </w:pPr>
          </w:p>
        </w:tc>
        <w:tc>
          <w:tcPr>
            <w:tcW w:w="1160" w:type="dxa"/>
            <w:vAlign w:val="bottom"/>
            <w:tcBorders>
              <w:bottom w:val="single" w:sz="8" w:color="auto"/>
            </w:tcBorders>
            <w:gridSpan w:val="2"/>
            <w:shd w:val="clear" w:color="auto" w:fill="D1EDF4"/>
          </w:tcPr>
          <w:p>
            <w:pPr>
              <w:jc w:val="right"/>
              <w:spacing w:after="0"/>
              <w:rPr>
                <w:sz w:val="20"/>
                <w:szCs w:val="20"/>
                <w:color w:val="auto"/>
              </w:rPr>
            </w:pPr>
            <w:r>
              <w:rPr>
                <w:rFonts w:ascii="Arial" w:cs="Arial" w:eastAsia="Arial" w:hAnsi="Arial"/>
                <w:sz w:val="18"/>
                <w:szCs w:val="18"/>
                <w:color w:val="auto"/>
              </w:rPr>
              <w:t>8,314,825</w:t>
            </w:r>
          </w:p>
        </w:tc>
        <w:tc>
          <w:tcPr>
            <w:tcW w:w="200" w:type="dxa"/>
            <w:vAlign w:val="bottom"/>
            <w:shd w:val="clear" w:color="auto" w:fill="D1EDF4"/>
          </w:tcPr>
          <w:p>
            <w:pPr>
              <w:spacing w:after="0"/>
              <w:rPr>
                <w:sz w:val="19"/>
                <w:szCs w:val="19"/>
                <w:color w:val="auto"/>
              </w:rPr>
            </w:pPr>
          </w:p>
        </w:tc>
        <w:tc>
          <w:tcPr>
            <w:tcW w:w="1140" w:type="dxa"/>
            <w:vAlign w:val="bottom"/>
            <w:tcBorders>
              <w:bottom w:val="single" w:sz="8" w:color="auto"/>
            </w:tcBorders>
            <w:shd w:val="clear" w:color="auto" w:fill="D1EDF4"/>
          </w:tcPr>
          <w:p>
            <w:pPr>
              <w:jc w:val="right"/>
              <w:spacing w:after="0"/>
              <w:rPr>
                <w:sz w:val="20"/>
                <w:szCs w:val="20"/>
                <w:color w:val="auto"/>
              </w:rPr>
            </w:pPr>
            <w:r>
              <w:rPr>
                <w:rFonts w:ascii="Arial" w:cs="Arial" w:eastAsia="Arial" w:hAnsi="Arial"/>
                <w:sz w:val="18"/>
                <w:szCs w:val="18"/>
                <w:color w:val="auto"/>
              </w:rPr>
              <w:t>8,221,450</w:t>
            </w:r>
          </w:p>
        </w:tc>
        <w:tc>
          <w:tcPr>
            <w:tcW w:w="120" w:type="dxa"/>
            <w:vAlign w:val="bottom"/>
            <w:shd w:val="clear" w:color="auto" w:fill="D1EDF4"/>
          </w:tcPr>
          <w:p>
            <w:pPr>
              <w:spacing w:after="0"/>
              <w:rPr>
                <w:sz w:val="19"/>
                <w:szCs w:val="19"/>
                <w:color w:val="auto"/>
              </w:rPr>
            </w:pPr>
          </w:p>
        </w:tc>
      </w:tr>
    </w:tbl>
    <w:p>
      <w:pPr>
        <w:spacing w:after="0" w:line="190" w:lineRule="exact"/>
        <w:rPr>
          <w:sz w:val="20"/>
          <w:szCs w:val="20"/>
          <w:color w:val="auto"/>
        </w:rPr>
      </w:pPr>
    </w:p>
    <w:p>
      <w:pPr>
        <w:jc w:val="both"/>
        <w:ind w:right="60"/>
        <w:spacing w:after="0" w:line="253" w:lineRule="auto"/>
        <w:rPr>
          <w:sz w:val="20"/>
          <w:szCs w:val="20"/>
          <w:color w:val="auto"/>
        </w:rPr>
      </w:pPr>
      <w:r>
        <w:rPr>
          <w:rFonts w:ascii="Arial" w:cs="Arial" w:eastAsia="Arial" w:hAnsi="Arial"/>
          <w:sz w:val="19"/>
          <w:szCs w:val="19"/>
          <w:color w:val="auto"/>
        </w:rPr>
        <w:t>The dilutive effect of stock-based compensation arrangements is accounted for using the treasury stock method. The Company includes as assumed proceeds the amount of compensation costs attributed to future services and not yet recognized. For fiscal 2025, 2024 and 2023, respectively, there were 0, 248,000, and 273,000 shares of nonvested restricted stock excluded from the calculation of diluted earnings per share because of antidilution.</w:t>
      </w:r>
    </w:p>
    <w:p>
      <w:pPr>
        <w:spacing w:after="0" w:line="11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Marketing</w:t>
      </w:r>
    </w:p>
    <w:p>
      <w:pPr>
        <w:spacing w:after="0" w:line="156" w:lineRule="exact"/>
        <w:rPr>
          <w:sz w:val="20"/>
          <w:szCs w:val="20"/>
          <w:color w:val="auto"/>
        </w:rPr>
      </w:pPr>
    </w:p>
    <w:p>
      <w:pPr>
        <w:ind w:right="80"/>
        <w:spacing w:after="0" w:line="281" w:lineRule="auto"/>
        <w:rPr>
          <w:sz w:val="20"/>
          <w:szCs w:val="20"/>
          <w:color w:val="auto"/>
        </w:rPr>
      </w:pPr>
      <w:r>
        <w:rPr>
          <w:rFonts w:ascii="Arial" w:cs="Arial" w:eastAsia="Arial" w:hAnsi="Arial"/>
          <w:sz w:val="19"/>
          <w:szCs w:val="19"/>
          <w:color w:val="auto"/>
        </w:rPr>
        <w:t>The Company expenses marketing as incurred. Marketing expense for fiscal 2025, 2024 and 2023 was $1.3 million, $2.3 million and $1.6 million, respectively.</w:t>
      </w:r>
    </w:p>
    <w:p>
      <w:pPr>
        <w:spacing w:after="0" w:line="9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Operating Leases</w:t>
      </w:r>
    </w:p>
    <w:p>
      <w:pPr>
        <w:spacing w:after="0" w:line="156" w:lineRule="exact"/>
        <w:rPr>
          <w:sz w:val="20"/>
          <w:szCs w:val="20"/>
          <w:color w:val="auto"/>
        </w:rPr>
      </w:pPr>
    </w:p>
    <w:p>
      <w:pPr>
        <w:spacing w:after="0" w:line="243" w:lineRule="auto"/>
        <w:rPr>
          <w:sz w:val="20"/>
          <w:szCs w:val="20"/>
          <w:color w:val="auto"/>
        </w:rPr>
      </w:pPr>
      <w:r>
        <w:rPr>
          <w:rFonts w:ascii="Arial" w:cs="Arial" w:eastAsia="Arial" w:hAnsi="Arial"/>
          <w:sz w:val="19"/>
          <w:szCs w:val="19"/>
          <w:color w:val="auto"/>
        </w:rPr>
        <w:t>The Company leases all of its retail store locations, its distribution centers and certain office space and equipment. All leases are classified as operating leases. The Company records right-of-use assets and lease liabilities based on the present value of future minimum lease payments using an incremental borrowing rate. The incremental borrowing rate is determined based on rates and terms from the Company’s existing borrowing facility with adjustments to bridge for differences in collateral, terms and payments. Lease costs are recognized over the estimated term of the lease, which includes any reasonably certain lease periods associated with available renewal periods. Lease expense for fixed lease payments is recognized on a straight-line basis over the lease term. In addition, certain leases provide for contingent rents that are not measurable at inception. These contingent rents are primarily based on a percentage of net sales that are in excess of a predetermined level. These amounts are excluded from minimum rent and included in the determination of total rent expense when it is probable that the expense has been incurred and the amount can be reasonably estimated. If an operating lease asset is impaired, the remaining operating lease asset will be amortized on a straight-line basis over the remaining lease term. Leases with an initial term of 12 months or less are not recorded on the balance sheet.</w:t>
      </w:r>
    </w:p>
    <w:p>
      <w:pPr>
        <w:sectPr>
          <w:pgSz w:w="11880" w:h="15480" w:orient="portrait"/>
          <w:cols w:equalWidth="0" w:num="1">
            <w:col w:w="10800"/>
          </w:cols>
          <w:pgMar w:left="540" w:top="812" w:right="540" w:bottom="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ectPr>
          <w:pgSz w:w="11880" w:h="15480" w:orient="portrait"/>
          <w:cols w:equalWidth="0" w:num="1">
            <w:col w:w="10800"/>
          </w:cols>
          <w:pgMar w:left="540" w:top="812" w:right="540" w:bottom="16" w:gutter="0" w:footer="0" w:header="0"/>
          <w:type w:val="continuous"/>
        </w:sectPr>
      </w:pPr>
    </w:p>
    <w:bookmarkStart w:id="39" w:name="page40"/>
    <w:bookmarkEnd w:id="39"/>
    <w:p>
      <w:pPr>
        <w:spacing w:after="0"/>
        <w:rPr>
          <w:sz w:val="20"/>
          <w:szCs w:val="20"/>
          <w:color w:val="auto"/>
        </w:rPr>
      </w:pPr>
      <w:r>
        <w:rPr>
          <w:rFonts w:ascii="Arial" w:cs="Arial" w:eastAsia="Arial" w:hAnsi="Arial"/>
          <w:sz w:val="19"/>
          <w:szCs w:val="19"/>
          <w:b w:val="1"/>
          <w:bCs w:val="1"/>
          <w:i w:val="1"/>
          <w:iCs w:val="1"/>
          <w:color w:val="auto"/>
        </w:rPr>
        <w:t>Income Taxes</w:t>
      </w:r>
    </w:p>
    <w:p>
      <w:pPr>
        <w:spacing w:after="0" w:line="154" w:lineRule="exact"/>
        <w:rPr>
          <w:sz w:val="20"/>
          <w:szCs w:val="20"/>
          <w:color w:val="auto"/>
        </w:rPr>
      </w:pPr>
    </w:p>
    <w:p>
      <w:pPr>
        <w:ind w:right="260"/>
        <w:spacing w:after="0" w:line="248" w:lineRule="auto"/>
        <w:rPr>
          <w:sz w:val="20"/>
          <w:szCs w:val="20"/>
          <w:color w:val="auto"/>
        </w:rPr>
      </w:pPr>
      <w:r>
        <w:rPr>
          <w:rFonts w:ascii="Arial" w:cs="Arial" w:eastAsia="Arial" w:hAnsi="Arial"/>
          <w:sz w:val="19"/>
          <w:szCs w:val="19"/>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17" w:lineRule="exact"/>
        <w:rPr>
          <w:sz w:val="20"/>
          <w:szCs w:val="20"/>
          <w:color w:val="auto"/>
        </w:rPr>
      </w:pPr>
    </w:p>
    <w:p>
      <w:pPr>
        <w:jc w:val="both"/>
        <w:ind w:right="80"/>
        <w:spacing w:after="0" w:line="260" w:lineRule="auto"/>
        <w:rPr>
          <w:sz w:val="20"/>
          <w:szCs w:val="20"/>
          <w:color w:val="auto"/>
        </w:rPr>
      </w:pPr>
      <w:r>
        <w:rPr>
          <w:rFonts w:ascii="Arial" w:cs="Arial" w:eastAsia="Arial" w:hAnsi="Arial"/>
          <w:sz w:val="19"/>
          <w:szCs w:val="19"/>
          <w:color w:val="auto"/>
        </w:rPr>
        <w:t>In assessing the realizability of deferred tax assets, management considers whether it is more likely than not that some portion or all of the deferred tax assets will not be realized. If realization of the deferred tax asset is not considered more likely than not, then a valuation allowance is recorded to reduce the deferred tax asset to its net realizable value.</w:t>
      </w:r>
    </w:p>
    <w:p>
      <w:pPr>
        <w:spacing w:after="0" w:line="11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Business Operating Segment</w:t>
      </w:r>
    </w:p>
    <w:p>
      <w:pPr>
        <w:spacing w:after="0" w:line="154" w:lineRule="exact"/>
        <w:rPr>
          <w:sz w:val="20"/>
          <w:szCs w:val="20"/>
          <w:color w:val="auto"/>
        </w:rPr>
      </w:pPr>
    </w:p>
    <w:p>
      <w:pPr>
        <w:ind w:right="300"/>
        <w:spacing w:after="0" w:line="250" w:lineRule="auto"/>
        <w:rPr>
          <w:sz w:val="20"/>
          <w:szCs w:val="20"/>
          <w:color w:val="auto"/>
        </w:rPr>
      </w:pPr>
      <w:r>
        <w:rPr>
          <w:rFonts w:ascii="Arial" w:cs="Arial" w:eastAsia="Arial" w:hAnsi="Arial"/>
          <w:sz w:val="19"/>
          <w:szCs w:val="19"/>
          <w:color w:val="auto"/>
        </w:rPr>
        <w:t>The Company is the leading off-price value retailer of fashion apparel, accessories and home goods for the entire family. The retail operations represent a single operating segment based on the way the Company manages its business. Operating decisions and resource allocation decisions are made at the Company level in order to maintain a consistent retail store presentation. The Company’s retail stores sell similar products, use similar processes to sell those products, and sell their products to similar classes of customers. All sales and assets are located within the United States.</w:t>
      </w:r>
    </w:p>
    <w:p>
      <w:pPr>
        <w:spacing w:after="0" w:line="12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New Accounting Pronouncements</w:t>
      </w:r>
    </w:p>
    <w:p>
      <w:pPr>
        <w:spacing w:after="0" w:line="274" w:lineRule="exact"/>
        <w:rPr>
          <w:sz w:val="20"/>
          <w:szCs w:val="20"/>
          <w:color w:val="auto"/>
        </w:rPr>
      </w:pPr>
    </w:p>
    <w:p>
      <w:pPr>
        <w:ind w:right="40"/>
        <w:spacing w:after="0" w:line="245" w:lineRule="auto"/>
        <w:rPr>
          <w:sz w:val="20"/>
          <w:szCs w:val="20"/>
          <w:color w:val="auto"/>
        </w:rPr>
      </w:pPr>
      <w:r>
        <w:rPr>
          <w:rFonts w:ascii="Arial" w:cs="Arial" w:eastAsia="Arial" w:hAnsi="Arial"/>
          <w:sz w:val="19"/>
          <w:szCs w:val="19"/>
          <w:color w:val="auto"/>
        </w:rPr>
        <w:t>In December 2023, the FASB issued ASU 2023-09, “Improvement to Income Tax Disclosures (Topic 740)”, which requires additional disclosures for income tax rate reconciliations, income taxes paid, and certain other tax disclosures. ASU 2023-09 is intended to enhance the transparency and decision usefulness of income tax disclosures. The amendments in ASU 2023-09 address investor requests for enhanced income tax information primarily through changes to the rate reconciliation and income taxes paid information. Adoption is required for annual periods beginning after December 15, 2024. In fiscal 2025, the Company adopted the new accounting pronouncement ASU 2023-09 in the current period and retrospectively. The adoption of ASU 2023-09 did not have a material impact on the Company’s consolidated financial statements as the requirements impact only annual income tax reporting disclosures in the Notes to the Company’s consolidated financial statements. Refer to “Note 5. Income Taxes” for additional information.</w:t>
      </w:r>
    </w:p>
    <w:p>
      <w:pPr>
        <w:spacing w:after="0" w:line="239" w:lineRule="exact"/>
        <w:rPr>
          <w:sz w:val="20"/>
          <w:szCs w:val="20"/>
          <w:color w:val="auto"/>
        </w:rPr>
      </w:pPr>
    </w:p>
    <w:p>
      <w:pPr>
        <w:spacing w:after="0" w:line="248" w:lineRule="auto"/>
        <w:rPr>
          <w:sz w:val="20"/>
          <w:szCs w:val="20"/>
          <w:color w:val="auto"/>
        </w:rPr>
      </w:pPr>
      <w:r>
        <w:rPr>
          <w:rFonts w:ascii="Arial" w:cs="Arial" w:eastAsia="Arial" w:hAnsi="Arial"/>
          <w:sz w:val="19"/>
          <w:szCs w:val="19"/>
          <w:color w:val="auto"/>
        </w:rPr>
        <w:t>In November 2024, the FASB issued ASU 2024 -03, “Expense Disaggregation Disclosures (Topic 220): Disaggregation of Income Statement Expenses” (“ASU 2024-03”), which requires public entities to disclose additional information that disaggregates certain expense captions into specified categories in the Notes to the consolidated financial statements. The new standard is effective for fiscal years beginning after December 15, 2026, and interim periods after December 15, 2027, with early adoption permitted. The disclosure updates are required to be applied prospectively with the option for retrospective application. The Company is currently evaluating the impact the amended guidance will have on its disclosures.</w:t>
      </w:r>
    </w:p>
    <w:p>
      <w:pPr>
        <w:spacing w:after="0" w:line="237"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In September 2025, the FASB issued ASU 2025- 06, “Intangibles – Goodwill and Other Internal-Use Software: Targeted Improvements to the Accounting for Internal-Use Software” (“ASU 2025-06”), which amends the guidance in ASC 350 to revise the criteria for when an entity is required to start capitalizing software costs and requires an entity to consider whether there is significant uncertainty associated with the development activities of the software when evaluating the probable-to-complete recognition threshold. ASU 2025-06 is required to be adopted in the annual reporting periods beginning after December 15, 2027, including interim periods within those annual reporting periods, with early adoption permitted. The Company is currently evaluating the impact the amended guidance will have on its consolidated financial statements and related disclosures.</w:t>
      </w:r>
    </w:p>
    <w:p>
      <w:pPr>
        <w:spacing w:after="0" w:line="228" w:lineRule="exact"/>
        <w:rPr>
          <w:sz w:val="20"/>
          <w:szCs w:val="20"/>
          <w:color w:val="auto"/>
        </w:rPr>
      </w:pPr>
    </w:p>
    <w:p>
      <w:pPr>
        <w:ind w:right="40"/>
        <w:spacing w:after="0" w:line="246" w:lineRule="auto"/>
        <w:rPr>
          <w:sz w:val="20"/>
          <w:szCs w:val="20"/>
          <w:color w:val="auto"/>
        </w:rPr>
      </w:pPr>
      <w:r>
        <w:rPr>
          <w:rFonts w:ascii="Arial" w:cs="Arial" w:eastAsia="Arial" w:hAnsi="Arial"/>
          <w:sz w:val="19"/>
          <w:szCs w:val="19"/>
          <w:color w:val="auto"/>
        </w:rPr>
        <w:t>In November 2025, the FASB issued ASU 2025- 11, “Interim Reporting (Topic 270): Narrow- Scope Improvements” (“ASU 2025-11”), which amends the guidance in ASC 270 to clarify the applicability of interim disclosure requirements and enhance the navigability of the existing guidance. ASU 2025-11 provides a comprehensive list of required interim disclosures and establishes a new disclosure principle requiring entities to disclose events that occur after the end of the last annual reporting period. The new standard is effective for interim periods within annual reporting periods beginning after December 15, 2027, with early adoption permitted. The Company is currently evaluating the impact the amended guidance will have on its consolidated financial statements and related disclosures.</w:t>
      </w:r>
    </w:p>
    <w:p>
      <w:pPr>
        <w:sectPr>
          <w:pgSz w:w="11880" w:h="15480" w:orient="portrait"/>
          <w:cols w:equalWidth="0" w:num="1">
            <w:col w:w="10780"/>
          </w:cols>
          <w:pgMar w:left="540" w:top="812" w:right="560" w:bottom="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ectPr>
          <w:pgSz w:w="11880" w:h="15480" w:orient="portrait"/>
          <w:cols w:equalWidth="0" w:num="1">
            <w:col w:w="10780"/>
          </w:cols>
          <w:pgMar w:left="540" w:top="812" w:right="560" w:bottom="16" w:gutter="0" w:footer="0" w:header="0"/>
          <w:type w:val="continuous"/>
        </w:sectPr>
      </w:pPr>
    </w:p>
    <w:bookmarkStart w:id="40" w:name="page41"/>
    <w:bookmarkEnd w:id="40"/>
    <w:p>
      <w:pPr>
        <w:spacing w:after="0"/>
        <w:rPr>
          <w:sz w:val="20"/>
          <w:szCs w:val="20"/>
          <w:color w:val="auto"/>
        </w:rPr>
      </w:pPr>
      <w:r>
        <w:rPr>
          <w:rFonts w:ascii="Arial" w:cs="Arial" w:eastAsia="Arial" w:hAnsi="Arial"/>
          <w:sz w:val="19"/>
          <w:szCs w:val="19"/>
          <w:b w:val="1"/>
          <w:bCs w:val="1"/>
          <w:color w:val="auto"/>
        </w:rPr>
        <w:t>3. Property and Equipment, net</w:t>
      </w:r>
    </w:p>
    <w:p>
      <w:pPr>
        <w:spacing w:after="0" w:line="164" w:lineRule="exact"/>
        <w:rPr>
          <w:sz w:val="20"/>
          <w:szCs w:val="20"/>
          <w:color w:val="auto"/>
        </w:rPr>
      </w:pPr>
    </w:p>
    <w:p>
      <w:pPr>
        <w:spacing w:after="0"/>
        <w:rPr>
          <w:sz w:val="20"/>
          <w:szCs w:val="20"/>
          <w:color w:val="auto"/>
        </w:rPr>
      </w:pPr>
      <w:r>
        <w:rPr>
          <w:rFonts w:ascii="Arial" w:cs="Arial" w:eastAsia="Arial" w:hAnsi="Arial"/>
          <w:sz w:val="19"/>
          <w:szCs w:val="19"/>
          <w:color w:val="auto"/>
        </w:rPr>
        <w:t>Property and equipment, net, consists of the following (in thousands):</w:t>
      </w:r>
    </w:p>
    <w:p>
      <w:pPr>
        <w:spacing w:after="0" w:line="178" w:lineRule="exact"/>
        <w:rPr>
          <w:sz w:val="20"/>
          <w:szCs w:val="20"/>
          <w:color w:val="auto"/>
        </w:rPr>
      </w:pPr>
    </w:p>
    <w:tbl>
      <w:tblPr>
        <w:tblLayout w:type="fixed"/>
        <w:tblInd w:w="1080" w:type="dxa"/>
        <w:tblCellMar>
          <w:top w:w="0" w:type="dxa"/>
          <w:left w:w="0" w:type="dxa"/>
          <w:bottom w:w="0" w:type="dxa"/>
          <w:right w:w="0" w:type="dxa"/>
        </w:tblCellMar>
      </w:tblPr>
      <w:tr>
        <w:trPr>
          <w:trHeight w:val="186"/>
        </w:trPr>
        <w:tc>
          <w:tcPr>
            <w:tcW w:w="6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b w:val="1"/>
                <w:bCs w:val="1"/>
                <w:color w:val="auto"/>
              </w:rPr>
              <w:t>January 31,</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gridSpan w:val="3"/>
          </w:tcPr>
          <w:p>
            <w:pPr>
              <w:ind w:left="60"/>
              <w:spacing w:after="0"/>
              <w:rPr>
                <w:sz w:val="20"/>
                <w:szCs w:val="20"/>
                <w:color w:val="auto"/>
              </w:rPr>
            </w:pPr>
            <w:r>
              <w:rPr>
                <w:rFonts w:ascii="Arial" w:cs="Arial" w:eastAsia="Arial" w:hAnsi="Arial"/>
                <w:sz w:val="16"/>
                <w:szCs w:val="16"/>
                <w:b w:val="1"/>
                <w:bCs w:val="1"/>
                <w:color w:val="auto"/>
              </w:rPr>
              <w:t>February 1,</w:t>
            </w:r>
          </w:p>
        </w:tc>
      </w:tr>
      <w:tr>
        <w:trPr>
          <w:trHeight w:val="203"/>
        </w:trPr>
        <w:tc>
          <w:tcPr>
            <w:tcW w:w="6300" w:type="dxa"/>
            <w:vAlign w:val="bottom"/>
            <w:tcBorders>
              <w:bottom w:val="single" w:sz="8" w:color="D1EDF4"/>
            </w:tcBorders>
          </w:tcPr>
          <w:p>
            <w:pPr>
              <w:spacing w:after="0"/>
              <w:rPr>
                <w:sz w:val="17"/>
                <w:szCs w:val="17"/>
                <w:color w:val="auto"/>
              </w:rPr>
            </w:pPr>
          </w:p>
        </w:tc>
        <w:tc>
          <w:tcPr>
            <w:tcW w:w="16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rPr>
              <w:t>2026</w:t>
            </w:r>
          </w:p>
        </w:tc>
        <w:tc>
          <w:tcPr>
            <w:tcW w:w="16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rPr>
              <w:t>2025</w:t>
            </w:r>
          </w:p>
        </w:tc>
        <w:tc>
          <w:tcPr>
            <w:tcW w:w="40" w:type="dxa"/>
            <w:vAlign w:val="bottom"/>
            <w:tcBorders>
              <w:bottom w:val="single" w:sz="8" w:color="D1EDF4"/>
            </w:tcBorders>
          </w:tcPr>
          <w:p>
            <w:pPr>
              <w:spacing w:after="0"/>
              <w:rPr>
                <w:sz w:val="17"/>
                <w:szCs w:val="17"/>
                <w:color w:val="auto"/>
              </w:rPr>
            </w:pPr>
          </w:p>
        </w:tc>
      </w:tr>
      <w:tr>
        <w:trPr>
          <w:trHeight w:val="209"/>
        </w:trPr>
        <w:tc>
          <w:tcPr>
            <w:tcW w:w="6300" w:type="dxa"/>
            <w:vAlign w:val="bottom"/>
            <w:shd w:val="clear" w:color="auto" w:fill="D1EDF4"/>
          </w:tcPr>
          <w:p>
            <w:pPr>
              <w:spacing w:after="0"/>
              <w:rPr>
                <w:sz w:val="20"/>
                <w:szCs w:val="20"/>
                <w:color w:val="auto"/>
              </w:rPr>
            </w:pPr>
            <w:r>
              <w:rPr>
                <w:rFonts w:ascii="Arial" w:cs="Arial" w:eastAsia="Arial" w:hAnsi="Arial"/>
                <w:sz w:val="18"/>
                <w:szCs w:val="18"/>
                <w:color w:val="auto"/>
              </w:rPr>
              <w:t>Buildings</w:t>
            </w:r>
          </w:p>
        </w:tc>
        <w:tc>
          <w:tcPr>
            <w:tcW w:w="320" w:type="dxa"/>
            <w:vAlign w:val="bottom"/>
            <w:gridSpan w:val="3"/>
            <w:shd w:val="clear" w:color="auto" w:fill="D1EDF4"/>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D1EDF4"/>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3"/>
            <w:shd w:val="clear" w:color="auto" w:fill="D1EDF4"/>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D1EDF4"/>
          </w:tcPr>
          <w:p>
            <w:pPr>
              <w:jc w:val="right"/>
              <w:spacing w:after="0"/>
              <w:rPr>
                <w:sz w:val="20"/>
                <w:szCs w:val="20"/>
                <w:color w:val="auto"/>
              </w:rPr>
            </w:pPr>
            <w:r>
              <w:rPr>
                <w:rFonts w:ascii="Arial" w:cs="Arial" w:eastAsia="Arial" w:hAnsi="Arial"/>
                <w:sz w:val="18"/>
                <w:szCs w:val="18"/>
                <w:color w:val="auto"/>
              </w:rPr>
              <w:t>4,849</w:t>
            </w:r>
          </w:p>
        </w:tc>
        <w:tc>
          <w:tcPr>
            <w:tcW w:w="40" w:type="dxa"/>
            <w:vAlign w:val="bottom"/>
            <w:shd w:val="clear" w:color="auto" w:fill="D1EDF4"/>
          </w:tcPr>
          <w:p>
            <w:pPr>
              <w:spacing w:after="0"/>
              <w:rPr>
                <w:sz w:val="18"/>
                <w:szCs w:val="18"/>
                <w:color w:val="auto"/>
              </w:rPr>
            </w:pPr>
          </w:p>
        </w:tc>
      </w:tr>
      <w:tr>
        <w:trPr>
          <w:trHeight w:val="220"/>
        </w:trPr>
        <w:tc>
          <w:tcPr>
            <w:tcW w:w="63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146,979</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136,491</w:t>
            </w:r>
          </w:p>
        </w:tc>
        <w:tc>
          <w:tcPr>
            <w:tcW w:w="40" w:type="dxa"/>
            <w:vAlign w:val="bottom"/>
          </w:tcPr>
          <w:p>
            <w:pPr>
              <w:spacing w:after="0"/>
              <w:rPr>
                <w:sz w:val="19"/>
                <w:szCs w:val="19"/>
                <w:color w:val="auto"/>
              </w:rPr>
            </w:pPr>
          </w:p>
        </w:tc>
      </w:tr>
      <w:tr>
        <w:trPr>
          <w:trHeight w:val="220"/>
        </w:trPr>
        <w:tc>
          <w:tcPr>
            <w:tcW w:w="6300" w:type="dxa"/>
            <w:vAlign w:val="bottom"/>
            <w:shd w:val="clear" w:color="auto" w:fill="D1EDF4"/>
          </w:tcPr>
          <w:p>
            <w:pPr>
              <w:spacing w:after="0"/>
              <w:rPr>
                <w:sz w:val="20"/>
                <w:szCs w:val="20"/>
                <w:color w:val="auto"/>
              </w:rPr>
            </w:pPr>
            <w:r>
              <w:rPr>
                <w:rFonts w:ascii="Arial" w:cs="Arial" w:eastAsia="Arial" w:hAnsi="Arial"/>
                <w:sz w:val="18"/>
                <w:szCs w:val="18"/>
                <w:color w:val="auto"/>
              </w:rPr>
              <w:t>Furniture, fixtures and equipment</w:t>
            </w:r>
          </w:p>
        </w:tc>
        <w:tc>
          <w:tcPr>
            <w:tcW w:w="16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40" w:type="dxa"/>
            <w:vAlign w:val="bottom"/>
            <w:shd w:val="clear" w:color="auto" w:fill="D1EDF4"/>
          </w:tcPr>
          <w:p>
            <w:pPr>
              <w:spacing w:after="0"/>
              <w:rPr>
                <w:sz w:val="19"/>
                <w:szCs w:val="19"/>
                <w:color w:val="auto"/>
              </w:rPr>
            </w:pPr>
          </w:p>
        </w:tc>
        <w:tc>
          <w:tcPr>
            <w:tcW w:w="820" w:type="dxa"/>
            <w:vAlign w:val="bottom"/>
            <w:shd w:val="clear" w:color="auto" w:fill="D1EDF4"/>
          </w:tcPr>
          <w:p>
            <w:pPr>
              <w:jc w:val="right"/>
              <w:spacing w:after="0"/>
              <w:rPr>
                <w:sz w:val="20"/>
                <w:szCs w:val="20"/>
                <w:color w:val="auto"/>
              </w:rPr>
            </w:pPr>
            <w:r>
              <w:rPr>
                <w:rFonts w:ascii="Arial" w:cs="Arial" w:eastAsia="Arial" w:hAnsi="Arial"/>
                <w:sz w:val="18"/>
                <w:szCs w:val="18"/>
                <w:color w:val="auto"/>
              </w:rPr>
              <w:t>146,181</w:t>
            </w:r>
          </w:p>
        </w:tc>
        <w:tc>
          <w:tcPr>
            <w:tcW w:w="16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60" w:type="dxa"/>
            <w:vAlign w:val="bottom"/>
            <w:shd w:val="clear" w:color="auto" w:fill="D1EDF4"/>
          </w:tcPr>
          <w:p>
            <w:pPr>
              <w:spacing w:after="0"/>
              <w:rPr>
                <w:sz w:val="19"/>
                <w:szCs w:val="19"/>
                <w:color w:val="auto"/>
              </w:rPr>
            </w:pPr>
          </w:p>
        </w:tc>
        <w:tc>
          <w:tcPr>
            <w:tcW w:w="820" w:type="dxa"/>
            <w:vAlign w:val="bottom"/>
            <w:shd w:val="clear" w:color="auto" w:fill="D1EDF4"/>
          </w:tcPr>
          <w:p>
            <w:pPr>
              <w:jc w:val="right"/>
              <w:spacing w:after="0"/>
              <w:rPr>
                <w:sz w:val="20"/>
                <w:szCs w:val="20"/>
                <w:color w:val="auto"/>
              </w:rPr>
            </w:pPr>
            <w:r>
              <w:rPr>
                <w:rFonts w:ascii="Arial" w:cs="Arial" w:eastAsia="Arial" w:hAnsi="Arial"/>
                <w:sz w:val="18"/>
                <w:szCs w:val="18"/>
                <w:color w:val="auto"/>
              </w:rPr>
              <w:t>144,321</w:t>
            </w:r>
          </w:p>
        </w:tc>
        <w:tc>
          <w:tcPr>
            <w:tcW w:w="40" w:type="dxa"/>
            <w:vAlign w:val="bottom"/>
            <w:shd w:val="clear" w:color="auto" w:fill="D1EDF4"/>
          </w:tcPr>
          <w:p>
            <w:pPr>
              <w:spacing w:after="0"/>
              <w:rPr>
                <w:sz w:val="19"/>
                <w:szCs w:val="19"/>
                <w:color w:val="auto"/>
              </w:rPr>
            </w:pPr>
          </w:p>
        </w:tc>
      </w:tr>
      <w:tr>
        <w:trPr>
          <w:trHeight w:val="220"/>
        </w:trPr>
        <w:tc>
          <w:tcPr>
            <w:tcW w:w="6300" w:type="dxa"/>
            <w:vAlign w:val="bottom"/>
          </w:tcPr>
          <w:p>
            <w:pPr>
              <w:spacing w:after="0"/>
              <w:rPr>
                <w:sz w:val="20"/>
                <w:szCs w:val="20"/>
                <w:color w:val="auto"/>
              </w:rPr>
            </w:pPr>
            <w:r>
              <w:rPr>
                <w:rFonts w:ascii="Arial" w:cs="Arial" w:eastAsia="Arial" w:hAnsi="Arial"/>
                <w:sz w:val="18"/>
                <w:szCs w:val="18"/>
                <w:color w:val="auto"/>
              </w:rPr>
              <w:t>Computer equipment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62,289</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59,993</w:t>
            </w:r>
          </w:p>
        </w:tc>
        <w:tc>
          <w:tcPr>
            <w:tcW w:w="40" w:type="dxa"/>
            <w:vAlign w:val="bottom"/>
          </w:tcPr>
          <w:p>
            <w:pPr>
              <w:spacing w:after="0"/>
              <w:rPr>
                <w:sz w:val="19"/>
                <w:szCs w:val="19"/>
                <w:color w:val="auto"/>
              </w:rPr>
            </w:pPr>
          </w:p>
        </w:tc>
      </w:tr>
      <w:tr>
        <w:trPr>
          <w:trHeight w:val="220"/>
        </w:trPr>
        <w:tc>
          <w:tcPr>
            <w:tcW w:w="6300" w:type="dxa"/>
            <w:vAlign w:val="bottom"/>
            <w:shd w:val="clear" w:color="auto" w:fill="D1EDF4"/>
          </w:tcPr>
          <w:p>
            <w:pPr>
              <w:spacing w:after="0"/>
              <w:rPr>
                <w:sz w:val="20"/>
                <w:szCs w:val="20"/>
                <w:color w:val="auto"/>
              </w:rPr>
            </w:pPr>
            <w:r>
              <w:rPr>
                <w:rFonts w:ascii="Arial" w:cs="Arial" w:eastAsia="Arial" w:hAnsi="Arial"/>
                <w:sz w:val="18"/>
                <w:szCs w:val="18"/>
                <w:color w:val="auto"/>
              </w:rPr>
              <w:t>Construction in progress</w:t>
            </w:r>
          </w:p>
        </w:tc>
        <w:tc>
          <w:tcPr>
            <w:tcW w:w="16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40" w:type="dxa"/>
            <w:vAlign w:val="bottom"/>
            <w:tcBorders>
              <w:bottom w:val="single" w:sz="8" w:color="auto"/>
            </w:tcBorders>
            <w:shd w:val="clear" w:color="auto" w:fill="D1EDF4"/>
          </w:tcPr>
          <w:p>
            <w:pPr>
              <w:spacing w:after="0"/>
              <w:rPr>
                <w:sz w:val="19"/>
                <w:szCs w:val="19"/>
                <w:color w:val="auto"/>
              </w:rPr>
            </w:pPr>
          </w:p>
        </w:tc>
        <w:tc>
          <w:tcPr>
            <w:tcW w:w="820" w:type="dxa"/>
            <w:vAlign w:val="bottom"/>
            <w:tcBorders>
              <w:bottom w:val="single" w:sz="8" w:color="auto"/>
            </w:tcBorders>
            <w:shd w:val="clear" w:color="auto" w:fill="D1EDF4"/>
          </w:tcPr>
          <w:p>
            <w:pPr>
              <w:jc w:val="right"/>
              <w:spacing w:after="0"/>
              <w:rPr>
                <w:sz w:val="20"/>
                <w:szCs w:val="20"/>
                <w:color w:val="auto"/>
              </w:rPr>
            </w:pPr>
            <w:r>
              <w:rPr>
                <w:rFonts w:ascii="Arial" w:cs="Arial" w:eastAsia="Arial" w:hAnsi="Arial"/>
                <w:sz w:val="18"/>
                <w:szCs w:val="18"/>
                <w:color w:val="auto"/>
              </w:rPr>
              <w:t>856</w:t>
            </w:r>
          </w:p>
        </w:tc>
        <w:tc>
          <w:tcPr>
            <w:tcW w:w="16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60" w:type="dxa"/>
            <w:vAlign w:val="bottom"/>
            <w:tcBorders>
              <w:bottom w:val="single" w:sz="8" w:color="auto"/>
            </w:tcBorders>
            <w:shd w:val="clear" w:color="auto" w:fill="D1EDF4"/>
          </w:tcPr>
          <w:p>
            <w:pPr>
              <w:spacing w:after="0"/>
              <w:rPr>
                <w:sz w:val="19"/>
                <w:szCs w:val="19"/>
                <w:color w:val="auto"/>
              </w:rPr>
            </w:pPr>
          </w:p>
        </w:tc>
        <w:tc>
          <w:tcPr>
            <w:tcW w:w="820" w:type="dxa"/>
            <w:vAlign w:val="bottom"/>
            <w:tcBorders>
              <w:bottom w:val="single" w:sz="8" w:color="auto"/>
            </w:tcBorders>
            <w:shd w:val="clear" w:color="auto" w:fill="D1EDF4"/>
          </w:tcPr>
          <w:p>
            <w:pPr>
              <w:jc w:val="right"/>
              <w:spacing w:after="0"/>
              <w:rPr>
                <w:sz w:val="20"/>
                <w:szCs w:val="20"/>
                <w:color w:val="auto"/>
              </w:rPr>
            </w:pPr>
            <w:r>
              <w:rPr>
                <w:rFonts w:ascii="Arial" w:cs="Arial" w:eastAsia="Arial" w:hAnsi="Arial"/>
                <w:sz w:val="18"/>
                <w:szCs w:val="18"/>
                <w:color w:val="auto"/>
              </w:rPr>
              <w:t>2,457</w:t>
            </w:r>
          </w:p>
        </w:tc>
        <w:tc>
          <w:tcPr>
            <w:tcW w:w="40" w:type="dxa"/>
            <w:vAlign w:val="bottom"/>
            <w:shd w:val="clear" w:color="auto" w:fill="D1EDF4"/>
          </w:tcPr>
          <w:p>
            <w:pPr>
              <w:spacing w:after="0"/>
              <w:rPr>
                <w:sz w:val="19"/>
                <w:szCs w:val="19"/>
                <w:color w:val="auto"/>
              </w:rPr>
            </w:pPr>
          </w:p>
        </w:tc>
      </w:tr>
      <w:tr>
        <w:trPr>
          <w:trHeight w:val="209"/>
        </w:trPr>
        <w:tc>
          <w:tcPr>
            <w:tcW w:w="6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356,305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348,111</w:t>
            </w:r>
          </w:p>
        </w:tc>
        <w:tc>
          <w:tcPr>
            <w:tcW w:w="40" w:type="dxa"/>
            <w:vAlign w:val="bottom"/>
          </w:tcPr>
          <w:p>
            <w:pPr>
              <w:spacing w:after="0"/>
              <w:rPr>
                <w:sz w:val="18"/>
                <w:szCs w:val="18"/>
                <w:color w:val="auto"/>
              </w:rPr>
            </w:pPr>
          </w:p>
        </w:tc>
      </w:tr>
      <w:tr>
        <w:trPr>
          <w:trHeight w:val="220"/>
        </w:trPr>
        <w:tc>
          <w:tcPr>
            <w:tcW w:w="6300" w:type="dxa"/>
            <w:vAlign w:val="bottom"/>
            <w:shd w:val="clear" w:color="auto" w:fill="D1EDF4"/>
          </w:tcPr>
          <w:p>
            <w:pPr>
              <w:spacing w:after="0"/>
              <w:rPr>
                <w:sz w:val="20"/>
                <w:szCs w:val="20"/>
                <w:color w:val="auto"/>
              </w:rPr>
            </w:pPr>
            <w:r>
              <w:rPr>
                <w:rFonts w:ascii="Arial" w:cs="Arial" w:eastAsia="Arial" w:hAnsi="Arial"/>
                <w:sz w:val="18"/>
                <w:szCs w:val="18"/>
                <w:color w:val="auto"/>
              </w:rPr>
              <w:t>Accumulated depreciation</w:t>
            </w:r>
          </w:p>
        </w:tc>
        <w:tc>
          <w:tcPr>
            <w:tcW w:w="16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40" w:type="dxa"/>
            <w:vAlign w:val="bottom"/>
            <w:tcBorders>
              <w:bottom w:val="single" w:sz="8" w:color="auto"/>
            </w:tcBorders>
            <w:shd w:val="clear" w:color="auto" w:fill="D1EDF4"/>
          </w:tcPr>
          <w:p>
            <w:pPr>
              <w:spacing w:after="0"/>
              <w:rPr>
                <w:sz w:val="19"/>
                <w:szCs w:val="19"/>
                <w:color w:val="auto"/>
              </w:rPr>
            </w:pPr>
          </w:p>
        </w:tc>
        <w:tc>
          <w:tcPr>
            <w:tcW w:w="820" w:type="dxa"/>
            <w:vAlign w:val="bottom"/>
            <w:tcBorders>
              <w:bottom w:val="single" w:sz="8" w:color="auto"/>
            </w:tcBorders>
            <w:shd w:val="clear" w:color="auto" w:fill="D1EDF4"/>
          </w:tcPr>
          <w:p>
            <w:pPr>
              <w:jc w:val="right"/>
              <w:spacing w:after="0"/>
              <w:rPr>
                <w:sz w:val="20"/>
                <w:szCs w:val="20"/>
                <w:color w:val="auto"/>
              </w:rPr>
            </w:pPr>
            <w:r>
              <w:rPr>
                <w:rFonts w:ascii="Arial" w:cs="Arial" w:eastAsia="Arial" w:hAnsi="Arial"/>
                <w:sz w:val="18"/>
                <w:szCs w:val="18"/>
                <w:color w:val="auto"/>
              </w:rPr>
              <w:t>(301,921)</w:t>
            </w:r>
          </w:p>
        </w:tc>
        <w:tc>
          <w:tcPr>
            <w:tcW w:w="16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60" w:type="dxa"/>
            <w:vAlign w:val="bottom"/>
            <w:tcBorders>
              <w:bottom w:val="single" w:sz="8" w:color="auto"/>
            </w:tcBorders>
            <w:shd w:val="clear" w:color="auto" w:fill="D1EDF4"/>
          </w:tcPr>
          <w:p>
            <w:pPr>
              <w:spacing w:after="0"/>
              <w:rPr>
                <w:sz w:val="19"/>
                <w:szCs w:val="19"/>
                <w:color w:val="auto"/>
              </w:rPr>
            </w:pPr>
          </w:p>
        </w:tc>
        <w:tc>
          <w:tcPr>
            <w:tcW w:w="820" w:type="dxa"/>
            <w:vAlign w:val="bottom"/>
            <w:tcBorders>
              <w:bottom w:val="single" w:sz="8" w:color="auto"/>
            </w:tcBorders>
            <w:shd w:val="clear" w:color="auto" w:fill="D1EDF4"/>
          </w:tcPr>
          <w:p>
            <w:pPr>
              <w:jc w:val="right"/>
              <w:spacing w:after="0"/>
              <w:rPr>
                <w:sz w:val="20"/>
                <w:szCs w:val="20"/>
                <w:color w:val="auto"/>
              </w:rPr>
            </w:pPr>
            <w:r>
              <w:rPr>
                <w:rFonts w:ascii="Arial" w:cs="Arial" w:eastAsia="Arial" w:hAnsi="Arial"/>
                <w:sz w:val="18"/>
                <w:szCs w:val="18"/>
                <w:color w:val="auto"/>
              </w:rPr>
              <w:t>(297,396)</w:t>
            </w:r>
          </w:p>
        </w:tc>
        <w:tc>
          <w:tcPr>
            <w:tcW w:w="40" w:type="dxa"/>
            <w:vAlign w:val="bottom"/>
            <w:shd w:val="clear" w:color="auto" w:fill="D1EDF4"/>
          </w:tcPr>
          <w:p>
            <w:pPr>
              <w:spacing w:after="0"/>
              <w:rPr>
                <w:sz w:val="19"/>
                <w:szCs w:val="19"/>
                <w:color w:val="auto"/>
              </w:rPr>
            </w:pPr>
          </w:p>
        </w:tc>
      </w:tr>
      <w:tr>
        <w:trPr>
          <w:trHeight w:val="219"/>
        </w:trPr>
        <w:tc>
          <w:tcPr>
            <w:tcW w:w="6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54,384</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50,715</w:t>
            </w:r>
          </w:p>
        </w:tc>
        <w:tc>
          <w:tcPr>
            <w:tcW w:w="40" w:type="dxa"/>
            <w:vAlign w:val="bottom"/>
          </w:tcPr>
          <w:p>
            <w:pPr>
              <w:spacing w:after="0"/>
              <w:rPr>
                <w:sz w:val="19"/>
                <w:szCs w:val="19"/>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4. Revolving Credit Facility</w:t>
      </w:r>
    </w:p>
    <w:p>
      <w:pPr>
        <w:spacing w:after="0" w:line="164" w:lineRule="exact"/>
        <w:rPr>
          <w:sz w:val="20"/>
          <w:szCs w:val="20"/>
          <w:color w:val="auto"/>
        </w:rPr>
      </w:pPr>
    </w:p>
    <w:p>
      <w:pPr>
        <w:spacing w:after="0" w:line="250" w:lineRule="auto"/>
        <w:rPr>
          <w:sz w:val="20"/>
          <w:szCs w:val="20"/>
          <w:color w:val="auto"/>
        </w:rPr>
      </w:pPr>
      <w:r>
        <w:rPr>
          <w:rFonts w:ascii="Arial" w:cs="Arial" w:eastAsia="Arial" w:hAnsi="Arial"/>
          <w:sz w:val="19"/>
          <w:szCs w:val="19"/>
          <w:color w:val="auto"/>
        </w:rPr>
        <w:t>In October 2011, the Company entered into a five-year, $50 million credit facility with Bank of America. The facility was amended in August 2015, May 2020 and April 2021 to modify terms and extend the maturity dates. The facility was further amended on April 10, 2025 to extend the maturity date to April 10, 2030. The amended facility provides a $75 million credit commitment and a $25 million uncommitted “accordion” feature that under certain circumstances could allow the Company to increase the size of the facility to $100 million.</w:t>
      </w:r>
    </w:p>
    <w:p>
      <w:pPr>
        <w:spacing w:after="0" w:line="114" w:lineRule="exact"/>
        <w:rPr>
          <w:sz w:val="20"/>
          <w:szCs w:val="20"/>
          <w:color w:val="auto"/>
        </w:rPr>
      </w:pPr>
    </w:p>
    <w:p>
      <w:pPr>
        <w:ind w:right="220"/>
        <w:spacing w:after="0" w:line="253" w:lineRule="auto"/>
        <w:rPr>
          <w:sz w:val="20"/>
          <w:szCs w:val="20"/>
          <w:color w:val="auto"/>
        </w:rPr>
      </w:pPr>
      <w:r>
        <w:rPr>
          <w:rFonts w:ascii="Arial" w:cs="Arial" w:eastAsia="Arial" w:hAnsi="Arial"/>
          <w:sz w:val="19"/>
          <w:szCs w:val="19"/>
          <w:color w:val="auto"/>
        </w:rPr>
        <w:t>The facility is secured by the Company’s inventory, accounts receivable and related assets, but not its real estate, fixtures and equipment, and it contains one financial covenant, a fixed charge coverage ratio, which is applicable and tested only in certain circumstances. The facility has an unused commitment fee of 0.25% and permits the payment of cash dividends subject to certain limitations.</w:t>
      </w:r>
    </w:p>
    <w:p>
      <w:pPr>
        <w:spacing w:after="0" w:line="113" w:lineRule="exact"/>
        <w:rPr>
          <w:sz w:val="20"/>
          <w:szCs w:val="20"/>
          <w:color w:val="auto"/>
        </w:rPr>
      </w:pPr>
    </w:p>
    <w:p>
      <w:pPr>
        <w:ind w:right="80"/>
        <w:spacing w:after="0" w:line="253" w:lineRule="auto"/>
        <w:rPr>
          <w:sz w:val="20"/>
          <w:szCs w:val="20"/>
          <w:color w:val="auto"/>
        </w:rPr>
      </w:pPr>
      <w:r>
        <w:rPr>
          <w:rFonts w:ascii="Arial" w:cs="Arial" w:eastAsia="Arial" w:hAnsi="Arial"/>
          <w:sz w:val="19"/>
          <w:szCs w:val="19"/>
          <w:color w:val="auto"/>
        </w:rPr>
        <w:t>Borrowings under the credit facility bear interest (a) for SOFR Loans, at a rate equal to the SOFR Rate plus a SOFR adjustment equal to 0.10% plus either 1.50%, 1.75% or 2.00%, or (b) for Base Rate Loans, at a rate equal to the highest of (i) the prime rate, (ii) the Federal Funds Rate plus 0.5% and (iii) the Terms SOFR Rate plus 1.0%, plus, in each case either 0.50%, 0.75% or 1.00%, based in any such case on the average daily availability for borrowings under the facility.</w:t>
      </w:r>
    </w:p>
    <w:p>
      <w:pPr>
        <w:spacing w:after="0" w:line="113" w:lineRule="exact"/>
        <w:rPr>
          <w:sz w:val="20"/>
          <w:szCs w:val="20"/>
          <w:color w:val="auto"/>
        </w:rPr>
      </w:pPr>
    </w:p>
    <w:p>
      <w:pPr>
        <w:spacing w:after="0"/>
        <w:rPr>
          <w:sz w:val="20"/>
          <w:szCs w:val="20"/>
          <w:color w:val="auto"/>
        </w:rPr>
      </w:pPr>
      <w:r>
        <w:rPr>
          <w:rFonts w:ascii="Arial" w:cs="Arial" w:eastAsia="Arial" w:hAnsi="Arial"/>
          <w:sz w:val="19"/>
          <w:szCs w:val="19"/>
          <w:color w:val="auto"/>
        </w:rPr>
        <w:t>As of January 31, 2026, the Company had no borrowings under the credit facility and $2.2 million of letters of credit outstanding.</w:t>
      </w:r>
    </w:p>
    <w:p>
      <w:pPr>
        <w:spacing w:after="0" w:line="26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5. Income Taxes</w:t>
      </w:r>
    </w:p>
    <w:p>
      <w:pPr>
        <w:spacing w:after="0" w:line="164" w:lineRule="exact"/>
        <w:rPr>
          <w:sz w:val="20"/>
          <w:szCs w:val="20"/>
          <w:color w:val="auto"/>
        </w:rPr>
      </w:pPr>
    </w:p>
    <w:p>
      <w:pPr>
        <w:spacing w:after="0"/>
        <w:rPr>
          <w:sz w:val="20"/>
          <w:szCs w:val="20"/>
          <w:color w:val="auto"/>
        </w:rPr>
      </w:pPr>
      <w:r>
        <w:rPr>
          <w:rFonts w:ascii="Arial" w:cs="Arial" w:eastAsia="Arial" w:hAnsi="Arial"/>
          <w:sz w:val="19"/>
          <w:szCs w:val="19"/>
          <w:color w:val="auto"/>
        </w:rPr>
        <w:t>Income tax (expense) benefit consists of the following (in thousands):</w:t>
      </w:r>
    </w:p>
    <w:p>
      <w:pPr>
        <w:spacing w:after="0" w:line="215" w:lineRule="exact"/>
        <w:rPr>
          <w:sz w:val="20"/>
          <w:szCs w:val="20"/>
          <w:color w:val="auto"/>
        </w:rPr>
      </w:pPr>
    </w:p>
    <w:tbl>
      <w:tblPr>
        <w:tblLayout w:type="fixed"/>
        <w:tblInd w:w="580" w:type="dxa"/>
        <w:tblCellMar>
          <w:top w:w="0" w:type="dxa"/>
          <w:left w:w="0" w:type="dxa"/>
          <w:bottom w:w="0" w:type="dxa"/>
          <w:right w:w="0" w:type="dxa"/>
        </w:tblCellMar>
      </w:tblPr>
      <w:tr>
        <w:trPr>
          <w:trHeight w:val="203"/>
        </w:trPr>
        <w:tc>
          <w:tcPr>
            <w:tcW w:w="6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rPr>
              <w:t>Fiscal Year</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08"/>
        </w:trPr>
        <w:tc>
          <w:tcPr>
            <w:tcW w:w="6200" w:type="dxa"/>
            <w:vAlign w:val="bottom"/>
            <w:tcBorders>
              <w:bottom w:val="single" w:sz="8" w:color="D1EDF4"/>
            </w:tcBorders>
          </w:tcPr>
          <w:p>
            <w:pPr>
              <w:spacing w:after="0"/>
              <w:rPr>
                <w:sz w:val="18"/>
                <w:szCs w:val="18"/>
                <w:color w:val="auto"/>
              </w:rPr>
            </w:pPr>
          </w:p>
        </w:tc>
        <w:tc>
          <w:tcPr>
            <w:tcW w:w="220" w:type="dxa"/>
            <w:vAlign w:val="bottom"/>
            <w:tcBorders>
              <w:bottom w:val="single" w:sz="8" w:color="D1EDF4"/>
            </w:tcBorders>
          </w:tcPr>
          <w:p>
            <w:pPr>
              <w:spacing w:after="0"/>
              <w:rPr>
                <w:sz w:val="18"/>
                <w:szCs w:val="18"/>
                <w:color w:val="auto"/>
              </w:rPr>
            </w:pPr>
          </w:p>
        </w:tc>
        <w:tc>
          <w:tcPr>
            <w:tcW w:w="20" w:type="dxa"/>
            <w:vAlign w:val="bottom"/>
            <w:tcBorders>
              <w:bottom w:val="single" w:sz="8" w:color="D1EDF4"/>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1"/>
              <w:spacing w:after="0"/>
              <w:rPr>
                <w:sz w:val="20"/>
                <w:szCs w:val="20"/>
                <w:color w:val="auto"/>
              </w:rPr>
            </w:pPr>
            <w:r>
              <w:rPr>
                <w:rFonts w:ascii="Arial" w:cs="Arial" w:eastAsia="Arial" w:hAnsi="Arial"/>
                <w:sz w:val="16"/>
                <w:szCs w:val="16"/>
                <w:b w:val="1"/>
                <w:bCs w:val="1"/>
                <w:color w:val="auto"/>
              </w:rPr>
              <w:t>2025</w:t>
            </w:r>
          </w:p>
        </w:tc>
        <w:tc>
          <w:tcPr>
            <w:tcW w:w="200" w:type="dxa"/>
            <w:vAlign w:val="bottom"/>
            <w:tcBorders>
              <w:bottom w:val="single" w:sz="8" w:color="D1EDF4"/>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1"/>
              <w:spacing w:after="0"/>
              <w:rPr>
                <w:sz w:val="20"/>
                <w:szCs w:val="20"/>
                <w:color w:val="auto"/>
              </w:rPr>
            </w:pPr>
            <w:r>
              <w:rPr>
                <w:rFonts w:ascii="Arial" w:cs="Arial" w:eastAsia="Arial" w:hAnsi="Arial"/>
                <w:sz w:val="16"/>
                <w:szCs w:val="16"/>
                <w:b w:val="1"/>
                <w:bCs w:val="1"/>
                <w:color w:val="auto"/>
              </w:rPr>
              <w:t>2024</w:t>
            </w:r>
          </w:p>
        </w:tc>
        <w:tc>
          <w:tcPr>
            <w:tcW w:w="180" w:type="dxa"/>
            <w:vAlign w:val="bottom"/>
            <w:tcBorders>
              <w:bottom w:val="single" w:sz="8" w:color="D1EDF4"/>
            </w:tcBorders>
          </w:tcPr>
          <w:p>
            <w:pPr>
              <w:spacing w:after="0"/>
              <w:rPr>
                <w:sz w:val="18"/>
                <w:szCs w:val="18"/>
                <w:color w:val="auto"/>
              </w:rPr>
            </w:pPr>
          </w:p>
        </w:tc>
        <w:tc>
          <w:tcPr>
            <w:tcW w:w="20" w:type="dxa"/>
            <w:vAlign w:val="bottom"/>
            <w:tcBorders>
              <w:bottom w:val="single" w:sz="8" w:color="D1EDF4"/>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1"/>
              <w:spacing w:after="0"/>
              <w:rPr>
                <w:sz w:val="20"/>
                <w:szCs w:val="20"/>
                <w:color w:val="auto"/>
              </w:rPr>
            </w:pPr>
            <w:r>
              <w:rPr>
                <w:rFonts w:ascii="Arial" w:cs="Arial" w:eastAsia="Arial" w:hAnsi="Arial"/>
                <w:sz w:val="16"/>
                <w:szCs w:val="16"/>
                <w:b w:val="1"/>
                <w:bCs w:val="1"/>
                <w:color w:val="auto"/>
              </w:rPr>
              <w:t>2023</w:t>
            </w:r>
          </w:p>
        </w:tc>
        <w:tc>
          <w:tcPr>
            <w:tcW w:w="60" w:type="dxa"/>
            <w:vAlign w:val="bottom"/>
            <w:tcBorders>
              <w:bottom w:val="single" w:sz="8" w:color="D1EDF4"/>
            </w:tcBorders>
          </w:tcPr>
          <w:p>
            <w:pPr>
              <w:spacing w:after="0"/>
              <w:rPr>
                <w:sz w:val="18"/>
                <w:szCs w:val="18"/>
                <w:color w:val="auto"/>
              </w:rPr>
            </w:pPr>
          </w:p>
        </w:tc>
      </w:tr>
      <w:tr>
        <w:trPr>
          <w:trHeight w:val="208"/>
        </w:trPr>
        <w:tc>
          <w:tcPr>
            <w:tcW w:w="6200" w:type="dxa"/>
            <w:vAlign w:val="bottom"/>
            <w:shd w:val="clear" w:color="auto" w:fill="D1EDF4"/>
          </w:tcPr>
          <w:p>
            <w:pPr>
              <w:spacing w:after="0"/>
              <w:rPr>
                <w:sz w:val="20"/>
                <w:szCs w:val="20"/>
                <w:color w:val="auto"/>
              </w:rPr>
            </w:pPr>
            <w:r>
              <w:rPr>
                <w:rFonts w:ascii="Arial" w:cs="Arial" w:eastAsia="Arial" w:hAnsi="Arial"/>
                <w:sz w:val="18"/>
                <w:szCs w:val="18"/>
                <w:color w:val="auto"/>
              </w:rPr>
              <w:t>Current:</w:t>
            </w:r>
          </w:p>
        </w:tc>
        <w:tc>
          <w:tcPr>
            <w:tcW w:w="22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180" w:type="dxa"/>
            <w:vAlign w:val="bottom"/>
            <w:shd w:val="clear" w:color="auto" w:fill="D1EDF4"/>
          </w:tcPr>
          <w:p>
            <w:pPr>
              <w:spacing w:after="0"/>
              <w:rPr>
                <w:sz w:val="18"/>
                <w:szCs w:val="18"/>
                <w:color w:val="auto"/>
              </w:rPr>
            </w:pPr>
          </w:p>
        </w:tc>
        <w:tc>
          <w:tcPr>
            <w:tcW w:w="720" w:type="dxa"/>
            <w:vAlign w:val="bottom"/>
            <w:shd w:val="clear" w:color="auto" w:fill="D1EDF4"/>
          </w:tcPr>
          <w:p>
            <w:pPr>
              <w:spacing w:after="0"/>
              <w:rPr>
                <w:sz w:val="18"/>
                <w:szCs w:val="18"/>
                <w:color w:val="auto"/>
              </w:rPr>
            </w:pPr>
          </w:p>
        </w:tc>
        <w:tc>
          <w:tcPr>
            <w:tcW w:w="200" w:type="dxa"/>
            <w:vAlign w:val="bottom"/>
            <w:shd w:val="clear" w:color="auto" w:fill="D1EDF4"/>
          </w:tcPr>
          <w:p>
            <w:pPr>
              <w:spacing w:after="0"/>
              <w:rPr>
                <w:sz w:val="18"/>
                <w:szCs w:val="18"/>
                <w:color w:val="auto"/>
              </w:rPr>
            </w:pPr>
          </w:p>
        </w:tc>
        <w:tc>
          <w:tcPr>
            <w:tcW w:w="200" w:type="dxa"/>
            <w:vAlign w:val="bottom"/>
            <w:shd w:val="clear" w:color="auto" w:fill="D1EDF4"/>
          </w:tcPr>
          <w:p>
            <w:pPr>
              <w:spacing w:after="0"/>
              <w:rPr>
                <w:sz w:val="18"/>
                <w:szCs w:val="18"/>
                <w:color w:val="auto"/>
              </w:rPr>
            </w:pPr>
          </w:p>
        </w:tc>
        <w:tc>
          <w:tcPr>
            <w:tcW w:w="720" w:type="dxa"/>
            <w:vAlign w:val="bottom"/>
            <w:shd w:val="clear" w:color="auto" w:fill="D1EDF4"/>
          </w:tcPr>
          <w:p>
            <w:pPr>
              <w:spacing w:after="0"/>
              <w:rPr>
                <w:sz w:val="18"/>
                <w:szCs w:val="18"/>
                <w:color w:val="auto"/>
              </w:rPr>
            </w:pPr>
          </w:p>
        </w:tc>
        <w:tc>
          <w:tcPr>
            <w:tcW w:w="18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200" w:type="dxa"/>
            <w:vAlign w:val="bottom"/>
            <w:shd w:val="clear" w:color="auto" w:fill="D1EDF4"/>
          </w:tcPr>
          <w:p>
            <w:pPr>
              <w:spacing w:after="0"/>
              <w:rPr>
                <w:sz w:val="18"/>
                <w:szCs w:val="18"/>
                <w:color w:val="auto"/>
              </w:rPr>
            </w:pPr>
          </w:p>
        </w:tc>
        <w:tc>
          <w:tcPr>
            <w:tcW w:w="720" w:type="dxa"/>
            <w:vAlign w:val="bottom"/>
            <w:shd w:val="clear" w:color="auto" w:fill="D1EDF4"/>
          </w:tcPr>
          <w:p>
            <w:pPr>
              <w:spacing w:after="0"/>
              <w:rPr>
                <w:sz w:val="18"/>
                <w:szCs w:val="18"/>
                <w:color w:val="auto"/>
              </w:rPr>
            </w:pPr>
          </w:p>
        </w:tc>
        <w:tc>
          <w:tcPr>
            <w:tcW w:w="60" w:type="dxa"/>
            <w:vAlign w:val="bottom"/>
            <w:shd w:val="clear" w:color="auto" w:fill="D1EDF4"/>
          </w:tcPr>
          <w:p>
            <w:pPr>
              <w:spacing w:after="0"/>
              <w:rPr>
                <w:sz w:val="18"/>
                <w:szCs w:val="18"/>
                <w:color w:val="auto"/>
              </w:rPr>
            </w:pPr>
          </w:p>
        </w:tc>
      </w:tr>
      <w:tr>
        <w:trPr>
          <w:trHeight w:val="220"/>
        </w:trPr>
        <w:tc>
          <w:tcPr>
            <w:tcW w:w="6440" w:type="dxa"/>
            <w:vAlign w:val="bottom"/>
            <w:gridSpan w:val="3"/>
          </w:tcPr>
          <w:p>
            <w:pPr>
              <w:ind w:left="240"/>
              <w:spacing w:after="0"/>
              <w:rPr>
                <w:sz w:val="20"/>
                <w:szCs w:val="20"/>
                <w:color w:val="auto"/>
              </w:rPr>
            </w:pPr>
            <w:r>
              <w:rPr>
                <w:rFonts w:ascii="Arial" w:cs="Arial" w:eastAsia="Arial" w:hAnsi="Arial"/>
                <w:sz w:val="18"/>
                <w:szCs w:val="18"/>
                <w:color w:val="auto"/>
              </w:rPr>
              <w:t>Federal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(160)</w:t>
            </w:r>
          </w:p>
        </w:tc>
        <w:tc>
          <w:tcPr>
            <w:tcW w:w="20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(275)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2,025</w:t>
            </w:r>
          </w:p>
        </w:tc>
        <w:tc>
          <w:tcPr>
            <w:tcW w:w="60" w:type="dxa"/>
            <w:vAlign w:val="bottom"/>
          </w:tcPr>
          <w:p>
            <w:pPr>
              <w:spacing w:after="0"/>
              <w:rPr>
                <w:sz w:val="19"/>
                <w:szCs w:val="19"/>
                <w:color w:val="auto"/>
              </w:rPr>
            </w:pPr>
          </w:p>
        </w:tc>
      </w:tr>
      <w:tr>
        <w:trPr>
          <w:trHeight w:val="218"/>
        </w:trPr>
        <w:tc>
          <w:tcPr>
            <w:tcW w:w="6200" w:type="dxa"/>
            <w:vAlign w:val="bottom"/>
            <w:shd w:val="clear" w:color="auto" w:fill="D1EDF4"/>
          </w:tcPr>
          <w:p>
            <w:pPr>
              <w:ind w:left="240"/>
              <w:spacing w:after="0"/>
              <w:rPr>
                <w:sz w:val="20"/>
                <w:szCs w:val="20"/>
                <w:color w:val="auto"/>
              </w:rPr>
            </w:pPr>
            <w:r>
              <w:rPr>
                <w:rFonts w:ascii="Arial" w:cs="Arial" w:eastAsia="Arial" w:hAnsi="Arial"/>
                <w:sz w:val="18"/>
                <w:szCs w:val="18"/>
                <w:color w:val="auto"/>
              </w:rPr>
              <w:t>State</w:t>
            </w:r>
          </w:p>
        </w:tc>
        <w:tc>
          <w:tcPr>
            <w:tcW w:w="22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180" w:type="dxa"/>
            <w:vAlign w:val="bottom"/>
            <w:shd w:val="clear" w:color="auto" w:fill="D1EDF4"/>
          </w:tcPr>
          <w:p>
            <w:pPr>
              <w:spacing w:after="0"/>
              <w:rPr>
                <w:sz w:val="18"/>
                <w:szCs w:val="18"/>
                <w:color w:val="auto"/>
              </w:rPr>
            </w:pPr>
          </w:p>
        </w:tc>
        <w:tc>
          <w:tcPr>
            <w:tcW w:w="920" w:type="dxa"/>
            <w:vAlign w:val="bottom"/>
            <w:gridSpan w:val="2"/>
            <w:shd w:val="clear" w:color="auto" w:fill="D1EDF4"/>
          </w:tcPr>
          <w:p>
            <w:pPr>
              <w:jc w:val="right"/>
              <w:ind w:right="200"/>
              <w:spacing w:after="0"/>
              <w:rPr>
                <w:sz w:val="20"/>
                <w:szCs w:val="20"/>
                <w:color w:val="auto"/>
              </w:rPr>
            </w:pPr>
            <w:r>
              <w:rPr>
                <w:rFonts w:ascii="Arial" w:cs="Arial" w:eastAsia="Arial" w:hAnsi="Arial"/>
                <w:sz w:val="18"/>
                <w:szCs w:val="18"/>
                <w:color w:val="auto"/>
              </w:rPr>
              <w:t>(34)</w:t>
            </w:r>
          </w:p>
        </w:tc>
        <w:tc>
          <w:tcPr>
            <w:tcW w:w="200" w:type="dxa"/>
            <w:vAlign w:val="bottom"/>
            <w:shd w:val="clear" w:color="auto" w:fill="D1EDF4"/>
          </w:tcPr>
          <w:p>
            <w:pPr>
              <w:spacing w:after="0"/>
              <w:rPr>
                <w:sz w:val="18"/>
                <w:szCs w:val="18"/>
                <w:color w:val="auto"/>
              </w:rPr>
            </w:pPr>
          </w:p>
        </w:tc>
        <w:tc>
          <w:tcPr>
            <w:tcW w:w="720" w:type="dxa"/>
            <w:vAlign w:val="bottom"/>
            <w:shd w:val="clear" w:color="auto" w:fill="D1EDF4"/>
          </w:tcPr>
          <w:p>
            <w:pPr>
              <w:jc w:val="right"/>
              <w:spacing w:after="0"/>
              <w:rPr>
                <w:sz w:val="20"/>
                <w:szCs w:val="20"/>
                <w:color w:val="auto"/>
              </w:rPr>
            </w:pPr>
            <w:r>
              <w:rPr>
                <w:rFonts w:ascii="Arial" w:cs="Arial" w:eastAsia="Arial" w:hAnsi="Arial"/>
                <w:sz w:val="18"/>
                <w:szCs w:val="18"/>
                <w:color w:val="auto"/>
              </w:rPr>
              <w:t>(420)</w:t>
            </w:r>
          </w:p>
        </w:tc>
        <w:tc>
          <w:tcPr>
            <w:tcW w:w="18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200" w:type="dxa"/>
            <w:vAlign w:val="bottom"/>
            <w:shd w:val="clear" w:color="auto" w:fill="D1EDF4"/>
          </w:tcPr>
          <w:p>
            <w:pPr>
              <w:spacing w:after="0"/>
              <w:rPr>
                <w:sz w:val="18"/>
                <w:szCs w:val="18"/>
                <w:color w:val="auto"/>
              </w:rPr>
            </w:pPr>
          </w:p>
        </w:tc>
        <w:tc>
          <w:tcPr>
            <w:tcW w:w="720" w:type="dxa"/>
            <w:vAlign w:val="bottom"/>
            <w:shd w:val="clear" w:color="auto" w:fill="D1EDF4"/>
          </w:tcPr>
          <w:p>
            <w:pPr>
              <w:jc w:val="right"/>
              <w:spacing w:after="0"/>
              <w:rPr>
                <w:sz w:val="20"/>
                <w:szCs w:val="20"/>
                <w:color w:val="auto"/>
              </w:rPr>
            </w:pPr>
            <w:r>
              <w:rPr>
                <w:rFonts w:ascii="Arial" w:cs="Arial" w:eastAsia="Arial" w:hAnsi="Arial"/>
                <w:sz w:val="18"/>
                <w:szCs w:val="18"/>
                <w:color w:val="auto"/>
              </w:rPr>
              <w:t>(329)</w:t>
            </w:r>
          </w:p>
        </w:tc>
        <w:tc>
          <w:tcPr>
            <w:tcW w:w="60" w:type="dxa"/>
            <w:vAlign w:val="bottom"/>
            <w:shd w:val="clear" w:color="auto" w:fill="D1EDF4"/>
          </w:tcPr>
          <w:p>
            <w:pPr>
              <w:spacing w:after="0"/>
              <w:rPr>
                <w:sz w:val="18"/>
                <w:szCs w:val="18"/>
                <w:color w:val="auto"/>
              </w:rPr>
            </w:pPr>
          </w:p>
        </w:tc>
      </w:tr>
      <w:tr>
        <w:trPr>
          <w:trHeight w:val="208"/>
        </w:trPr>
        <w:tc>
          <w:tcPr>
            <w:tcW w:w="6440" w:type="dxa"/>
            <w:vAlign w:val="bottom"/>
            <w:tcBorders>
              <w:bottom w:val="single" w:sz="8" w:color="D1EDF4"/>
            </w:tcBorders>
            <w:gridSpan w:val="3"/>
          </w:tcPr>
          <w:p>
            <w:pPr>
              <w:ind w:left="360"/>
              <w:spacing w:after="0"/>
              <w:rPr>
                <w:sz w:val="20"/>
                <w:szCs w:val="20"/>
                <w:color w:val="auto"/>
              </w:rPr>
            </w:pPr>
            <w:r>
              <w:rPr>
                <w:rFonts w:ascii="Arial" w:cs="Arial" w:eastAsia="Arial" w:hAnsi="Arial"/>
                <w:sz w:val="18"/>
                <w:szCs w:val="18"/>
                <w:color w:val="auto"/>
              </w:rPr>
              <w:t>Total current</w:t>
            </w: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200" w:type="dxa"/>
            <w:vAlign w:val="bottom"/>
            <w:tcBorders>
              <w:bottom w:val="single" w:sz="8" w:color="D1EDF4"/>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(695)</w:t>
            </w:r>
          </w:p>
        </w:tc>
        <w:tc>
          <w:tcPr>
            <w:tcW w:w="180" w:type="dxa"/>
            <w:vAlign w:val="bottom"/>
            <w:tcBorders>
              <w:bottom w:val="single" w:sz="8" w:color="D1EDF4"/>
            </w:tcBorders>
          </w:tcPr>
          <w:p>
            <w:pPr>
              <w:spacing w:after="0"/>
              <w:rPr>
                <w:sz w:val="18"/>
                <w:szCs w:val="18"/>
                <w:color w:val="auto"/>
              </w:rPr>
            </w:pPr>
          </w:p>
        </w:tc>
        <w:tc>
          <w:tcPr>
            <w:tcW w:w="20" w:type="dxa"/>
            <w:vAlign w:val="bottom"/>
            <w:tcBorders>
              <w:bottom w:val="single" w:sz="8" w:color="D1EDF4"/>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1,696</w:t>
            </w:r>
          </w:p>
        </w:tc>
        <w:tc>
          <w:tcPr>
            <w:tcW w:w="60" w:type="dxa"/>
            <w:vAlign w:val="bottom"/>
            <w:tcBorders>
              <w:bottom w:val="single" w:sz="8" w:color="D1EDF4"/>
            </w:tcBorders>
          </w:tcPr>
          <w:p>
            <w:pPr>
              <w:spacing w:after="0"/>
              <w:rPr>
                <w:sz w:val="18"/>
                <w:szCs w:val="18"/>
                <w:color w:val="auto"/>
              </w:rPr>
            </w:pPr>
          </w:p>
        </w:tc>
      </w:tr>
      <w:tr>
        <w:trPr>
          <w:trHeight w:val="208"/>
        </w:trPr>
        <w:tc>
          <w:tcPr>
            <w:tcW w:w="6200" w:type="dxa"/>
            <w:vAlign w:val="bottom"/>
            <w:shd w:val="clear" w:color="auto" w:fill="D1EDF4"/>
          </w:tcPr>
          <w:p>
            <w:pPr>
              <w:spacing w:after="0"/>
              <w:rPr>
                <w:sz w:val="20"/>
                <w:szCs w:val="20"/>
                <w:color w:val="auto"/>
              </w:rPr>
            </w:pPr>
            <w:r>
              <w:rPr>
                <w:rFonts w:ascii="Arial" w:cs="Arial" w:eastAsia="Arial" w:hAnsi="Arial"/>
                <w:sz w:val="18"/>
                <w:szCs w:val="18"/>
                <w:color w:val="auto"/>
              </w:rPr>
              <w:t>Deferred:</w:t>
            </w:r>
          </w:p>
        </w:tc>
        <w:tc>
          <w:tcPr>
            <w:tcW w:w="22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180" w:type="dxa"/>
            <w:vAlign w:val="bottom"/>
            <w:shd w:val="clear" w:color="auto" w:fill="D1EDF4"/>
          </w:tcPr>
          <w:p>
            <w:pPr>
              <w:spacing w:after="0"/>
              <w:rPr>
                <w:sz w:val="18"/>
                <w:szCs w:val="18"/>
                <w:color w:val="auto"/>
              </w:rPr>
            </w:pPr>
          </w:p>
        </w:tc>
        <w:tc>
          <w:tcPr>
            <w:tcW w:w="720" w:type="dxa"/>
            <w:vAlign w:val="bottom"/>
            <w:shd w:val="clear" w:color="auto" w:fill="D1EDF4"/>
          </w:tcPr>
          <w:p>
            <w:pPr>
              <w:spacing w:after="0"/>
              <w:rPr>
                <w:sz w:val="18"/>
                <w:szCs w:val="18"/>
                <w:color w:val="auto"/>
              </w:rPr>
            </w:pPr>
          </w:p>
        </w:tc>
        <w:tc>
          <w:tcPr>
            <w:tcW w:w="200" w:type="dxa"/>
            <w:vAlign w:val="bottom"/>
            <w:shd w:val="clear" w:color="auto" w:fill="D1EDF4"/>
          </w:tcPr>
          <w:p>
            <w:pPr>
              <w:spacing w:after="0"/>
              <w:rPr>
                <w:sz w:val="18"/>
                <w:szCs w:val="18"/>
                <w:color w:val="auto"/>
              </w:rPr>
            </w:pPr>
          </w:p>
        </w:tc>
        <w:tc>
          <w:tcPr>
            <w:tcW w:w="200" w:type="dxa"/>
            <w:vAlign w:val="bottom"/>
            <w:shd w:val="clear" w:color="auto" w:fill="D1EDF4"/>
          </w:tcPr>
          <w:p>
            <w:pPr>
              <w:spacing w:after="0"/>
              <w:rPr>
                <w:sz w:val="18"/>
                <w:szCs w:val="18"/>
                <w:color w:val="auto"/>
              </w:rPr>
            </w:pPr>
          </w:p>
        </w:tc>
        <w:tc>
          <w:tcPr>
            <w:tcW w:w="720" w:type="dxa"/>
            <w:vAlign w:val="bottom"/>
            <w:shd w:val="clear" w:color="auto" w:fill="D1EDF4"/>
          </w:tcPr>
          <w:p>
            <w:pPr>
              <w:spacing w:after="0"/>
              <w:rPr>
                <w:sz w:val="18"/>
                <w:szCs w:val="18"/>
                <w:color w:val="auto"/>
              </w:rPr>
            </w:pPr>
          </w:p>
        </w:tc>
        <w:tc>
          <w:tcPr>
            <w:tcW w:w="18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200" w:type="dxa"/>
            <w:vAlign w:val="bottom"/>
            <w:shd w:val="clear" w:color="auto" w:fill="D1EDF4"/>
          </w:tcPr>
          <w:p>
            <w:pPr>
              <w:spacing w:after="0"/>
              <w:rPr>
                <w:sz w:val="18"/>
                <w:szCs w:val="18"/>
                <w:color w:val="auto"/>
              </w:rPr>
            </w:pPr>
          </w:p>
        </w:tc>
        <w:tc>
          <w:tcPr>
            <w:tcW w:w="720" w:type="dxa"/>
            <w:vAlign w:val="bottom"/>
            <w:shd w:val="clear" w:color="auto" w:fill="D1EDF4"/>
          </w:tcPr>
          <w:p>
            <w:pPr>
              <w:spacing w:after="0"/>
              <w:rPr>
                <w:sz w:val="18"/>
                <w:szCs w:val="18"/>
                <w:color w:val="auto"/>
              </w:rPr>
            </w:pPr>
          </w:p>
        </w:tc>
        <w:tc>
          <w:tcPr>
            <w:tcW w:w="60" w:type="dxa"/>
            <w:vAlign w:val="bottom"/>
            <w:shd w:val="clear" w:color="auto" w:fill="D1EDF4"/>
          </w:tcPr>
          <w:p>
            <w:pPr>
              <w:spacing w:after="0"/>
              <w:rPr>
                <w:sz w:val="18"/>
                <w:szCs w:val="18"/>
                <w:color w:val="auto"/>
              </w:rPr>
            </w:pPr>
          </w:p>
        </w:tc>
      </w:tr>
      <w:tr>
        <w:trPr>
          <w:trHeight w:val="218"/>
        </w:trPr>
        <w:tc>
          <w:tcPr>
            <w:tcW w:w="6440" w:type="dxa"/>
            <w:vAlign w:val="bottom"/>
            <w:gridSpan w:val="3"/>
          </w:tcPr>
          <w:p>
            <w:pPr>
              <w:ind w:left="240"/>
              <w:spacing w:after="0"/>
              <w:rPr>
                <w:sz w:val="20"/>
                <w:szCs w:val="20"/>
                <w:color w:val="auto"/>
              </w:rPr>
            </w:pPr>
            <w:r>
              <w:rPr>
                <w:rFonts w:ascii="Arial" w:cs="Arial" w:eastAsia="Arial" w:hAnsi="Arial"/>
                <w:sz w:val="18"/>
                <w:szCs w:val="18"/>
                <w:color w:val="auto"/>
              </w:rPr>
              <w:t>Federal</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(2,266)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2,635</w:t>
            </w:r>
          </w:p>
        </w:tc>
        <w:tc>
          <w:tcPr>
            <w:tcW w:w="60" w:type="dxa"/>
            <w:vAlign w:val="bottom"/>
          </w:tcPr>
          <w:p>
            <w:pPr>
              <w:spacing w:after="0"/>
              <w:rPr>
                <w:sz w:val="18"/>
                <w:szCs w:val="18"/>
                <w:color w:val="auto"/>
              </w:rPr>
            </w:pPr>
          </w:p>
        </w:tc>
      </w:tr>
      <w:tr>
        <w:trPr>
          <w:trHeight w:val="220"/>
        </w:trPr>
        <w:tc>
          <w:tcPr>
            <w:tcW w:w="6200" w:type="dxa"/>
            <w:vAlign w:val="bottom"/>
            <w:shd w:val="clear" w:color="auto" w:fill="D1EDF4"/>
          </w:tcPr>
          <w:p>
            <w:pPr>
              <w:ind w:left="240"/>
              <w:spacing w:after="0"/>
              <w:rPr>
                <w:sz w:val="20"/>
                <w:szCs w:val="20"/>
                <w:color w:val="auto"/>
              </w:rPr>
            </w:pPr>
            <w:r>
              <w:rPr>
                <w:rFonts w:ascii="Arial" w:cs="Arial" w:eastAsia="Arial" w:hAnsi="Arial"/>
                <w:sz w:val="18"/>
                <w:szCs w:val="18"/>
                <w:color w:val="auto"/>
              </w:rPr>
              <w:t>State</w:t>
            </w:r>
          </w:p>
        </w:tc>
        <w:tc>
          <w:tcPr>
            <w:tcW w:w="22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80" w:type="dxa"/>
            <w:vAlign w:val="bottom"/>
            <w:shd w:val="clear" w:color="auto" w:fill="D1EDF4"/>
          </w:tcPr>
          <w:p>
            <w:pPr>
              <w:spacing w:after="0"/>
              <w:rPr>
                <w:sz w:val="19"/>
                <w:szCs w:val="19"/>
                <w:color w:val="auto"/>
              </w:rPr>
            </w:pPr>
          </w:p>
        </w:tc>
        <w:tc>
          <w:tcPr>
            <w:tcW w:w="920" w:type="dxa"/>
            <w:vAlign w:val="bottom"/>
            <w:gridSpan w:val="2"/>
            <w:shd w:val="clear" w:color="auto" w:fill="D1EDF4"/>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D1EDF4"/>
          </w:tcPr>
          <w:p>
            <w:pPr>
              <w:spacing w:after="0"/>
              <w:rPr>
                <w:sz w:val="19"/>
                <w:szCs w:val="19"/>
                <w:color w:val="auto"/>
              </w:rPr>
            </w:pPr>
          </w:p>
        </w:tc>
        <w:tc>
          <w:tcPr>
            <w:tcW w:w="720" w:type="dxa"/>
            <w:vAlign w:val="bottom"/>
            <w:shd w:val="clear" w:color="auto" w:fill="D1EDF4"/>
          </w:tcPr>
          <w:p>
            <w:pPr>
              <w:jc w:val="right"/>
              <w:spacing w:after="0"/>
              <w:rPr>
                <w:sz w:val="20"/>
                <w:szCs w:val="20"/>
                <w:color w:val="auto"/>
              </w:rPr>
            </w:pPr>
            <w:r>
              <w:rPr>
                <w:rFonts w:ascii="Arial" w:cs="Arial" w:eastAsia="Arial" w:hAnsi="Arial"/>
                <w:sz w:val="18"/>
                <w:szCs w:val="18"/>
                <w:color w:val="auto"/>
              </w:rPr>
              <w:t>(2,875)</w:t>
            </w:r>
          </w:p>
        </w:tc>
        <w:tc>
          <w:tcPr>
            <w:tcW w:w="18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200" w:type="dxa"/>
            <w:vAlign w:val="bottom"/>
            <w:shd w:val="clear" w:color="auto" w:fill="D1EDF4"/>
          </w:tcPr>
          <w:p>
            <w:pPr>
              <w:spacing w:after="0"/>
              <w:rPr>
                <w:sz w:val="19"/>
                <w:szCs w:val="19"/>
                <w:color w:val="auto"/>
              </w:rPr>
            </w:pPr>
          </w:p>
        </w:tc>
        <w:tc>
          <w:tcPr>
            <w:tcW w:w="720" w:type="dxa"/>
            <w:vAlign w:val="bottom"/>
            <w:shd w:val="clear" w:color="auto" w:fill="D1EDF4"/>
          </w:tcPr>
          <w:p>
            <w:pPr>
              <w:jc w:val="right"/>
              <w:spacing w:after="0"/>
              <w:rPr>
                <w:sz w:val="20"/>
                <w:szCs w:val="20"/>
                <w:color w:val="auto"/>
              </w:rPr>
            </w:pPr>
            <w:r>
              <w:rPr>
                <w:rFonts w:ascii="Arial" w:cs="Arial" w:eastAsia="Arial" w:hAnsi="Arial"/>
                <w:sz w:val="18"/>
                <w:szCs w:val="18"/>
                <w:color w:val="auto"/>
              </w:rPr>
              <w:t>(424)</w:t>
            </w:r>
          </w:p>
        </w:tc>
        <w:tc>
          <w:tcPr>
            <w:tcW w:w="60" w:type="dxa"/>
            <w:vAlign w:val="bottom"/>
            <w:shd w:val="clear" w:color="auto" w:fill="D1EDF4"/>
          </w:tcPr>
          <w:p>
            <w:pPr>
              <w:spacing w:after="0"/>
              <w:rPr>
                <w:sz w:val="19"/>
                <w:szCs w:val="19"/>
                <w:color w:val="auto"/>
              </w:rPr>
            </w:pPr>
          </w:p>
        </w:tc>
      </w:tr>
      <w:tr>
        <w:trPr>
          <w:trHeight w:val="208"/>
        </w:trPr>
        <w:tc>
          <w:tcPr>
            <w:tcW w:w="6440" w:type="dxa"/>
            <w:vAlign w:val="bottom"/>
            <w:tcBorders>
              <w:bottom w:val="single" w:sz="8" w:color="D1EDF4"/>
            </w:tcBorders>
            <w:gridSpan w:val="3"/>
          </w:tcPr>
          <w:p>
            <w:pPr>
              <w:ind w:left="360"/>
              <w:spacing w:after="0"/>
              <w:rPr>
                <w:sz w:val="20"/>
                <w:szCs w:val="20"/>
                <w:color w:val="auto"/>
              </w:rPr>
            </w:pPr>
            <w:r>
              <w:rPr>
                <w:rFonts w:ascii="Arial" w:cs="Arial" w:eastAsia="Arial" w:hAnsi="Arial"/>
                <w:sz w:val="18"/>
                <w:szCs w:val="18"/>
                <w:color w:val="auto"/>
              </w:rPr>
              <w:t>Total deferred</w:t>
            </w: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200" w:type="dxa"/>
            <w:vAlign w:val="bottom"/>
            <w:tcBorders>
              <w:bottom w:val="single" w:sz="8" w:color="D1EDF4"/>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(5,141)</w:t>
            </w:r>
          </w:p>
        </w:tc>
        <w:tc>
          <w:tcPr>
            <w:tcW w:w="180" w:type="dxa"/>
            <w:vAlign w:val="bottom"/>
            <w:tcBorders>
              <w:bottom w:val="single" w:sz="8" w:color="D1EDF4"/>
            </w:tcBorders>
          </w:tcPr>
          <w:p>
            <w:pPr>
              <w:spacing w:after="0"/>
              <w:rPr>
                <w:sz w:val="18"/>
                <w:szCs w:val="18"/>
                <w:color w:val="auto"/>
              </w:rPr>
            </w:pPr>
          </w:p>
        </w:tc>
        <w:tc>
          <w:tcPr>
            <w:tcW w:w="20" w:type="dxa"/>
            <w:vAlign w:val="bottom"/>
            <w:tcBorders>
              <w:bottom w:val="single" w:sz="8" w:color="D1EDF4"/>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2,211</w:t>
            </w:r>
          </w:p>
        </w:tc>
        <w:tc>
          <w:tcPr>
            <w:tcW w:w="60" w:type="dxa"/>
            <w:vAlign w:val="bottom"/>
          </w:tcPr>
          <w:p>
            <w:pPr>
              <w:spacing w:after="0"/>
              <w:rPr>
                <w:sz w:val="18"/>
                <w:szCs w:val="18"/>
                <w:color w:val="auto"/>
              </w:rPr>
            </w:pPr>
          </w:p>
        </w:tc>
      </w:tr>
      <w:tr>
        <w:trPr>
          <w:trHeight w:val="218"/>
        </w:trPr>
        <w:tc>
          <w:tcPr>
            <w:tcW w:w="6200" w:type="dxa"/>
            <w:vAlign w:val="bottom"/>
            <w:shd w:val="clear" w:color="auto" w:fill="D1EDF4"/>
          </w:tcPr>
          <w:p>
            <w:pPr>
              <w:ind w:left="360"/>
              <w:spacing w:after="0"/>
              <w:rPr>
                <w:sz w:val="20"/>
                <w:szCs w:val="20"/>
                <w:color w:val="auto"/>
              </w:rPr>
            </w:pPr>
            <w:r>
              <w:rPr>
                <w:rFonts w:ascii="Arial" w:cs="Arial" w:eastAsia="Arial" w:hAnsi="Arial"/>
                <w:sz w:val="18"/>
                <w:szCs w:val="18"/>
                <w:color w:val="auto"/>
              </w:rPr>
              <w:t>Total income tax (expense) benefit</w:t>
            </w:r>
          </w:p>
        </w:tc>
        <w:tc>
          <w:tcPr>
            <w:tcW w:w="220" w:type="dxa"/>
            <w:vAlign w:val="bottom"/>
            <w:shd w:val="clear" w:color="auto" w:fill="D1EDF4"/>
          </w:tcPr>
          <w:p>
            <w:pPr>
              <w:spacing w:after="0"/>
              <w:rPr>
                <w:sz w:val="18"/>
                <w:szCs w:val="18"/>
                <w:color w:val="auto"/>
              </w:rPr>
            </w:pPr>
          </w:p>
        </w:tc>
        <w:tc>
          <w:tcPr>
            <w:tcW w:w="20" w:type="dxa"/>
            <w:vAlign w:val="bottom"/>
            <w:tcBorders>
              <w:bottom w:val="single" w:sz="8" w:color="auto"/>
            </w:tcBorders>
            <w:shd w:val="clear" w:color="auto" w:fill="D1EDF4"/>
          </w:tcPr>
          <w:p>
            <w:pPr>
              <w:spacing w:after="0"/>
              <w:rPr>
                <w:sz w:val="18"/>
                <w:szCs w:val="18"/>
                <w:color w:val="auto"/>
              </w:rPr>
            </w:pPr>
          </w:p>
        </w:tc>
        <w:tc>
          <w:tcPr>
            <w:tcW w:w="180" w:type="dxa"/>
            <w:vAlign w:val="bottom"/>
            <w:tcBorders>
              <w:bottom w:val="single" w:sz="8" w:color="auto"/>
            </w:tcBorders>
            <w:shd w:val="clear" w:color="auto" w:fill="D1EDF4"/>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D1EDF4"/>
          </w:tcPr>
          <w:p>
            <w:pPr>
              <w:jc w:val="right"/>
              <w:spacing w:after="0"/>
              <w:rPr>
                <w:sz w:val="20"/>
                <w:szCs w:val="20"/>
                <w:color w:val="auto"/>
              </w:rPr>
            </w:pPr>
            <w:r>
              <w:rPr>
                <w:rFonts w:ascii="Arial" w:cs="Arial" w:eastAsia="Arial" w:hAnsi="Arial"/>
                <w:sz w:val="18"/>
                <w:szCs w:val="18"/>
                <w:color w:val="auto"/>
              </w:rPr>
              <w:t>(296)</w:t>
            </w:r>
          </w:p>
        </w:tc>
        <w:tc>
          <w:tcPr>
            <w:tcW w:w="200" w:type="dxa"/>
            <w:vAlign w:val="bottom"/>
            <w:shd w:val="clear" w:color="auto" w:fill="D1EDF4"/>
          </w:tcPr>
          <w:p>
            <w:pPr>
              <w:spacing w:after="0"/>
              <w:rPr>
                <w:sz w:val="18"/>
                <w:szCs w:val="18"/>
                <w:color w:val="auto"/>
              </w:rPr>
            </w:pPr>
          </w:p>
        </w:tc>
        <w:tc>
          <w:tcPr>
            <w:tcW w:w="200" w:type="dxa"/>
            <w:vAlign w:val="bottom"/>
            <w:tcBorders>
              <w:bottom w:val="single" w:sz="8" w:color="auto"/>
            </w:tcBorders>
            <w:shd w:val="clear" w:color="auto" w:fill="D1EDF4"/>
          </w:tcPr>
          <w:p>
            <w:pPr>
              <w:jc w:val="right"/>
              <w:ind w:right="13"/>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D1EDF4"/>
          </w:tcPr>
          <w:p>
            <w:pPr>
              <w:jc w:val="right"/>
              <w:spacing w:after="0"/>
              <w:rPr>
                <w:sz w:val="20"/>
                <w:szCs w:val="20"/>
                <w:color w:val="auto"/>
              </w:rPr>
            </w:pPr>
            <w:r>
              <w:rPr>
                <w:rFonts w:ascii="Arial" w:cs="Arial" w:eastAsia="Arial" w:hAnsi="Arial"/>
                <w:sz w:val="18"/>
                <w:szCs w:val="18"/>
                <w:color w:val="auto"/>
              </w:rPr>
              <w:t>(5,836)</w:t>
            </w:r>
          </w:p>
        </w:tc>
        <w:tc>
          <w:tcPr>
            <w:tcW w:w="180" w:type="dxa"/>
            <w:vAlign w:val="bottom"/>
            <w:shd w:val="clear" w:color="auto" w:fill="D1EDF4"/>
          </w:tcPr>
          <w:p>
            <w:pPr>
              <w:spacing w:after="0"/>
              <w:rPr>
                <w:sz w:val="18"/>
                <w:szCs w:val="18"/>
                <w:color w:val="auto"/>
              </w:rPr>
            </w:pPr>
          </w:p>
        </w:tc>
        <w:tc>
          <w:tcPr>
            <w:tcW w:w="20" w:type="dxa"/>
            <w:vAlign w:val="bottom"/>
            <w:tcBorders>
              <w:bottom w:val="single" w:sz="8" w:color="auto"/>
            </w:tcBorders>
            <w:shd w:val="clear" w:color="auto" w:fill="D1EDF4"/>
          </w:tcPr>
          <w:p>
            <w:pPr>
              <w:spacing w:after="0"/>
              <w:rPr>
                <w:sz w:val="18"/>
                <w:szCs w:val="18"/>
                <w:color w:val="auto"/>
              </w:rPr>
            </w:pPr>
          </w:p>
        </w:tc>
        <w:tc>
          <w:tcPr>
            <w:tcW w:w="200" w:type="dxa"/>
            <w:vAlign w:val="bottom"/>
            <w:tcBorders>
              <w:bottom w:val="single" w:sz="8" w:color="auto"/>
            </w:tcBorders>
            <w:shd w:val="clear" w:color="auto" w:fill="D1EDF4"/>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D1EDF4"/>
          </w:tcPr>
          <w:p>
            <w:pPr>
              <w:jc w:val="right"/>
              <w:spacing w:after="0"/>
              <w:rPr>
                <w:sz w:val="20"/>
                <w:szCs w:val="20"/>
                <w:color w:val="auto"/>
              </w:rPr>
            </w:pPr>
            <w:r>
              <w:rPr>
                <w:rFonts w:ascii="Arial" w:cs="Arial" w:eastAsia="Arial" w:hAnsi="Arial"/>
                <w:sz w:val="18"/>
                <w:szCs w:val="18"/>
                <w:color w:val="auto"/>
              </w:rPr>
              <w:t>3,907</w:t>
            </w:r>
          </w:p>
        </w:tc>
        <w:tc>
          <w:tcPr>
            <w:tcW w:w="60" w:type="dxa"/>
            <w:vAlign w:val="bottom"/>
            <w:shd w:val="clear" w:color="auto" w:fill="D1EDF4"/>
          </w:tcPr>
          <w:p>
            <w:pPr>
              <w:spacing w:after="0"/>
              <w:rPr>
                <w:sz w:val="18"/>
                <w:szCs w:val="18"/>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6449060</wp:posOffset>
                </wp:positionH>
                <wp:positionV relativeFrom="paragraph">
                  <wp:posOffset>-1296035</wp:posOffset>
                </wp:positionV>
                <wp:extent cx="34290"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290" cy="4763"/>
                        </a:xfrm>
                        <a:prstGeom prst="line">
                          <a:avLst/>
                        </a:prstGeom>
                        <a:solidFill>
                          <a:srgbClr val="FFFFFF"/>
                        </a:solidFill>
                        <a:ln w="6096">
                          <a:solidFill>
                            <a:srgbClr val="D1EDF4"/>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7.8pt,-102.0499pt" to="510.5pt,-102.0499pt" o:allowincell="f" strokecolor="#D1EDF4" strokeweight="0.48pt"/>
            </w:pict>
          </mc:Fallback>
        </mc:AlternateContent>
        <mc:AlternateContent>
          <mc:Choice Requires="wps">
            <w:drawing>
              <wp:anchor simplePos="0" relativeHeight="251657728" behindDoc="1" locked="0" layoutInCell="0" allowOverlap="1">
                <wp:simplePos x="0" y="0"/>
                <wp:positionH relativeFrom="column">
                  <wp:posOffset>6449060</wp:posOffset>
                </wp:positionH>
                <wp:positionV relativeFrom="paragraph">
                  <wp:posOffset>-728345</wp:posOffset>
                </wp:positionV>
                <wp:extent cx="34290"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290" cy="4763"/>
                        </a:xfrm>
                        <a:prstGeom prst="line">
                          <a:avLst/>
                        </a:prstGeom>
                        <a:solidFill>
                          <a:srgbClr val="FFFFFF"/>
                        </a:solidFill>
                        <a:ln w="6095">
                          <a:solidFill>
                            <a:srgbClr val="D1EDF4"/>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7.8pt,-57.3499pt" to="510.5pt,-57.3499pt" o:allowincell="f" strokecolor="#D1EDF4" strokeweight="0.4799pt"/>
            </w:pict>
          </mc:Fallback>
        </mc:AlternateContent>
        <mc:AlternateContent>
          <mc:Choice Requires="wps">
            <w:drawing>
              <wp:anchor simplePos="0" relativeHeight="251657728" behindDoc="1" locked="0" layoutInCell="0" allowOverlap="1">
                <wp:simplePos x="0" y="0"/>
                <wp:positionH relativeFrom="column">
                  <wp:posOffset>6449060</wp:posOffset>
                </wp:positionH>
                <wp:positionV relativeFrom="paragraph">
                  <wp:posOffset>-160655</wp:posOffset>
                </wp:positionV>
                <wp:extent cx="34290"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290" cy="4763"/>
                        </a:xfrm>
                        <a:prstGeom prst="line">
                          <a:avLst/>
                        </a:prstGeom>
                        <a:solidFill>
                          <a:srgbClr val="FFFFFF"/>
                        </a:solidFill>
                        <a:ln w="6095">
                          <a:solidFill>
                            <a:srgbClr val="D1EDF4"/>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7.8pt,-12.6499pt" to="510.5pt,-12.6499pt" o:allowincell="f" strokecolor="#D1EDF4" strokeweight="0.4799pt"/>
            </w:pict>
          </mc:Fallback>
        </mc:AlternateContent>
      </w:r>
    </w:p>
    <w:p>
      <w:pPr>
        <w:sectPr>
          <w:pgSz w:w="11880" w:h="15480" w:orient="portrait"/>
          <w:cols w:equalWidth="0" w:num="1">
            <w:col w:w="10800"/>
          </w:cols>
          <w:pgMar w:left="540" w:top="804" w:right="540" w:bottom="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ectPr>
          <w:pgSz w:w="11880" w:h="15480" w:orient="portrait"/>
          <w:cols w:equalWidth="0" w:num="1">
            <w:col w:w="10800"/>
          </w:cols>
          <w:pgMar w:left="540" w:top="804" w:right="540" w:bottom="16" w:gutter="0" w:footer="0" w:header="0"/>
          <w:type w:val="continuous"/>
        </w:sectPr>
      </w:pPr>
    </w:p>
    <w:bookmarkStart w:id="41" w:name="page42"/>
    <w:bookmarkEnd w:id="41"/>
    <w:p>
      <w:pPr>
        <w:spacing w:after="0"/>
        <w:rPr>
          <w:sz w:val="20"/>
          <w:szCs w:val="20"/>
          <w:color w:val="auto"/>
        </w:rPr>
      </w:pPr>
      <w:r>
        <w:rPr>
          <w:rFonts w:ascii="Arial" w:cs="Arial" w:eastAsia="Arial" w:hAnsi="Arial"/>
          <w:sz w:val="19"/>
          <w:szCs w:val="19"/>
          <w:color w:val="auto"/>
        </w:rPr>
        <w:t>Income tax (expense) benefit computed using the federal statutory rate is reconciled to the reported income tax (expense)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benefit as follows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20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5"/>
          </w:tcPr>
          <w:p>
            <w:pPr>
              <w:jc w:val="right"/>
              <w:ind w:right="900"/>
              <w:spacing w:after="0"/>
              <w:rPr>
                <w:sz w:val="20"/>
                <w:szCs w:val="20"/>
                <w:color w:val="auto"/>
              </w:rPr>
            </w:pPr>
            <w:r>
              <w:rPr>
                <w:rFonts w:ascii="Arial" w:cs="Arial" w:eastAsia="Arial" w:hAnsi="Arial"/>
                <w:sz w:val="18"/>
                <w:szCs w:val="18"/>
                <w:b w:val="1"/>
                <w:bCs w:val="1"/>
                <w:color w:val="auto"/>
              </w:rPr>
              <w:t>Fiscal year</w:t>
            </w:r>
          </w:p>
        </w:tc>
        <w:tc>
          <w:tcPr>
            <w:tcW w:w="7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200" w:type="dxa"/>
            <w:vAlign w:val="bottom"/>
          </w:tcPr>
          <w:p>
            <w:pPr>
              <w:spacing w:after="0"/>
              <w:rPr>
                <w:sz w:val="17"/>
                <w:szCs w:val="17"/>
                <w:color w:val="auto"/>
              </w:rPr>
            </w:pPr>
          </w:p>
        </w:tc>
        <w:tc>
          <w:tcPr>
            <w:tcW w:w="1460" w:type="dxa"/>
            <w:vAlign w:val="bottom"/>
            <w:tcBorders>
              <w:bottom w:val="single" w:sz="8" w:color="auto"/>
            </w:tcBorders>
            <w:gridSpan w:val="3"/>
          </w:tcPr>
          <w:p>
            <w:pPr>
              <w:jc w:val="right"/>
              <w:ind w:right="10"/>
              <w:spacing w:after="0" w:line="199" w:lineRule="exact"/>
              <w:rPr>
                <w:sz w:val="20"/>
                <w:szCs w:val="20"/>
                <w:color w:val="auto"/>
              </w:rPr>
            </w:pPr>
            <w:r>
              <w:rPr>
                <w:rFonts w:ascii="Arial" w:cs="Arial" w:eastAsia="Arial" w:hAnsi="Arial"/>
                <w:sz w:val="18"/>
                <w:szCs w:val="18"/>
                <w:b w:val="1"/>
                <w:bCs w:val="1"/>
                <w:color w:val="auto"/>
              </w:rPr>
              <w:t>2025</w:t>
            </w:r>
          </w:p>
        </w:tc>
        <w:tc>
          <w:tcPr>
            <w:tcW w:w="8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ind w:right="750"/>
              <w:spacing w:after="0" w:line="199"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right"/>
              <w:ind w:right="690"/>
              <w:spacing w:after="0" w:line="199" w:lineRule="exact"/>
              <w:rPr>
                <w:sz w:val="20"/>
                <w:szCs w:val="20"/>
                <w:color w:val="auto"/>
              </w:rPr>
            </w:pPr>
            <w:r>
              <w:rPr>
                <w:rFonts w:ascii="Arial" w:cs="Arial" w:eastAsia="Arial" w:hAnsi="Arial"/>
                <w:sz w:val="18"/>
                <w:szCs w:val="18"/>
                <w:b w:val="1"/>
                <w:bCs w:val="1"/>
                <w:color w:val="auto"/>
                <w:w w:val="94"/>
              </w:rPr>
              <w:t>2023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4200" w:type="dxa"/>
            <w:vAlign w:val="bottom"/>
          </w:tcPr>
          <w:p>
            <w:pPr>
              <w:spacing w:after="0"/>
              <w:rPr>
                <w:sz w:val="15"/>
                <w:szCs w:val="15"/>
                <w:color w:val="auto"/>
              </w:rPr>
            </w:pPr>
          </w:p>
        </w:tc>
        <w:tc>
          <w:tcPr>
            <w:tcW w:w="116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Rate</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line="177" w:lineRule="exact"/>
              <w:rPr>
                <w:sz w:val="20"/>
                <w:szCs w:val="20"/>
                <w:color w:val="auto"/>
              </w:rPr>
            </w:pPr>
            <w:r>
              <w:rPr>
                <w:rFonts w:ascii="Arial" w:cs="Arial" w:eastAsia="Arial" w:hAnsi="Arial"/>
                <w:sz w:val="18"/>
                <w:szCs w:val="18"/>
                <w:b w:val="1"/>
                <w:bCs w:val="1"/>
                <w:color w:val="auto"/>
                <w:w w:val="99"/>
              </w:rPr>
              <w:t>(Expense)</w:t>
            </w:r>
          </w:p>
        </w:tc>
        <w:tc>
          <w:tcPr>
            <w:tcW w:w="120" w:type="dxa"/>
            <w:vAlign w:val="bottom"/>
          </w:tcPr>
          <w:p>
            <w:pPr>
              <w:spacing w:after="0"/>
              <w:rPr>
                <w:sz w:val="15"/>
                <w:szCs w:val="15"/>
                <w:color w:val="auto"/>
              </w:rPr>
            </w:pPr>
          </w:p>
        </w:tc>
        <w:tc>
          <w:tcPr>
            <w:tcW w:w="76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Rate</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(Expense) /</w:t>
            </w:r>
          </w:p>
        </w:tc>
        <w:tc>
          <w:tcPr>
            <w:tcW w:w="100" w:type="dxa"/>
            <w:vAlign w:val="bottom"/>
          </w:tcPr>
          <w:p>
            <w:pPr>
              <w:spacing w:after="0"/>
              <w:rPr>
                <w:sz w:val="15"/>
                <w:szCs w:val="15"/>
                <w:color w:val="auto"/>
              </w:rPr>
            </w:pPr>
          </w:p>
        </w:tc>
        <w:tc>
          <w:tcPr>
            <w:tcW w:w="76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Rate</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line="177" w:lineRule="exact"/>
              <w:rPr>
                <w:sz w:val="20"/>
                <w:szCs w:val="20"/>
                <w:color w:val="auto"/>
              </w:rPr>
            </w:pPr>
            <w:r>
              <w:rPr>
                <w:rFonts w:ascii="Arial" w:cs="Arial" w:eastAsia="Arial" w:hAnsi="Arial"/>
                <w:sz w:val="18"/>
                <w:szCs w:val="18"/>
                <w:b w:val="1"/>
                <w:bCs w:val="1"/>
                <w:color w:val="auto"/>
                <w:w w:val="99"/>
              </w:rPr>
              <w:t>(Expense)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420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 Benefit</w:t>
            </w:r>
          </w:p>
        </w:tc>
        <w:tc>
          <w:tcPr>
            <w:tcW w:w="120" w:type="dxa"/>
            <w:vAlign w:val="bottom"/>
            <w:vMerge w:val="restart"/>
          </w:tcPr>
          <w:p>
            <w:pPr>
              <w:spacing w:after="0"/>
              <w:rPr>
                <w:sz w:val="13"/>
                <w:szCs w:val="13"/>
                <w:color w:val="auto"/>
              </w:rPr>
            </w:pPr>
          </w:p>
        </w:tc>
        <w:tc>
          <w:tcPr>
            <w:tcW w:w="7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Benefit</w:t>
            </w:r>
          </w:p>
        </w:tc>
        <w:tc>
          <w:tcPr>
            <w:tcW w:w="100" w:type="dxa"/>
            <w:vAlign w:val="bottom"/>
            <w:vMerge w:val="restart"/>
          </w:tcPr>
          <w:p>
            <w:pPr>
              <w:spacing w:after="0"/>
              <w:rPr>
                <w:sz w:val="13"/>
                <w:szCs w:val="13"/>
                <w:color w:val="auto"/>
              </w:rPr>
            </w:pPr>
          </w:p>
        </w:tc>
        <w:tc>
          <w:tcPr>
            <w:tcW w:w="7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 Benefit</w:t>
            </w: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76"/>
        </w:trPr>
        <w:tc>
          <w:tcPr>
            <w:tcW w:w="4200" w:type="dxa"/>
            <w:vAlign w:val="bottom"/>
            <w:tcBorders>
              <w:bottom w:val="single" w:sz="8" w:color="D1EDF4"/>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60" w:type="dxa"/>
            <w:vAlign w:val="bottom"/>
            <w:tcBorders>
              <w:bottom w:val="single" w:sz="8" w:color="D1EDF4"/>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D1EDF4"/>
            </w:tcBorders>
            <w:vMerge w:val="continue"/>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60" w:type="dxa"/>
            <w:vAlign w:val="bottom"/>
            <w:tcBorders>
              <w:bottom w:val="single" w:sz="8" w:color="D1EDF4"/>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D1EDF4"/>
            </w:tcBorders>
            <w:vMerge w:val="continue"/>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60" w:type="dxa"/>
            <w:vAlign w:val="bottom"/>
            <w:tcBorders>
              <w:bottom w:val="single" w:sz="8" w:color="D1EDF4"/>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200" w:type="dxa"/>
            <w:vAlign w:val="bottom"/>
            <w:shd w:val="clear" w:color="auto" w:fill="D1EDF4"/>
          </w:tcPr>
          <w:p>
            <w:pPr>
              <w:ind w:left="120"/>
              <w:spacing w:after="0" w:line="197" w:lineRule="exact"/>
              <w:rPr>
                <w:sz w:val="20"/>
                <w:szCs w:val="20"/>
                <w:color w:val="auto"/>
              </w:rPr>
            </w:pPr>
            <w:r>
              <w:rPr>
                <w:rFonts w:ascii="Arial" w:cs="Arial" w:eastAsia="Arial" w:hAnsi="Arial"/>
                <w:sz w:val="18"/>
                <w:szCs w:val="18"/>
                <w:color w:val="auto"/>
              </w:rPr>
              <w:t>Statutory rate applied to income before income</w:t>
            </w:r>
          </w:p>
        </w:tc>
        <w:tc>
          <w:tcPr>
            <w:tcW w:w="1160" w:type="dxa"/>
            <w:vAlign w:val="bottom"/>
            <w:shd w:val="clear" w:color="auto" w:fill="D1EDF4"/>
          </w:tcPr>
          <w:p>
            <w:pPr>
              <w:spacing w:after="0"/>
              <w:rPr>
                <w:sz w:val="17"/>
                <w:szCs w:val="17"/>
                <w:color w:val="auto"/>
              </w:rPr>
            </w:pPr>
          </w:p>
        </w:tc>
        <w:tc>
          <w:tcPr>
            <w:tcW w:w="160" w:type="dxa"/>
            <w:vAlign w:val="bottom"/>
            <w:shd w:val="clear" w:color="auto" w:fill="D1EDF4"/>
          </w:tcPr>
          <w:p>
            <w:pPr>
              <w:spacing w:after="0"/>
              <w:rPr>
                <w:sz w:val="17"/>
                <w:szCs w:val="17"/>
                <w:color w:val="auto"/>
              </w:rPr>
            </w:pPr>
          </w:p>
        </w:tc>
        <w:tc>
          <w:tcPr>
            <w:tcW w:w="140" w:type="dxa"/>
            <w:vAlign w:val="bottom"/>
            <w:vMerge w:val="restart"/>
            <w:shd w:val="clear" w:color="auto" w:fill="D1EDF4"/>
          </w:tcPr>
          <w:p>
            <w:pPr>
              <w:ind w:left="2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D1EDF4"/>
          </w:tcPr>
          <w:p>
            <w:pPr>
              <w:spacing w:after="0"/>
              <w:rPr>
                <w:sz w:val="17"/>
                <w:szCs w:val="17"/>
                <w:color w:val="auto"/>
              </w:rPr>
            </w:pPr>
          </w:p>
        </w:tc>
        <w:tc>
          <w:tcPr>
            <w:tcW w:w="120" w:type="dxa"/>
            <w:vAlign w:val="bottom"/>
            <w:shd w:val="clear" w:color="auto" w:fill="D1EDF4"/>
          </w:tcPr>
          <w:p>
            <w:pPr>
              <w:spacing w:after="0"/>
              <w:rPr>
                <w:sz w:val="17"/>
                <w:szCs w:val="17"/>
                <w:color w:val="auto"/>
              </w:rPr>
            </w:pPr>
          </w:p>
        </w:tc>
        <w:tc>
          <w:tcPr>
            <w:tcW w:w="760" w:type="dxa"/>
            <w:vAlign w:val="bottom"/>
            <w:shd w:val="clear" w:color="auto" w:fill="D1EDF4"/>
          </w:tcPr>
          <w:p>
            <w:pPr>
              <w:spacing w:after="0"/>
              <w:rPr>
                <w:sz w:val="17"/>
                <w:szCs w:val="17"/>
                <w:color w:val="auto"/>
              </w:rPr>
            </w:pPr>
          </w:p>
        </w:tc>
        <w:tc>
          <w:tcPr>
            <w:tcW w:w="160" w:type="dxa"/>
            <w:vAlign w:val="bottom"/>
            <w:shd w:val="clear" w:color="auto" w:fill="D1EDF4"/>
          </w:tcPr>
          <w:p>
            <w:pPr>
              <w:spacing w:after="0"/>
              <w:rPr>
                <w:sz w:val="17"/>
                <w:szCs w:val="17"/>
                <w:color w:val="auto"/>
              </w:rPr>
            </w:pPr>
          </w:p>
        </w:tc>
        <w:tc>
          <w:tcPr>
            <w:tcW w:w="160" w:type="dxa"/>
            <w:vAlign w:val="bottom"/>
            <w:vMerge w:val="restart"/>
            <w:shd w:val="clear" w:color="auto" w:fill="D1EDF4"/>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1EDF4"/>
          </w:tcPr>
          <w:p>
            <w:pPr>
              <w:spacing w:after="0"/>
              <w:rPr>
                <w:sz w:val="17"/>
                <w:szCs w:val="17"/>
                <w:color w:val="auto"/>
              </w:rPr>
            </w:pPr>
          </w:p>
        </w:tc>
        <w:tc>
          <w:tcPr>
            <w:tcW w:w="100" w:type="dxa"/>
            <w:vAlign w:val="bottom"/>
            <w:shd w:val="clear" w:color="auto" w:fill="D1EDF4"/>
          </w:tcPr>
          <w:p>
            <w:pPr>
              <w:spacing w:after="0"/>
              <w:rPr>
                <w:sz w:val="17"/>
                <w:szCs w:val="17"/>
                <w:color w:val="auto"/>
              </w:rPr>
            </w:pPr>
          </w:p>
        </w:tc>
        <w:tc>
          <w:tcPr>
            <w:tcW w:w="760" w:type="dxa"/>
            <w:vAlign w:val="bottom"/>
            <w:vMerge w:val="restart"/>
            <w:shd w:val="clear" w:color="auto" w:fill="D1EDF4"/>
          </w:tcPr>
          <w:p>
            <w:pPr>
              <w:jc w:val="right"/>
              <w:spacing w:after="0"/>
              <w:rPr>
                <w:sz w:val="20"/>
                <w:szCs w:val="20"/>
                <w:color w:val="auto"/>
              </w:rPr>
            </w:pPr>
            <w:r>
              <w:rPr>
                <w:rFonts w:ascii="Arial" w:cs="Arial" w:eastAsia="Arial" w:hAnsi="Arial"/>
                <w:sz w:val="18"/>
                <w:szCs w:val="18"/>
                <w:color w:val="auto"/>
              </w:rPr>
              <w:t>21%</w:t>
            </w:r>
          </w:p>
        </w:tc>
        <w:tc>
          <w:tcPr>
            <w:tcW w:w="300" w:type="dxa"/>
            <w:vAlign w:val="bottom"/>
            <w:gridSpan w:val="2"/>
            <w:vMerge w:val="restart"/>
            <w:shd w:val="clear" w:color="auto" w:fill="D1EDF4"/>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D1EDF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4"/>
        </w:trPr>
        <w:tc>
          <w:tcPr>
            <w:tcW w:w="4200" w:type="dxa"/>
            <w:vAlign w:val="bottom"/>
            <w:vMerge w:val="restart"/>
            <w:shd w:val="clear" w:color="auto" w:fill="D1EDF4"/>
          </w:tcPr>
          <w:p>
            <w:pPr>
              <w:ind w:left="120"/>
              <w:spacing w:after="0"/>
              <w:rPr>
                <w:sz w:val="20"/>
                <w:szCs w:val="20"/>
                <w:color w:val="auto"/>
              </w:rPr>
            </w:pPr>
            <w:r>
              <w:rPr>
                <w:rFonts w:ascii="Arial" w:cs="Arial" w:eastAsia="Arial" w:hAnsi="Arial"/>
                <w:sz w:val="18"/>
                <w:szCs w:val="18"/>
                <w:color w:val="auto"/>
              </w:rPr>
              <w:t>taxes</w:t>
            </w:r>
          </w:p>
        </w:tc>
        <w:tc>
          <w:tcPr>
            <w:tcW w:w="1160" w:type="dxa"/>
            <w:vAlign w:val="bottom"/>
            <w:vMerge w:val="restart"/>
            <w:shd w:val="clear" w:color="auto" w:fill="D1EDF4"/>
          </w:tcPr>
          <w:p>
            <w:pPr>
              <w:jc w:val="right"/>
              <w:spacing w:after="0"/>
              <w:rPr>
                <w:sz w:val="20"/>
                <w:szCs w:val="20"/>
                <w:color w:val="auto"/>
              </w:rPr>
            </w:pPr>
            <w:r>
              <w:rPr>
                <w:rFonts w:ascii="Arial" w:cs="Arial" w:eastAsia="Arial" w:hAnsi="Arial"/>
                <w:sz w:val="18"/>
                <w:szCs w:val="18"/>
                <w:color w:val="auto"/>
              </w:rPr>
              <w:t>21%</w:t>
            </w:r>
          </w:p>
        </w:tc>
        <w:tc>
          <w:tcPr>
            <w:tcW w:w="160" w:type="dxa"/>
            <w:vAlign w:val="bottom"/>
            <w:shd w:val="clear" w:color="auto" w:fill="D1EDF4"/>
          </w:tcPr>
          <w:p>
            <w:pPr>
              <w:spacing w:after="0"/>
              <w:rPr>
                <w:sz w:val="9"/>
                <w:szCs w:val="9"/>
                <w:color w:val="auto"/>
              </w:rPr>
            </w:pPr>
          </w:p>
        </w:tc>
        <w:tc>
          <w:tcPr>
            <w:tcW w:w="140" w:type="dxa"/>
            <w:vAlign w:val="bottom"/>
            <w:vMerge w:val="continue"/>
            <w:shd w:val="clear" w:color="auto" w:fill="D1EDF4"/>
          </w:tcPr>
          <w:p>
            <w:pPr>
              <w:spacing w:after="0"/>
              <w:rPr>
                <w:sz w:val="9"/>
                <w:szCs w:val="9"/>
                <w:color w:val="auto"/>
              </w:rPr>
            </w:pPr>
          </w:p>
        </w:tc>
        <w:tc>
          <w:tcPr>
            <w:tcW w:w="880" w:type="dxa"/>
            <w:vAlign w:val="bottom"/>
            <w:vMerge w:val="restart"/>
            <w:shd w:val="clear" w:color="auto" w:fill="D1EDF4"/>
          </w:tcPr>
          <w:p>
            <w:pPr>
              <w:jc w:val="right"/>
              <w:spacing w:after="0"/>
              <w:rPr>
                <w:sz w:val="20"/>
                <w:szCs w:val="20"/>
                <w:color w:val="auto"/>
              </w:rPr>
            </w:pPr>
            <w:r>
              <w:rPr>
                <w:rFonts w:ascii="Arial" w:cs="Arial" w:eastAsia="Arial" w:hAnsi="Arial"/>
                <w:sz w:val="18"/>
                <w:szCs w:val="18"/>
                <w:color w:val="auto"/>
              </w:rPr>
              <w:t>(1,165)</w:t>
            </w:r>
          </w:p>
        </w:tc>
        <w:tc>
          <w:tcPr>
            <w:tcW w:w="120" w:type="dxa"/>
            <w:vAlign w:val="bottom"/>
            <w:shd w:val="clear" w:color="auto" w:fill="D1EDF4"/>
          </w:tcPr>
          <w:p>
            <w:pPr>
              <w:spacing w:after="0"/>
              <w:rPr>
                <w:sz w:val="9"/>
                <w:szCs w:val="9"/>
                <w:color w:val="auto"/>
              </w:rPr>
            </w:pPr>
          </w:p>
        </w:tc>
        <w:tc>
          <w:tcPr>
            <w:tcW w:w="760" w:type="dxa"/>
            <w:vAlign w:val="bottom"/>
            <w:vMerge w:val="restart"/>
            <w:shd w:val="clear" w:color="auto" w:fill="D1EDF4"/>
          </w:tcPr>
          <w:p>
            <w:pPr>
              <w:jc w:val="right"/>
              <w:spacing w:after="0"/>
              <w:rPr>
                <w:sz w:val="20"/>
                <w:szCs w:val="20"/>
                <w:color w:val="auto"/>
              </w:rPr>
            </w:pPr>
            <w:r>
              <w:rPr>
                <w:rFonts w:ascii="Arial" w:cs="Arial" w:eastAsia="Arial" w:hAnsi="Arial"/>
                <w:sz w:val="18"/>
                <w:szCs w:val="18"/>
                <w:color w:val="auto"/>
              </w:rPr>
              <w:t>21%</w:t>
            </w:r>
          </w:p>
        </w:tc>
        <w:tc>
          <w:tcPr>
            <w:tcW w:w="160" w:type="dxa"/>
            <w:vAlign w:val="bottom"/>
            <w:shd w:val="clear" w:color="auto" w:fill="D1EDF4"/>
          </w:tcPr>
          <w:p>
            <w:pPr>
              <w:spacing w:after="0"/>
              <w:rPr>
                <w:sz w:val="9"/>
                <w:szCs w:val="9"/>
                <w:color w:val="auto"/>
              </w:rPr>
            </w:pPr>
          </w:p>
        </w:tc>
        <w:tc>
          <w:tcPr>
            <w:tcW w:w="160" w:type="dxa"/>
            <w:vAlign w:val="bottom"/>
            <w:vMerge w:val="continue"/>
            <w:shd w:val="clear" w:color="auto" w:fill="D1EDF4"/>
          </w:tcPr>
          <w:p>
            <w:pPr>
              <w:spacing w:after="0"/>
              <w:rPr>
                <w:sz w:val="9"/>
                <w:szCs w:val="9"/>
                <w:color w:val="auto"/>
              </w:rPr>
            </w:pPr>
          </w:p>
        </w:tc>
        <w:tc>
          <w:tcPr>
            <w:tcW w:w="1020" w:type="dxa"/>
            <w:vAlign w:val="bottom"/>
            <w:vMerge w:val="restart"/>
            <w:shd w:val="clear" w:color="auto" w:fill="D1EDF4"/>
          </w:tcPr>
          <w:p>
            <w:pPr>
              <w:jc w:val="right"/>
              <w:spacing w:after="0"/>
              <w:rPr>
                <w:sz w:val="20"/>
                <w:szCs w:val="20"/>
                <w:color w:val="auto"/>
              </w:rPr>
            </w:pPr>
            <w:r>
              <w:rPr>
                <w:rFonts w:ascii="Arial" w:cs="Arial" w:eastAsia="Arial" w:hAnsi="Arial"/>
                <w:sz w:val="18"/>
                <w:szCs w:val="18"/>
                <w:color w:val="auto"/>
              </w:rPr>
              <w:t>7,840</w:t>
            </w:r>
          </w:p>
        </w:tc>
        <w:tc>
          <w:tcPr>
            <w:tcW w:w="100" w:type="dxa"/>
            <w:vAlign w:val="bottom"/>
            <w:shd w:val="clear" w:color="auto" w:fill="D1EDF4"/>
          </w:tcPr>
          <w:p>
            <w:pPr>
              <w:spacing w:after="0"/>
              <w:rPr>
                <w:sz w:val="9"/>
                <w:szCs w:val="9"/>
                <w:color w:val="auto"/>
              </w:rPr>
            </w:pPr>
          </w:p>
        </w:tc>
        <w:tc>
          <w:tcPr>
            <w:tcW w:w="760" w:type="dxa"/>
            <w:vAlign w:val="bottom"/>
            <w:vMerge w:val="continue"/>
            <w:shd w:val="clear" w:color="auto" w:fill="D1EDF4"/>
          </w:tcPr>
          <w:p>
            <w:pPr>
              <w:spacing w:after="0"/>
              <w:rPr>
                <w:sz w:val="9"/>
                <w:szCs w:val="9"/>
                <w:color w:val="auto"/>
              </w:rPr>
            </w:pPr>
          </w:p>
        </w:tc>
        <w:tc>
          <w:tcPr>
            <w:tcW w:w="300" w:type="dxa"/>
            <w:vAlign w:val="bottom"/>
            <w:gridSpan w:val="2"/>
            <w:vMerge w:val="continue"/>
            <w:shd w:val="clear" w:color="auto" w:fill="D1EDF4"/>
          </w:tcPr>
          <w:p>
            <w:pPr>
              <w:spacing w:after="0"/>
              <w:rPr>
                <w:sz w:val="9"/>
                <w:szCs w:val="9"/>
                <w:color w:val="auto"/>
              </w:rPr>
            </w:pPr>
          </w:p>
        </w:tc>
        <w:tc>
          <w:tcPr>
            <w:tcW w:w="880" w:type="dxa"/>
            <w:vAlign w:val="bottom"/>
            <w:vMerge w:val="restart"/>
            <w:shd w:val="clear" w:color="auto" w:fill="D1EDF4"/>
          </w:tcPr>
          <w:p>
            <w:pPr>
              <w:jc w:val="right"/>
              <w:spacing w:after="0"/>
              <w:rPr>
                <w:sz w:val="20"/>
                <w:szCs w:val="20"/>
                <w:color w:val="auto"/>
              </w:rPr>
            </w:pPr>
            <w:r>
              <w:rPr>
                <w:rFonts w:ascii="Arial" w:cs="Arial" w:eastAsia="Arial" w:hAnsi="Arial"/>
                <w:sz w:val="18"/>
                <w:szCs w:val="18"/>
                <w:color w:val="auto"/>
              </w:rPr>
              <w:t>3,337</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4200" w:type="dxa"/>
            <w:vAlign w:val="bottom"/>
            <w:vMerge w:val="continue"/>
            <w:shd w:val="clear" w:color="auto" w:fill="D1EDF4"/>
          </w:tcPr>
          <w:p>
            <w:pPr>
              <w:spacing w:after="0"/>
              <w:rPr>
                <w:sz w:val="8"/>
                <w:szCs w:val="8"/>
                <w:color w:val="auto"/>
              </w:rPr>
            </w:pPr>
          </w:p>
        </w:tc>
        <w:tc>
          <w:tcPr>
            <w:tcW w:w="1160" w:type="dxa"/>
            <w:vAlign w:val="bottom"/>
            <w:vMerge w:val="continue"/>
            <w:shd w:val="clear" w:color="auto" w:fill="D1EDF4"/>
          </w:tcPr>
          <w:p>
            <w:pPr>
              <w:spacing w:after="0"/>
              <w:rPr>
                <w:sz w:val="8"/>
                <w:szCs w:val="8"/>
                <w:color w:val="auto"/>
              </w:rPr>
            </w:pPr>
          </w:p>
        </w:tc>
        <w:tc>
          <w:tcPr>
            <w:tcW w:w="160" w:type="dxa"/>
            <w:vAlign w:val="bottom"/>
            <w:shd w:val="clear" w:color="auto" w:fill="D1EDF4"/>
          </w:tcPr>
          <w:p>
            <w:pPr>
              <w:spacing w:after="0"/>
              <w:rPr>
                <w:sz w:val="8"/>
                <w:szCs w:val="8"/>
                <w:color w:val="auto"/>
              </w:rPr>
            </w:pPr>
          </w:p>
        </w:tc>
        <w:tc>
          <w:tcPr>
            <w:tcW w:w="140" w:type="dxa"/>
            <w:vAlign w:val="bottom"/>
            <w:shd w:val="clear" w:color="auto" w:fill="D1EDF4"/>
          </w:tcPr>
          <w:p>
            <w:pPr>
              <w:spacing w:after="0"/>
              <w:rPr>
                <w:sz w:val="8"/>
                <w:szCs w:val="8"/>
                <w:color w:val="auto"/>
              </w:rPr>
            </w:pPr>
          </w:p>
        </w:tc>
        <w:tc>
          <w:tcPr>
            <w:tcW w:w="880" w:type="dxa"/>
            <w:vAlign w:val="bottom"/>
            <w:vMerge w:val="continue"/>
            <w:shd w:val="clear" w:color="auto" w:fill="D1EDF4"/>
          </w:tcPr>
          <w:p>
            <w:pPr>
              <w:spacing w:after="0"/>
              <w:rPr>
                <w:sz w:val="8"/>
                <w:szCs w:val="8"/>
                <w:color w:val="auto"/>
              </w:rPr>
            </w:pPr>
          </w:p>
        </w:tc>
        <w:tc>
          <w:tcPr>
            <w:tcW w:w="120" w:type="dxa"/>
            <w:vAlign w:val="bottom"/>
            <w:shd w:val="clear" w:color="auto" w:fill="D1EDF4"/>
          </w:tcPr>
          <w:p>
            <w:pPr>
              <w:spacing w:after="0"/>
              <w:rPr>
                <w:sz w:val="8"/>
                <w:szCs w:val="8"/>
                <w:color w:val="auto"/>
              </w:rPr>
            </w:pPr>
          </w:p>
        </w:tc>
        <w:tc>
          <w:tcPr>
            <w:tcW w:w="760" w:type="dxa"/>
            <w:vAlign w:val="bottom"/>
            <w:vMerge w:val="continue"/>
            <w:shd w:val="clear" w:color="auto" w:fill="D1EDF4"/>
          </w:tcPr>
          <w:p>
            <w:pPr>
              <w:spacing w:after="0"/>
              <w:rPr>
                <w:sz w:val="8"/>
                <w:szCs w:val="8"/>
                <w:color w:val="auto"/>
              </w:rPr>
            </w:pPr>
          </w:p>
        </w:tc>
        <w:tc>
          <w:tcPr>
            <w:tcW w:w="160" w:type="dxa"/>
            <w:vAlign w:val="bottom"/>
            <w:shd w:val="clear" w:color="auto" w:fill="D1EDF4"/>
          </w:tcPr>
          <w:p>
            <w:pPr>
              <w:spacing w:after="0"/>
              <w:rPr>
                <w:sz w:val="8"/>
                <w:szCs w:val="8"/>
                <w:color w:val="auto"/>
              </w:rPr>
            </w:pPr>
          </w:p>
        </w:tc>
        <w:tc>
          <w:tcPr>
            <w:tcW w:w="160" w:type="dxa"/>
            <w:vAlign w:val="bottom"/>
            <w:shd w:val="clear" w:color="auto" w:fill="D1EDF4"/>
          </w:tcPr>
          <w:p>
            <w:pPr>
              <w:spacing w:after="0"/>
              <w:rPr>
                <w:sz w:val="8"/>
                <w:szCs w:val="8"/>
                <w:color w:val="auto"/>
              </w:rPr>
            </w:pPr>
          </w:p>
        </w:tc>
        <w:tc>
          <w:tcPr>
            <w:tcW w:w="1020" w:type="dxa"/>
            <w:vAlign w:val="bottom"/>
            <w:vMerge w:val="continue"/>
            <w:shd w:val="clear" w:color="auto" w:fill="D1EDF4"/>
          </w:tcPr>
          <w:p>
            <w:pPr>
              <w:spacing w:after="0"/>
              <w:rPr>
                <w:sz w:val="8"/>
                <w:szCs w:val="8"/>
                <w:color w:val="auto"/>
              </w:rPr>
            </w:pPr>
          </w:p>
        </w:tc>
        <w:tc>
          <w:tcPr>
            <w:tcW w:w="100" w:type="dxa"/>
            <w:vAlign w:val="bottom"/>
            <w:shd w:val="clear" w:color="auto" w:fill="D1EDF4"/>
          </w:tcPr>
          <w:p>
            <w:pPr>
              <w:spacing w:after="0"/>
              <w:rPr>
                <w:sz w:val="8"/>
                <w:szCs w:val="8"/>
                <w:color w:val="auto"/>
              </w:rPr>
            </w:pPr>
          </w:p>
        </w:tc>
        <w:tc>
          <w:tcPr>
            <w:tcW w:w="760" w:type="dxa"/>
            <w:vAlign w:val="bottom"/>
            <w:shd w:val="clear" w:color="auto" w:fill="D1EDF4"/>
          </w:tcPr>
          <w:p>
            <w:pPr>
              <w:spacing w:after="0"/>
              <w:rPr>
                <w:sz w:val="8"/>
                <w:szCs w:val="8"/>
                <w:color w:val="auto"/>
              </w:rPr>
            </w:pPr>
          </w:p>
        </w:tc>
        <w:tc>
          <w:tcPr>
            <w:tcW w:w="160" w:type="dxa"/>
            <w:vAlign w:val="bottom"/>
            <w:shd w:val="clear" w:color="auto" w:fill="D1EDF4"/>
          </w:tcPr>
          <w:p>
            <w:pPr>
              <w:spacing w:after="0"/>
              <w:rPr>
                <w:sz w:val="8"/>
                <w:szCs w:val="8"/>
                <w:color w:val="auto"/>
              </w:rPr>
            </w:pPr>
          </w:p>
        </w:tc>
        <w:tc>
          <w:tcPr>
            <w:tcW w:w="140" w:type="dxa"/>
            <w:vAlign w:val="bottom"/>
            <w:shd w:val="clear" w:color="auto" w:fill="D1EDF4"/>
          </w:tcPr>
          <w:p>
            <w:pPr>
              <w:spacing w:after="0"/>
              <w:rPr>
                <w:sz w:val="8"/>
                <w:szCs w:val="8"/>
                <w:color w:val="auto"/>
              </w:rPr>
            </w:pPr>
          </w:p>
        </w:tc>
        <w:tc>
          <w:tcPr>
            <w:tcW w:w="880" w:type="dxa"/>
            <w:vAlign w:val="bottom"/>
            <w:vMerge w:val="continue"/>
            <w:shd w:val="clear" w:color="auto" w:fill="D1EDF4"/>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4200" w:type="dxa"/>
            <w:vAlign w:val="bottom"/>
          </w:tcPr>
          <w:p>
            <w:pPr>
              <w:ind w:left="120"/>
              <w:spacing w:after="0"/>
              <w:rPr>
                <w:sz w:val="20"/>
                <w:szCs w:val="20"/>
                <w:color w:val="auto"/>
              </w:rPr>
            </w:pPr>
            <w:r>
              <w:rPr>
                <w:rFonts w:ascii="Arial" w:cs="Arial" w:eastAsia="Arial" w:hAnsi="Arial"/>
                <w:sz w:val="18"/>
                <w:szCs w:val="18"/>
                <w:color w:val="auto"/>
              </w:rPr>
              <w:t>State income taxes, net of federal benefit *</w:t>
            </w: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1,109</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200" w:type="dxa"/>
            <w:vAlign w:val="bottom"/>
            <w:shd w:val="clear" w:color="auto" w:fill="D1EDF4"/>
          </w:tcPr>
          <w:p>
            <w:pPr>
              <w:ind w:left="120"/>
              <w:spacing w:after="0"/>
              <w:rPr>
                <w:sz w:val="20"/>
                <w:szCs w:val="20"/>
                <w:color w:val="auto"/>
              </w:rPr>
            </w:pPr>
            <w:r>
              <w:rPr>
                <w:rFonts w:ascii="Arial" w:cs="Arial" w:eastAsia="Arial" w:hAnsi="Arial"/>
                <w:sz w:val="18"/>
                <w:szCs w:val="18"/>
                <w:color w:val="auto"/>
              </w:rPr>
              <w:t>State tax credits, net of federal benefit</w:t>
            </w:r>
          </w:p>
        </w:tc>
        <w:tc>
          <w:tcPr>
            <w:tcW w:w="1160" w:type="dxa"/>
            <w:vAlign w:val="bottom"/>
            <w:shd w:val="clear" w:color="auto" w:fill="D1EDF4"/>
          </w:tcPr>
          <w:p>
            <w:pPr>
              <w:jc w:val="right"/>
              <w:spacing w:after="0"/>
              <w:rPr>
                <w:sz w:val="20"/>
                <w:szCs w:val="20"/>
                <w:color w:val="auto"/>
              </w:rPr>
            </w:pPr>
            <w:r>
              <w:rPr>
                <w:rFonts w:ascii="Arial" w:cs="Arial" w:eastAsia="Arial" w:hAnsi="Arial"/>
                <w:sz w:val="18"/>
                <w:szCs w:val="18"/>
                <w:color w:val="auto"/>
              </w:rPr>
              <w:t>32%</w:t>
            </w:r>
          </w:p>
        </w:tc>
        <w:tc>
          <w:tcPr>
            <w:tcW w:w="160" w:type="dxa"/>
            <w:vAlign w:val="bottom"/>
            <w:shd w:val="clear" w:color="auto" w:fill="D1EDF4"/>
          </w:tcPr>
          <w:p>
            <w:pPr>
              <w:spacing w:after="0"/>
              <w:rPr>
                <w:sz w:val="18"/>
                <w:szCs w:val="18"/>
                <w:color w:val="auto"/>
              </w:rPr>
            </w:pPr>
          </w:p>
        </w:tc>
        <w:tc>
          <w:tcPr>
            <w:tcW w:w="140" w:type="dxa"/>
            <w:vAlign w:val="bottom"/>
            <w:shd w:val="clear" w:color="auto" w:fill="D1EDF4"/>
          </w:tcPr>
          <w:p>
            <w:pPr>
              <w:spacing w:after="0"/>
              <w:rPr>
                <w:sz w:val="18"/>
                <w:szCs w:val="18"/>
                <w:color w:val="auto"/>
              </w:rPr>
            </w:pPr>
          </w:p>
        </w:tc>
        <w:tc>
          <w:tcPr>
            <w:tcW w:w="880" w:type="dxa"/>
            <w:vAlign w:val="bottom"/>
            <w:shd w:val="clear" w:color="auto" w:fill="D1EDF4"/>
          </w:tcPr>
          <w:p>
            <w:pPr>
              <w:jc w:val="right"/>
              <w:spacing w:after="0"/>
              <w:rPr>
                <w:sz w:val="20"/>
                <w:szCs w:val="20"/>
                <w:color w:val="auto"/>
              </w:rPr>
            </w:pPr>
            <w:r>
              <w:rPr>
                <w:rFonts w:ascii="Arial" w:cs="Arial" w:eastAsia="Arial" w:hAnsi="Arial"/>
                <w:sz w:val="18"/>
                <w:szCs w:val="18"/>
                <w:color w:val="auto"/>
              </w:rPr>
              <w:t>(1,775)</w:t>
            </w:r>
          </w:p>
        </w:tc>
        <w:tc>
          <w:tcPr>
            <w:tcW w:w="120" w:type="dxa"/>
            <w:vAlign w:val="bottom"/>
            <w:shd w:val="clear" w:color="auto" w:fill="D1EDF4"/>
          </w:tcPr>
          <w:p>
            <w:pPr>
              <w:spacing w:after="0"/>
              <w:rPr>
                <w:sz w:val="18"/>
                <w:szCs w:val="18"/>
                <w:color w:val="auto"/>
              </w:rPr>
            </w:pPr>
          </w:p>
        </w:tc>
        <w:tc>
          <w:tcPr>
            <w:tcW w:w="760" w:type="dxa"/>
            <w:vAlign w:val="bottom"/>
            <w:shd w:val="clear" w:color="auto" w:fill="D1EDF4"/>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D1EDF4"/>
          </w:tcPr>
          <w:p>
            <w:pPr>
              <w:spacing w:after="0"/>
              <w:rPr>
                <w:sz w:val="18"/>
                <w:szCs w:val="18"/>
                <w:color w:val="auto"/>
              </w:rPr>
            </w:pPr>
          </w:p>
        </w:tc>
        <w:tc>
          <w:tcPr>
            <w:tcW w:w="160" w:type="dxa"/>
            <w:vAlign w:val="bottom"/>
            <w:shd w:val="clear" w:color="auto" w:fill="D1EDF4"/>
          </w:tcPr>
          <w:p>
            <w:pPr>
              <w:spacing w:after="0"/>
              <w:rPr>
                <w:sz w:val="18"/>
                <w:szCs w:val="18"/>
                <w:color w:val="auto"/>
              </w:rPr>
            </w:pPr>
          </w:p>
        </w:tc>
        <w:tc>
          <w:tcPr>
            <w:tcW w:w="1020" w:type="dxa"/>
            <w:vAlign w:val="bottom"/>
            <w:shd w:val="clear" w:color="auto" w:fill="D1EDF4"/>
          </w:tcPr>
          <w:p>
            <w:pPr>
              <w:jc w:val="right"/>
              <w:spacing w:after="0"/>
              <w:rPr>
                <w:sz w:val="20"/>
                <w:szCs w:val="20"/>
                <w:color w:val="auto"/>
              </w:rPr>
            </w:pPr>
            <w:r>
              <w:rPr>
                <w:rFonts w:ascii="Arial" w:cs="Arial" w:eastAsia="Arial" w:hAnsi="Arial"/>
                <w:sz w:val="18"/>
                <w:szCs w:val="18"/>
                <w:color w:val="auto"/>
              </w:rPr>
              <w:t>(1,001)</w:t>
            </w:r>
          </w:p>
        </w:tc>
        <w:tc>
          <w:tcPr>
            <w:tcW w:w="100" w:type="dxa"/>
            <w:vAlign w:val="bottom"/>
            <w:shd w:val="clear" w:color="auto" w:fill="D1EDF4"/>
          </w:tcPr>
          <w:p>
            <w:pPr>
              <w:spacing w:after="0"/>
              <w:rPr>
                <w:sz w:val="18"/>
                <w:szCs w:val="18"/>
                <w:color w:val="auto"/>
              </w:rPr>
            </w:pPr>
          </w:p>
        </w:tc>
        <w:tc>
          <w:tcPr>
            <w:tcW w:w="760" w:type="dxa"/>
            <w:vAlign w:val="bottom"/>
            <w:shd w:val="clear" w:color="auto" w:fill="D1EDF4"/>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D1EDF4"/>
          </w:tcPr>
          <w:p>
            <w:pPr>
              <w:spacing w:after="0"/>
              <w:rPr>
                <w:sz w:val="18"/>
                <w:szCs w:val="18"/>
                <w:color w:val="auto"/>
              </w:rPr>
            </w:pPr>
          </w:p>
        </w:tc>
        <w:tc>
          <w:tcPr>
            <w:tcW w:w="140" w:type="dxa"/>
            <w:vAlign w:val="bottom"/>
            <w:shd w:val="clear" w:color="auto" w:fill="D1EDF4"/>
          </w:tcPr>
          <w:p>
            <w:pPr>
              <w:spacing w:after="0"/>
              <w:rPr>
                <w:sz w:val="18"/>
                <w:szCs w:val="18"/>
                <w:color w:val="auto"/>
              </w:rPr>
            </w:pPr>
          </w:p>
        </w:tc>
        <w:tc>
          <w:tcPr>
            <w:tcW w:w="880" w:type="dxa"/>
            <w:vAlign w:val="bottom"/>
            <w:shd w:val="clear" w:color="auto" w:fill="D1EDF4"/>
          </w:tcPr>
          <w:p>
            <w:pPr>
              <w:jc w:val="right"/>
              <w:spacing w:after="0"/>
              <w:rPr>
                <w:sz w:val="20"/>
                <w:szCs w:val="20"/>
                <w:color w:val="auto"/>
              </w:rPr>
            </w:pPr>
            <w:r>
              <w:rPr>
                <w:rFonts w:ascii="Arial" w:cs="Arial" w:eastAsia="Arial" w:hAnsi="Arial"/>
                <w:sz w:val="18"/>
                <w:szCs w:val="18"/>
                <w:color w:val="auto"/>
              </w:rPr>
              <w:t>(167)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200" w:type="dxa"/>
            <w:vAlign w:val="bottom"/>
          </w:tcPr>
          <w:p>
            <w:pPr>
              <w:ind w:left="120"/>
              <w:spacing w:after="0" w:line="189" w:lineRule="exact"/>
              <w:rPr>
                <w:sz w:val="20"/>
                <w:szCs w:val="20"/>
                <w:color w:val="auto"/>
              </w:rPr>
            </w:pPr>
            <w:r>
              <w:rPr>
                <w:rFonts w:ascii="Arial" w:cs="Arial" w:eastAsia="Arial" w:hAnsi="Arial"/>
                <w:sz w:val="18"/>
                <w:szCs w:val="18"/>
                <w:color w:val="auto"/>
              </w:rPr>
              <w:t>General business credits, net of nondeductible</w:t>
            </w: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200" w:type="dxa"/>
            <w:vAlign w:val="bottom"/>
            <w:vMerge w:val="restart"/>
          </w:tcPr>
          <w:p>
            <w:pPr>
              <w:ind w:left="120"/>
              <w:spacing w:after="0"/>
              <w:rPr>
                <w:sz w:val="20"/>
                <w:szCs w:val="20"/>
                <w:color w:val="auto"/>
              </w:rPr>
            </w:pPr>
            <w:r>
              <w:rPr>
                <w:rFonts w:ascii="Arial" w:cs="Arial" w:eastAsia="Arial" w:hAnsi="Arial"/>
                <w:sz w:val="18"/>
                <w:szCs w:val="18"/>
                <w:color w:val="auto"/>
              </w:rPr>
              <w:t>expenses</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1,130</w:t>
            </w: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1,235</w:t>
            </w: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1,840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420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4200" w:type="dxa"/>
            <w:vAlign w:val="bottom"/>
            <w:shd w:val="clear" w:color="auto" w:fill="D1EDF4"/>
          </w:tcPr>
          <w:p>
            <w:pPr>
              <w:ind w:left="120"/>
              <w:spacing w:after="0"/>
              <w:rPr>
                <w:sz w:val="20"/>
                <w:szCs w:val="20"/>
                <w:color w:val="auto"/>
              </w:rPr>
            </w:pPr>
            <w:r>
              <w:rPr>
                <w:rFonts w:ascii="Arial" w:cs="Arial" w:eastAsia="Arial" w:hAnsi="Arial"/>
                <w:sz w:val="18"/>
                <w:szCs w:val="18"/>
                <w:color w:val="auto"/>
              </w:rPr>
              <w:t>Nondeductible compensation</w:t>
            </w:r>
          </w:p>
        </w:tc>
        <w:tc>
          <w:tcPr>
            <w:tcW w:w="1160" w:type="dxa"/>
            <w:vAlign w:val="bottom"/>
            <w:shd w:val="clear" w:color="auto" w:fill="D1EDF4"/>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D1EDF4"/>
          </w:tcPr>
          <w:p>
            <w:pPr>
              <w:spacing w:after="0"/>
              <w:rPr>
                <w:sz w:val="18"/>
                <w:szCs w:val="18"/>
                <w:color w:val="auto"/>
              </w:rPr>
            </w:pPr>
          </w:p>
        </w:tc>
        <w:tc>
          <w:tcPr>
            <w:tcW w:w="140" w:type="dxa"/>
            <w:vAlign w:val="bottom"/>
            <w:shd w:val="clear" w:color="auto" w:fill="D1EDF4"/>
          </w:tcPr>
          <w:p>
            <w:pPr>
              <w:spacing w:after="0"/>
              <w:rPr>
                <w:sz w:val="18"/>
                <w:szCs w:val="18"/>
                <w:color w:val="auto"/>
              </w:rPr>
            </w:pPr>
          </w:p>
        </w:tc>
        <w:tc>
          <w:tcPr>
            <w:tcW w:w="880" w:type="dxa"/>
            <w:vAlign w:val="bottom"/>
            <w:shd w:val="clear" w:color="auto" w:fill="D1EDF4"/>
          </w:tcPr>
          <w:p>
            <w:pPr>
              <w:jc w:val="right"/>
              <w:spacing w:after="0"/>
              <w:rPr>
                <w:sz w:val="20"/>
                <w:szCs w:val="20"/>
                <w:color w:val="auto"/>
              </w:rPr>
            </w:pPr>
            <w:r>
              <w:rPr>
                <w:rFonts w:ascii="Arial" w:cs="Arial" w:eastAsia="Arial" w:hAnsi="Arial"/>
                <w:sz w:val="18"/>
                <w:szCs w:val="18"/>
                <w:color w:val="auto"/>
              </w:rPr>
              <w:t>(364)</w:t>
            </w:r>
          </w:p>
        </w:tc>
        <w:tc>
          <w:tcPr>
            <w:tcW w:w="120" w:type="dxa"/>
            <w:vAlign w:val="bottom"/>
            <w:shd w:val="clear" w:color="auto" w:fill="D1EDF4"/>
          </w:tcPr>
          <w:p>
            <w:pPr>
              <w:spacing w:after="0"/>
              <w:rPr>
                <w:sz w:val="18"/>
                <w:szCs w:val="18"/>
                <w:color w:val="auto"/>
              </w:rPr>
            </w:pPr>
          </w:p>
        </w:tc>
        <w:tc>
          <w:tcPr>
            <w:tcW w:w="760" w:type="dxa"/>
            <w:vAlign w:val="bottom"/>
            <w:shd w:val="clear" w:color="auto" w:fill="D1EDF4"/>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D1EDF4"/>
          </w:tcPr>
          <w:p>
            <w:pPr>
              <w:spacing w:after="0"/>
              <w:rPr>
                <w:sz w:val="18"/>
                <w:szCs w:val="18"/>
                <w:color w:val="auto"/>
              </w:rPr>
            </w:pPr>
          </w:p>
        </w:tc>
        <w:tc>
          <w:tcPr>
            <w:tcW w:w="160" w:type="dxa"/>
            <w:vAlign w:val="bottom"/>
            <w:shd w:val="clear" w:color="auto" w:fill="D1EDF4"/>
          </w:tcPr>
          <w:p>
            <w:pPr>
              <w:spacing w:after="0"/>
              <w:rPr>
                <w:sz w:val="18"/>
                <w:szCs w:val="18"/>
                <w:color w:val="auto"/>
              </w:rPr>
            </w:pPr>
          </w:p>
        </w:tc>
        <w:tc>
          <w:tcPr>
            <w:tcW w:w="1120" w:type="dxa"/>
            <w:vAlign w:val="bottom"/>
            <w:gridSpan w:val="2"/>
            <w:shd w:val="clear" w:color="auto" w:fill="D1EDF4"/>
          </w:tcPr>
          <w:p>
            <w:pPr>
              <w:jc w:val="right"/>
              <w:ind w:right="100"/>
              <w:spacing w:after="0"/>
              <w:rPr>
                <w:sz w:val="20"/>
                <w:szCs w:val="20"/>
                <w:color w:val="auto"/>
              </w:rPr>
            </w:pPr>
            <w:r>
              <w:rPr>
                <w:rFonts w:ascii="Arial" w:cs="Arial" w:eastAsia="Arial" w:hAnsi="Arial"/>
                <w:sz w:val="18"/>
                <w:szCs w:val="18"/>
                <w:color w:val="auto"/>
              </w:rPr>
              <w:t>(46)</w:t>
            </w:r>
          </w:p>
        </w:tc>
        <w:tc>
          <w:tcPr>
            <w:tcW w:w="760" w:type="dxa"/>
            <w:vAlign w:val="bottom"/>
            <w:shd w:val="clear" w:color="auto" w:fill="D1EDF4"/>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D1EDF4"/>
          </w:tcPr>
          <w:p>
            <w:pPr>
              <w:spacing w:after="0"/>
              <w:rPr>
                <w:sz w:val="18"/>
                <w:szCs w:val="18"/>
                <w:color w:val="auto"/>
              </w:rPr>
            </w:pPr>
          </w:p>
        </w:tc>
        <w:tc>
          <w:tcPr>
            <w:tcW w:w="140" w:type="dxa"/>
            <w:vAlign w:val="bottom"/>
            <w:shd w:val="clear" w:color="auto" w:fill="D1EDF4"/>
          </w:tcPr>
          <w:p>
            <w:pPr>
              <w:spacing w:after="0"/>
              <w:rPr>
                <w:sz w:val="18"/>
                <w:szCs w:val="18"/>
                <w:color w:val="auto"/>
              </w:rPr>
            </w:pPr>
          </w:p>
        </w:tc>
        <w:tc>
          <w:tcPr>
            <w:tcW w:w="880" w:type="dxa"/>
            <w:vAlign w:val="bottom"/>
            <w:shd w:val="clear" w:color="auto" w:fill="D1EDF4"/>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200" w:type="dxa"/>
            <w:vAlign w:val="bottom"/>
          </w:tcPr>
          <w:p>
            <w:pPr>
              <w:ind w:left="120"/>
              <w:spacing w:after="0" w:line="190" w:lineRule="exact"/>
              <w:rPr>
                <w:sz w:val="20"/>
                <w:szCs w:val="20"/>
                <w:color w:val="auto"/>
              </w:rPr>
            </w:pPr>
            <w:r>
              <w:rPr>
                <w:rFonts w:ascii="Arial" w:cs="Arial" w:eastAsia="Arial" w:hAnsi="Arial"/>
                <w:sz w:val="18"/>
                <w:szCs w:val="18"/>
                <w:color w:val="auto"/>
              </w:rPr>
              <w:t>Excess (deficit) tax benefits from stock-based</w:t>
            </w: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4200" w:type="dxa"/>
            <w:vAlign w:val="bottom"/>
            <w:vMerge w:val="restart"/>
          </w:tcPr>
          <w:p>
            <w:pPr>
              <w:ind w:left="120"/>
              <w:spacing w:after="0"/>
              <w:rPr>
                <w:sz w:val="20"/>
                <w:szCs w:val="20"/>
                <w:color w:val="auto"/>
              </w:rPr>
            </w:pPr>
            <w:r>
              <w:rPr>
                <w:rFonts w:ascii="Arial" w:cs="Arial" w:eastAsia="Arial" w:hAnsi="Arial"/>
                <w:sz w:val="18"/>
                <w:szCs w:val="18"/>
                <w:color w:val="auto"/>
              </w:rPr>
              <w:t>compensation</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(96)</w:t>
            </w:r>
          </w:p>
        </w:tc>
        <w:tc>
          <w:tcPr>
            <w:tcW w:w="7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(519)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420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4200" w:type="dxa"/>
            <w:vAlign w:val="bottom"/>
            <w:shd w:val="clear" w:color="auto" w:fill="D1EDF4"/>
          </w:tcPr>
          <w:p>
            <w:pPr>
              <w:ind w:left="120"/>
              <w:spacing w:after="0"/>
              <w:rPr>
                <w:sz w:val="20"/>
                <w:szCs w:val="20"/>
                <w:color w:val="auto"/>
              </w:rPr>
            </w:pPr>
            <w:r>
              <w:rPr>
                <w:rFonts w:ascii="Arial" w:cs="Arial" w:eastAsia="Arial" w:hAnsi="Arial"/>
                <w:sz w:val="18"/>
                <w:szCs w:val="18"/>
                <w:color w:val="auto"/>
              </w:rPr>
              <w:t>Valuation Allowance</w:t>
            </w:r>
          </w:p>
        </w:tc>
        <w:tc>
          <w:tcPr>
            <w:tcW w:w="1160" w:type="dxa"/>
            <w:vAlign w:val="bottom"/>
            <w:shd w:val="clear" w:color="auto" w:fill="D1EDF4"/>
          </w:tcPr>
          <w:p>
            <w:pPr>
              <w:jc w:val="right"/>
              <w:spacing w:after="0"/>
              <w:rPr>
                <w:sz w:val="20"/>
                <w:szCs w:val="20"/>
                <w:color w:val="auto"/>
              </w:rPr>
            </w:pPr>
            <w:r>
              <w:rPr>
                <w:rFonts w:ascii="Arial" w:cs="Arial" w:eastAsia="Arial" w:hAnsi="Arial"/>
                <w:sz w:val="18"/>
                <w:szCs w:val="18"/>
                <w:color w:val="auto"/>
              </w:rPr>
              <w:t>(37)%</w:t>
            </w:r>
          </w:p>
        </w:tc>
        <w:tc>
          <w:tcPr>
            <w:tcW w:w="160" w:type="dxa"/>
            <w:vAlign w:val="bottom"/>
            <w:shd w:val="clear" w:color="auto" w:fill="D1EDF4"/>
          </w:tcPr>
          <w:p>
            <w:pPr>
              <w:spacing w:after="0"/>
              <w:rPr>
                <w:sz w:val="18"/>
                <w:szCs w:val="18"/>
                <w:color w:val="auto"/>
              </w:rPr>
            </w:pPr>
          </w:p>
        </w:tc>
        <w:tc>
          <w:tcPr>
            <w:tcW w:w="140" w:type="dxa"/>
            <w:vAlign w:val="bottom"/>
            <w:shd w:val="clear" w:color="auto" w:fill="D1EDF4"/>
          </w:tcPr>
          <w:p>
            <w:pPr>
              <w:spacing w:after="0"/>
              <w:rPr>
                <w:sz w:val="18"/>
                <w:szCs w:val="18"/>
                <w:color w:val="auto"/>
              </w:rPr>
            </w:pPr>
          </w:p>
        </w:tc>
        <w:tc>
          <w:tcPr>
            <w:tcW w:w="880" w:type="dxa"/>
            <w:vAlign w:val="bottom"/>
            <w:shd w:val="clear" w:color="auto" w:fill="D1EDF4"/>
          </w:tcPr>
          <w:p>
            <w:pPr>
              <w:jc w:val="right"/>
              <w:spacing w:after="0"/>
              <w:rPr>
                <w:sz w:val="20"/>
                <w:szCs w:val="20"/>
                <w:color w:val="auto"/>
              </w:rPr>
            </w:pPr>
            <w:r>
              <w:rPr>
                <w:rFonts w:ascii="Arial" w:cs="Arial" w:eastAsia="Arial" w:hAnsi="Arial"/>
                <w:sz w:val="18"/>
                <w:szCs w:val="18"/>
                <w:color w:val="auto"/>
              </w:rPr>
              <w:t>2,028</w:t>
            </w:r>
          </w:p>
        </w:tc>
        <w:tc>
          <w:tcPr>
            <w:tcW w:w="120" w:type="dxa"/>
            <w:vAlign w:val="bottom"/>
            <w:shd w:val="clear" w:color="auto" w:fill="D1EDF4"/>
          </w:tcPr>
          <w:p>
            <w:pPr>
              <w:spacing w:after="0"/>
              <w:rPr>
                <w:sz w:val="18"/>
                <w:szCs w:val="18"/>
                <w:color w:val="auto"/>
              </w:rPr>
            </w:pPr>
          </w:p>
        </w:tc>
        <w:tc>
          <w:tcPr>
            <w:tcW w:w="760" w:type="dxa"/>
            <w:vAlign w:val="bottom"/>
            <w:shd w:val="clear" w:color="auto" w:fill="D1EDF4"/>
          </w:tcPr>
          <w:p>
            <w:pPr>
              <w:jc w:val="right"/>
              <w:spacing w:after="0"/>
              <w:rPr>
                <w:sz w:val="20"/>
                <w:szCs w:val="20"/>
                <w:color w:val="auto"/>
              </w:rPr>
            </w:pPr>
            <w:r>
              <w:rPr>
                <w:rFonts w:ascii="Arial" w:cs="Arial" w:eastAsia="Arial" w:hAnsi="Arial"/>
                <w:sz w:val="18"/>
                <w:szCs w:val="18"/>
                <w:color w:val="auto"/>
              </w:rPr>
              <w:t>(39)%</w:t>
            </w:r>
          </w:p>
        </w:tc>
        <w:tc>
          <w:tcPr>
            <w:tcW w:w="160" w:type="dxa"/>
            <w:vAlign w:val="bottom"/>
            <w:shd w:val="clear" w:color="auto" w:fill="D1EDF4"/>
          </w:tcPr>
          <w:p>
            <w:pPr>
              <w:spacing w:after="0"/>
              <w:rPr>
                <w:sz w:val="18"/>
                <w:szCs w:val="18"/>
                <w:color w:val="auto"/>
              </w:rPr>
            </w:pPr>
          </w:p>
        </w:tc>
        <w:tc>
          <w:tcPr>
            <w:tcW w:w="160" w:type="dxa"/>
            <w:vAlign w:val="bottom"/>
            <w:shd w:val="clear" w:color="auto" w:fill="D1EDF4"/>
          </w:tcPr>
          <w:p>
            <w:pPr>
              <w:spacing w:after="0"/>
              <w:rPr>
                <w:sz w:val="18"/>
                <w:szCs w:val="18"/>
                <w:color w:val="auto"/>
              </w:rPr>
            </w:pPr>
          </w:p>
        </w:tc>
        <w:tc>
          <w:tcPr>
            <w:tcW w:w="1020" w:type="dxa"/>
            <w:vAlign w:val="bottom"/>
            <w:shd w:val="clear" w:color="auto" w:fill="D1EDF4"/>
          </w:tcPr>
          <w:p>
            <w:pPr>
              <w:jc w:val="right"/>
              <w:spacing w:after="0"/>
              <w:rPr>
                <w:sz w:val="20"/>
                <w:szCs w:val="20"/>
                <w:color w:val="auto"/>
              </w:rPr>
            </w:pPr>
            <w:r>
              <w:rPr>
                <w:rFonts w:ascii="Arial" w:cs="Arial" w:eastAsia="Arial" w:hAnsi="Arial"/>
                <w:sz w:val="18"/>
                <w:szCs w:val="18"/>
                <w:color w:val="auto"/>
              </w:rPr>
              <w:t>(14,582)</w:t>
            </w:r>
          </w:p>
        </w:tc>
        <w:tc>
          <w:tcPr>
            <w:tcW w:w="100" w:type="dxa"/>
            <w:vAlign w:val="bottom"/>
            <w:shd w:val="clear" w:color="auto" w:fill="D1EDF4"/>
          </w:tcPr>
          <w:p>
            <w:pPr>
              <w:spacing w:after="0"/>
              <w:rPr>
                <w:sz w:val="18"/>
                <w:szCs w:val="18"/>
                <w:color w:val="auto"/>
              </w:rPr>
            </w:pPr>
          </w:p>
        </w:tc>
        <w:tc>
          <w:tcPr>
            <w:tcW w:w="760" w:type="dxa"/>
            <w:vAlign w:val="bottom"/>
            <w:shd w:val="clear" w:color="auto" w:fill="D1EDF4"/>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D1EDF4"/>
          </w:tcPr>
          <w:p>
            <w:pPr>
              <w:spacing w:after="0"/>
              <w:rPr>
                <w:sz w:val="18"/>
                <w:szCs w:val="18"/>
                <w:color w:val="auto"/>
              </w:rPr>
            </w:pPr>
          </w:p>
        </w:tc>
        <w:tc>
          <w:tcPr>
            <w:tcW w:w="140" w:type="dxa"/>
            <w:vAlign w:val="bottom"/>
            <w:shd w:val="clear" w:color="auto" w:fill="D1EDF4"/>
          </w:tcPr>
          <w:p>
            <w:pPr>
              <w:spacing w:after="0"/>
              <w:rPr>
                <w:sz w:val="18"/>
                <w:szCs w:val="18"/>
                <w:color w:val="auto"/>
              </w:rPr>
            </w:pPr>
          </w:p>
        </w:tc>
        <w:tc>
          <w:tcPr>
            <w:tcW w:w="880" w:type="dxa"/>
            <w:vAlign w:val="bottom"/>
            <w:shd w:val="clear" w:color="auto" w:fill="D1EDF4"/>
          </w:tcPr>
          <w:p>
            <w:pPr>
              <w:jc w:val="right"/>
              <w:spacing w:after="0"/>
              <w:rPr>
                <w:sz w:val="20"/>
                <w:szCs w:val="20"/>
                <w:color w:val="auto"/>
              </w:rPr>
            </w:pPr>
            <w:r>
              <w:rPr>
                <w:rFonts w:ascii="Arial" w:cs="Arial" w:eastAsia="Arial" w:hAnsi="Arial"/>
                <w:sz w:val="18"/>
                <w:szCs w:val="18"/>
                <w:color w:val="auto"/>
              </w:rPr>
              <w:t>(774)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200" w:type="dxa"/>
            <w:vAlign w:val="bottom"/>
          </w:tcPr>
          <w:p>
            <w:pPr>
              <w:ind w:left="120"/>
              <w:spacing w:after="0"/>
              <w:rPr>
                <w:sz w:val="20"/>
                <w:szCs w:val="20"/>
                <w:color w:val="auto"/>
              </w:rPr>
            </w:pPr>
            <w:r>
              <w:rPr>
                <w:rFonts w:ascii="Arial" w:cs="Arial" w:eastAsia="Arial" w:hAnsi="Arial"/>
                <w:sz w:val="18"/>
                <w:szCs w:val="18"/>
                <w:color w:val="auto"/>
              </w:rPr>
              <w:t>Changes in tax rates</w:t>
            </w: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00" w:type="dxa"/>
            <w:vAlign w:val="bottom"/>
            <w:shd w:val="clear" w:color="auto" w:fill="D1EDF4"/>
          </w:tcPr>
          <w:p>
            <w:pPr>
              <w:ind w:left="120"/>
              <w:spacing w:after="0"/>
              <w:rPr>
                <w:sz w:val="20"/>
                <w:szCs w:val="20"/>
                <w:color w:val="auto"/>
              </w:rPr>
            </w:pPr>
            <w:r>
              <w:rPr>
                <w:rFonts w:ascii="Arial" w:cs="Arial" w:eastAsia="Arial" w:hAnsi="Arial"/>
                <w:sz w:val="18"/>
                <w:szCs w:val="18"/>
                <w:color w:val="auto"/>
              </w:rPr>
              <w:t>Nondeductible or nontaxable items</w:t>
            </w:r>
          </w:p>
        </w:tc>
        <w:tc>
          <w:tcPr>
            <w:tcW w:w="1160" w:type="dxa"/>
            <w:vAlign w:val="bottom"/>
            <w:shd w:val="clear" w:color="auto" w:fill="D1EDF4"/>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D1EDF4"/>
          </w:tcPr>
          <w:p>
            <w:pPr>
              <w:spacing w:after="0"/>
              <w:rPr>
                <w:sz w:val="18"/>
                <w:szCs w:val="18"/>
                <w:color w:val="auto"/>
              </w:rPr>
            </w:pPr>
          </w:p>
        </w:tc>
        <w:tc>
          <w:tcPr>
            <w:tcW w:w="140" w:type="dxa"/>
            <w:vAlign w:val="bottom"/>
            <w:shd w:val="clear" w:color="auto" w:fill="D1EDF4"/>
          </w:tcPr>
          <w:p>
            <w:pPr>
              <w:spacing w:after="0"/>
              <w:rPr>
                <w:sz w:val="18"/>
                <w:szCs w:val="18"/>
                <w:color w:val="auto"/>
              </w:rPr>
            </w:pPr>
          </w:p>
        </w:tc>
        <w:tc>
          <w:tcPr>
            <w:tcW w:w="1000" w:type="dxa"/>
            <w:vAlign w:val="bottom"/>
            <w:gridSpan w:val="2"/>
            <w:shd w:val="clear" w:color="auto" w:fill="D1EDF4"/>
          </w:tcPr>
          <w:p>
            <w:pPr>
              <w:jc w:val="right"/>
              <w:ind w:right="120"/>
              <w:spacing w:after="0"/>
              <w:rPr>
                <w:sz w:val="20"/>
                <w:szCs w:val="20"/>
                <w:color w:val="auto"/>
              </w:rPr>
            </w:pPr>
            <w:r>
              <w:rPr>
                <w:rFonts w:ascii="Arial" w:cs="Arial" w:eastAsia="Arial" w:hAnsi="Arial"/>
                <w:sz w:val="18"/>
                <w:szCs w:val="18"/>
                <w:color w:val="auto"/>
              </w:rPr>
              <w:t>(52)</w:t>
            </w:r>
          </w:p>
        </w:tc>
        <w:tc>
          <w:tcPr>
            <w:tcW w:w="760" w:type="dxa"/>
            <w:vAlign w:val="bottom"/>
            <w:shd w:val="clear" w:color="auto" w:fill="D1EDF4"/>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D1EDF4"/>
          </w:tcPr>
          <w:p>
            <w:pPr>
              <w:spacing w:after="0"/>
              <w:rPr>
                <w:sz w:val="18"/>
                <w:szCs w:val="18"/>
                <w:color w:val="auto"/>
              </w:rPr>
            </w:pPr>
          </w:p>
        </w:tc>
        <w:tc>
          <w:tcPr>
            <w:tcW w:w="160" w:type="dxa"/>
            <w:vAlign w:val="bottom"/>
            <w:shd w:val="clear" w:color="auto" w:fill="D1EDF4"/>
          </w:tcPr>
          <w:p>
            <w:pPr>
              <w:spacing w:after="0"/>
              <w:rPr>
                <w:sz w:val="18"/>
                <w:szCs w:val="18"/>
                <w:color w:val="auto"/>
              </w:rPr>
            </w:pPr>
          </w:p>
        </w:tc>
        <w:tc>
          <w:tcPr>
            <w:tcW w:w="1120" w:type="dxa"/>
            <w:vAlign w:val="bottom"/>
            <w:gridSpan w:val="2"/>
            <w:shd w:val="clear" w:color="auto" w:fill="D1EDF4"/>
          </w:tcPr>
          <w:p>
            <w:pPr>
              <w:jc w:val="right"/>
              <w:ind w:right="100"/>
              <w:spacing w:after="0"/>
              <w:rPr>
                <w:sz w:val="20"/>
                <w:szCs w:val="20"/>
                <w:color w:val="auto"/>
              </w:rPr>
            </w:pPr>
            <w:r>
              <w:rPr>
                <w:rFonts w:ascii="Arial" w:cs="Arial" w:eastAsia="Arial" w:hAnsi="Arial"/>
                <w:sz w:val="18"/>
                <w:szCs w:val="18"/>
                <w:color w:val="auto"/>
              </w:rPr>
              <w:t>(47)</w:t>
            </w:r>
          </w:p>
        </w:tc>
        <w:tc>
          <w:tcPr>
            <w:tcW w:w="760" w:type="dxa"/>
            <w:vAlign w:val="bottom"/>
            <w:shd w:val="clear" w:color="auto" w:fill="D1EDF4"/>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D1EDF4"/>
          </w:tcPr>
          <w:p>
            <w:pPr>
              <w:spacing w:after="0"/>
              <w:rPr>
                <w:sz w:val="18"/>
                <w:szCs w:val="18"/>
                <w:color w:val="auto"/>
              </w:rPr>
            </w:pPr>
          </w:p>
        </w:tc>
        <w:tc>
          <w:tcPr>
            <w:tcW w:w="140" w:type="dxa"/>
            <w:vAlign w:val="bottom"/>
            <w:shd w:val="clear" w:color="auto" w:fill="D1EDF4"/>
          </w:tcPr>
          <w:p>
            <w:pPr>
              <w:spacing w:after="0"/>
              <w:rPr>
                <w:sz w:val="18"/>
                <w:szCs w:val="18"/>
                <w:color w:val="auto"/>
              </w:rPr>
            </w:pPr>
          </w:p>
        </w:tc>
        <w:tc>
          <w:tcPr>
            <w:tcW w:w="880" w:type="dxa"/>
            <w:vAlign w:val="bottom"/>
            <w:shd w:val="clear" w:color="auto" w:fill="D1EDF4"/>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200" w:type="dxa"/>
            <w:vAlign w:val="bottom"/>
          </w:tcPr>
          <w:p>
            <w:pPr>
              <w:ind w:left="120"/>
              <w:spacing w:after="0"/>
              <w:rPr>
                <w:sz w:val="20"/>
                <w:szCs w:val="20"/>
                <w:color w:val="auto"/>
              </w:rPr>
            </w:pPr>
            <w:r>
              <w:rPr>
                <w:rFonts w:ascii="Arial" w:cs="Arial" w:eastAsia="Arial" w:hAnsi="Arial"/>
                <w:sz w:val="18"/>
                <w:szCs w:val="18"/>
                <w:color w:val="auto"/>
              </w:rPr>
              <w:t>Changes in Unrecognized tax benefits</w:t>
            </w:r>
          </w:p>
        </w:tc>
        <w:tc>
          <w:tcPr>
            <w:tcW w:w="1160" w:type="dxa"/>
            <w:vAlign w:val="bottom"/>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200" w:type="dxa"/>
            <w:vAlign w:val="bottom"/>
            <w:shd w:val="clear" w:color="auto" w:fill="D1EDF4"/>
          </w:tcPr>
          <w:p>
            <w:pPr>
              <w:ind w:left="120"/>
              <w:spacing w:after="0"/>
              <w:rPr>
                <w:sz w:val="20"/>
                <w:szCs w:val="20"/>
                <w:color w:val="auto"/>
              </w:rPr>
            </w:pPr>
            <w:r>
              <w:rPr>
                <w:rFonts w:ascii="Arial" w:cs="Arial" w:eastAsia="Arial" w:hAnsi="Arial"/>
                <w:sz w:val="18"/>
                <w:szCs w:val="18"/>
                <w:color w:val="auto"/>
              </w:rPr>
              <w:t>Other</w:t>
            </w:r>
          </w:p>
        </w:tc>
        <w:tc>
          <w:tcPr>
            <w:tcW w:w="1160" w:type="dxa"/>
            <w:vAlign w:val="bottom"/>
            <w:tcBorders>
              <w:bottom w:val="single" w:sz="8" w:color="auto"/>
            </w:tcBorders>
            <w:shd w:val="clear" w:color="auto" w:fill="D1EDF4"/>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D1EDF4"/>
          </w:tcPr>
          <w:p>
            <w:pPr>
              <w:spacing w:after="0"/>
              <w:rPr>
                <w:sz w:val="18"/>
                <w:szCs w:val="18"/>
                <w:color w:val="auto"/>
              </w:rPr>
            </w:pPr>
          </w:p>
        </w:tc>
        <w:tc>
          <w:tcPr>
            <w:tcW w:w="140" w:type="dxa"/>
            <w:vAlign w:val="bottom"/>
            <w:tcBorders>
              <w:bottom w:val="single" w:sz="8" w:color="auto"/>
            </w:tcBorders>
            <w:shd w:val="clear" w:color="auto" w:fill="D1EDF4"/>
          </w:tcPr>
          <w:p>
            <w:pPr>
              <w:spacing w:after="0"/>
              <w:rPr>
                <w:sz w:val="18"/>
                <w:szCs w:val="18"/>
                <w:color w:val="auto"/>
              </w:rPr>
            </w:pPr>
          </w:p>
        </w:tc>
        <w:tc>
          <w:tcPr>
            <w:tcW w:w="880" w:type="dxa"/>
            <w:vAlign w:val="bottom"/>
            <w:tcBorders>
              <w:bottom w:val="single" w:sz="8" w:color="auto"/>
            </w:tcBorders>
            <w:shd w:val="clear" w:color="auto" w:fill="D1EDF4"/>
          </w:tcPr>
          <w:p>
            <w:pPr>
              <w:jc w:val="right"/>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D1EDF4"/>
          </w:tcPr>
          <w:p>
            <w:pPr>
              <w:spacing w:after="0"/>
              <w:rPr>
                <w:sz w:val="18"/>
                <w:szCs w:val="18"/>
                <w:color w:val="auto"/>
              </w:rPr>
            </w:pPr>
          </w:p>
        </w:tc>
        <w:tc>
          <w:tcPr>
            <w:tcW w:w="760" w:type="dxa"/>
            <w:vAlign w:val="bottom"/>
            <w:tcBorders>
              <w:bottom w:val="single" w:sz="8" w:color="auto"/>
            </w:tcBorders>
            <w:shd w:val="clear" w:color="auto" w:fill="D1EDF4"/>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D1EDF4"/>
          </w:tcPr>
          <w:p>
            <w:pPr>
              <w:spacing w:after="0"/>
              <w:rPr>
                <w:sz w:val="18"/>
                <w:szCs w:val="18"/>
                <w:color w:val="auto"/>
              </w:rPr>
            </w:pPr>
          </w:p>
        </w:tc>
        <w:tc>
          <w:tcPr>
            <w:tcW w:w="160" w:type="dxa"/>
            <w:vAlign w:val="bottom"/>
            <w:tcBorders>
              <w:bottom w:val="single" w:sz="8" w:color="auto"/>
            </w:tcBorders>
            <w:shd w:val="clear" w:color="auto" w:fill="D1EDF4"/>
          </w:tcPr>
          <w:p>
            <w:pPr>
              <w:spacing w:after="0"/>
              <w:rPr>
                <w:sz w:val="18"/>
                <w:szCs w:val="18"/>
                <w:color w:val="auto"/>
              </w:rPr>
            </w:pPr>
          </w:p>
        </w:tc>
        <w:tc>
          <w:tcPr>
            <w:tcW w:w="1020" w:type="dxa"/>
            <w:vAlign w:val="bottom"/>
            <w:tcBorders>
              <w:bottom w:val="single" w:sz="8" w:color="auto"/>
            </w:tcBorders>
            <w:shd w:val="clear" w:color="auto" w:fill="D1EDF4"/>
          </w:tcPr>
          <w:p>
            <w:pPr>
              <w:jc w:val="right"/>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D1EDF4"/>
          </w:tcPr>
          <w:p>
            <w:pPr>
              <w:spacing w:after="0"/>
              <w:rPr>
                <w:sz w:val="18"/>
                <w:szCs w:val="18"/>
                <w:color w:val="auto"/>
              </w:rPr>
            </w:pPr>
          </w:p>
        </w:tc>
        <w:tc>
          <w:tcPr>
            <w:tcW w:w="760" w:type="dxa"/>
            <w:vAlign w:val="bottom"/>
            <w:tcBorders>
              <w:bottom w:val="single" w:sz="8" w:color="auto"/>
            </w:tcBorders>
            <w:shd w:val="clear" w:color="auto" w:fill="D1EDF4"/>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D1EDF4"/>
          </w:tcPr>
          <w:p>
            <w:pPr>
              <w:spacing w:after="0"/>
              <w:rPr>
                <w:sz w:val="18"/>
                <w:szCs w:val="18"/>
                <w:color w:val="auto"/>
              </w:rPr>
            </w:pPr>
          </w:p>
        </w:tc>
        <w:tc>
          <w:tcPr>
            <w:tcW w:w="140" w:type="dxa"/>
            <w:vAlign w:val="bottom"/>
            <w:tcBorders>
              <w:bottom w:val="single" w:sz="8" w:color="auto"/>
            </w:tcBorders>
            <w:shd w:val="clear" w:color="auto" w:fill="D1EDF4"/>
          </w:tcPr>
          <w:p>
            <w:pPr>
              <w:spacing w:after="0"/>
              <w:rPr>
                <w:sz w:val="18"/>
                <w:szCs w:val="18"/>
                <w:color w:val="auto"/>
              </w:rPr>
            </w:pPr>
          </w:p>
        </w:tc>
        <w:tc>
          <w:tcPr>
            <w:tcW w:w="880" w:type="dxa"/>
            <w:vAlign w:val="bottom"/>
            <w:tcBorders>
              <w:bottom w:val="single" w:sz="8" w:color="auto"/>
            </w:tcBorders>
            <w:shd w:val="clear" w:color="auto" w:fill="D1EDF4"/>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200" w:type="dxa"/>
            <w:vAlign w:val="bottom"/>
          </w:tcPr>
          <w:p>
            <w:pPr>
              <w:ind w:left="120"/>
              <w:spacing w:after="0" w:line="199" w:lineRule="exact"/>
              <w:rPr>
                <w:sz w:val="20"/>
                <w:szCs w:val="20"/>
                <w:color w:val="auto"/>
              </w:rPr>
            </w:pPr>
            <w:r>
              <w:rPr>
                <w:rFonts w:ascii="Arial" w:cs="Arial" w:eastAsia="Arial" w:hAnsi="Arial"/>
                <w:sz w:val="18"/>
                <w:szCs w:val="18"/>
                <w:color w:val="auto"/>
              </w:rPr>
              <w:t>Income tax (expense) benefit</w:t>
            </w:r>
          </w:p>
        </w:tc>
        <w:tc>
          <w:tcPr>
            <w:tcW w:w="116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line="199"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(296)</w:t>
            </w:r>
          </w:p>
        </w:tc>
        <w:tc>
          <w:tcPr>
            <w:tcW w:w="120" w:type="dxa"/>
            <w:vAlign w:val="bottom"/>
          </w:tcPr>
          <w:p>
            <w:pPr>
              <w:spacing w:after="0"/>
              <w:rPr>
                <w:sz w:val="18"/>
                <w:szCs w:val="18"/>
                <w:color w:val="auto"/>
              </w:rPr>
            </w:pPr>
          </w:p>
        </w:tc>
        <w:tc>
          <w:tcPr>
            <w:tcW w:w="76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(5,836)</w:t>
            </w:r>
          </w:p>
        </w:tc>
        <w:tc>
          <w:tcPr>
            <w:tcW w:w="100" w:type="dxa"/>
            <w:vAlign w:val="bottom"/>
          </w:tcPr>
          <w:p>
            <w:pPr>
              <w:spacing w:after="0"/>
              <w:rPr>
                <w:sz w:val="18"/>
                <w:szCs w:val="18"/>
                <w:color w:val="auto"/>
              </w:rPr>
            </w:pPr>
          </w:p>
        </w:tc>
        <w:tc>
          <w:tcPr>
            <w:tcW w:w="76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3,907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 The only state that contributes to the majority (greater than 50%) of the tax effect in this category is Louisiana.</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color w:val="auto"/>
        </w:rPr>
        <w:t>Deferred tax assets and deferred tax liabilities consist of the following (in thousands):</w:t>
      </w:r>
    </w:p>
    <w:p>
      <w:pPr>
        <w:spacing w:after="0" w:line="178" w:lineRule="exact"/>
        <w:rPr>
          <w:sz w:val="20"/>
          <w:szCs w:val="20"/>
          <w:color w:val="auto"/>
        </w:rPr>
      </w:pPr>
    </w:p>
    <w:tbl>
      <w:tblPr>
        <w:tblLayout w:type="fixed"/>
        <w:tblInd w:w="1080" w:type="dxa"/>
        <w:tblCellMar>
          <w:top w:w="0" w:type="dxa"/>
          <w:left w:w="0" w:type="dxa"/>
          <w:bottom w:w="0" w:type="dxa"/>
          <w:right w:w="0" w:type="dxa"/>
        </w:tblCellMar>
      </w:tblPr>
      <w:tr>
        <w:trPr>
          <w:trHeight w:val="185"/>
        </w:trPr>
        <w:tc>
          <w:tcPr>
            <w:tcW w:w="6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3"/>
          </w:tcPr>
          <w:p>
            <w:pPr>
              <w:spacing w:after="0"/>
              <w:rPr>
                <w:sz w:val="20"/>
                <w:szCs w:val="20"/>
                <w:color w:val="auto"/>
              </w:rPr>
            </w:pPr>
            <w:r>
              <w:rPr>
                <w:rFonts w:ascii="Arial" w:cs="Arial" w:eastAsia="Arial" w:hAnsi="Arial"/>
                <w:sz w:val="16"/>
                <w:szCs w:val="16"/>
                <w:b w:val="1"/>
                <w:bCs w:val="1"/>
                <w:color w:val="auto"/>
              </w:rPr>
              <w:t>January 31,</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gridSpan w:val="3"/>
          </w:tcPr>
          <w:p>
            <w:pPr>
              <w:spacing w:after="0"/>
              <w:rPr>
                <w:sz w:val="20"/>
                <w:szCs w:val="20"/>
                <w:color w:val="auto"/>
              </w:rPr>
            </w:pPr>
            <w:r>
              <w:rPr>
                <w:rFonts w:ascii="Arial" w:cs="Arial" w:eastAsia="Arial" w:hAnsi="Arial"/>
                <w:sz w:val="16"/>
                <w:szCs w:val="16"/>
                <w:b w:val="1"/>
                <w:bCs w:val="1"/>
                <w:color w:val="auto"/>
              </w:rPr>
              <w:t>February 1,</w:t>
            </w:r>
          </w:p>
        </w:tc>
      </w:tr>
      <w:tr>
        <w:trPr>
          <w:trHeight w:val="203"/>
        </w:trPr>
        <w:tc>
          <w:tcPr>
            <w:tcW w:w="658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86"/>
              <w:spacing w:after="0"/>
              <w:rPr>
                <w:sz w:val="20"/>
                <w:szCs w:val="20"/>
                <w:color w:val="auto"/>
              </w:rPr>
            </w:pPr>
            <w:r>
              <w:rPr>
                <w:rFonts w:ascii="Arial" w:cs="Arial" w:eastAsia="Arial" w:hAnsi="Arial"/>
                <w:sz w:val="16"/>
                <w:szCs w:val="16"/>
                <w:b w:val="1"/>
                <w:bCs w:val="1"/>
                <w:color w:val="auto"/>
              </w:rPr>
              <w:t>2026</w:t>
            </w:r>
          </w:p>
        </w:tc>
        <w:tc>
          <w:tcPr>
            <w:tcW w:w="20" w:type="dxa"/>
            <w:vAlign w:val="bottom"/>
            <w:tcBorders>
              <w:bottom w:val="single" w:sz="8" w:color="D1EDF4"/>
            </w:tcBorders>
          </w:tcPr>
          <w:p>
            <w:pPr>
              <w:spacing w:after="0"/>
              <w:rPr>
                <w:sz w:val="17"/>
                <w:szCs w:val="17"/>
                <w:color w:val="auto"/>
              </w:rPr>
            </w:pPr>
          </w:p>
        </w:tc>
        <w:tc>
          <w:tcPr>
            <w:tcW w:w="14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66"/>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D1EDF4"/>
            </w:tcBorders>
          </w:tcPr>
          <w:p>
            <w:pPr>
              <w:spacing w:after="0"/>
              <w:rPr>
                <w:sz w:val="17"/>
                <w:szCs w:val="17"/>
                <w:color w:val="auto"/>
              </w:rPr>
            </w:pPr>
          </w:p>
        </w:tc>
      </w:tr>
      <w:tr>
        <w:trPr>
          <w:trHeight w:val="210"/>
        </w:trPr>
        <w:tc>
          <w:tcPr>
            <w:tcW w:w="6600" w:type="dxa"/>
            <w:vAlign w:val="bottom"/>
            <w:gridSpan w:val="2"/>
            <w:shd w:val="clear" w:color="auto" w:fill="D1EDF4"/>
          </w:tcPr>
          <w:p>
            <w:pPr>
              <w:spacing w:after="0" w:line="211" w:lineRule="exact"/>
              <w:rPr>
                <w:sz w:val="20"/>
                <w:szCs w:val="20"/>
                <w:color w:val="auto"/>
              </w:rPr>
            </w:pPr>
            <w:r>
              <w:rPr>
                <w:rFonts w:ascii="Arial" w:cs="Arial" w:eastAsia="Arial" w:hAnsi="Arial"/>
                <w:sz w:val="19"/>
                <w:szCs w:val="19"/>
                <w:color w:val="auto"/>
              </w:rPr>
              <w:t>Deferred tax assets:</w:t>
            </w:r>
          </w:p>
        </w:tc>
        <w:tc>
          <w:tcPr>
            <w:tcW w:w="140" w:type="dxa"/>
            <w:vAlign w:val="bottom"/>
            <w:shd w:val="clear" w:color="auto" w:fill="D1EDF4"/>
          </w:tcPr>
          <w:p>
            <w:pPr>
              <w:spacing w:after="0"/>
              <w:rPr>
                <w:sz w:val="18"/>
                <w:szCs w:val="18"/>
                <w:color w:val="auto"/>
              </w:rPr>
            </w:pPr>
          </w:p>
        </w:tc>
        <w:tc>
          <w:tcPr>
            <w:tcW w:w="76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14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140" w:type="dxa"/>
            <w:vAlign w:val="bottom"/>
            <w:shd w:val="clear" w:color="auto" w:fill="D1EDF4"/>
          </w:tcPr>
          <w:p>
            <w:pPr>
              <w:spacing w:after="0"/>
              <w:rPr>
                <w:sz w:val="18"/>
                <w:szCs w:val="18"/>
                <w:color w:val="auto"/>
              </w:rPr>
            </w:pPr>
          </w:p>
        </w:tc>
        <w:tc>
          <w:tcPr>
            <w:tcW w:w="740" w:type="dxa"/>
            <w:vAlign w:val="bottom"/>
            <w:shd w:val="clear" w:color="auto" w:fill="D1EDF4"/>
          </w:tcPr>
          <w:p>
            <w:pPr>
              <w:spacing w:after="0"/>
              <w:rPr>
                <w:sz w:val="18"/>
                <w:szCs w:val="18"/>
                <w:color w:val="auto"/>
              </w:rPr>
            </w:pPr>
          </w:p>
        </w:tc>
        <w:tc>
          <w:tcPr>
            <w:tcW w:w="80" w:type="dxa"/>
            <w:vAlign w:val="bottom"/>
            <w:shd w:val="clear" w:color="auto" w:fill="D1EDF4"/>
          </w:tcPr>
          <w:p>
            <w:pPr>
              <w:spacing w:after="0"/>
              <w:rPr>
                <w:sz w:val="18"/>
                <w:szCs w:val="18"/>
                <w:color w:val="auto"/>
              </w:rPr>
            </w:pPr>
          </w:p>
        </w:tc>
      </w:tr>
      <w:tr>
        <w:trPr>
          <w:trHeight w:val="220"/>
        </w:trPr>
        <w:tc>
          <w:tcPr>
            <w:tcW w:w="6600" w:type="dxa"/>
            <w:vAlign w:val="bottom"/>
            <w:gridSpan w:val="2"/>
          </w:tcPr>
          <w:p>
            <w:pPr>
              <w:ind w:left="240"/>
              <w:spacing w:after="0"/>
              <w:rPr>
                <w:sz w:val="20"/>
                <w:szCs w:val="20"/>
                <w:color w:val="auto"/>
              </w:rPr>
            </w:pPr>
            <w:r>
              <w:rPr>
                <w:rFonts w:ascii="Arial" w:cs="Arial" w:eastAsia="Arial" w:hAnsi="Arial"/>
                <w:sz w:val="19"/>
                <w:szCs w:val="19"/>
                <w:color w:val="auto"/>
              </w:rPr>
              <w:t>Inventory capitalization</w:t>
            </w:r>
          </w:p>
        </w:tc>
        <w:tc>
          <w:tcPr>
            <w:tcW w:w="140" w:type="dxa"/>
            <w:vAlign w:val="bottom"/>
          </w:tcPr>
          <w:p>
            <w:pPr>
              <w:spacing w:after="0"/>
              <w:rPr>
                <w:sz w:val="20"/>
                <w:szCs w:val="20"/>
                <w:color w:val="auto"/>
              </w:rPr>
            </w:pPr>
            <w:r>
              <w:rPr>
                <w:rFonts w:ascii="Arial" w:cs="Arial" w:eastAsia="Arial" w:hAnsi="Arial"/>
                <w:sz w:val="19"/>
                <w:szCs w:val="19"/>
                <w:color w:val="auto"/>
              </w:rPr>
              <w:t>$</w:t>
            </w:r>
          </w:p>
        </w:tc>
        <w:tc>
          <w:tcPr>
            <w:tcW w:w="760" w:type="dxa"/>
            <w:vAlign w:val="bottom"/>
          </w:tcPr>
          <w:p>
            <w:pPr>
              <w:jc w:val="right"/>
              <w:spacing w:after="0"/>
              <w:rPr>
                <w:sz w:val="20"/>
                <w:szCs w:val="20"/>
                <w:color w:val="auto"/>
              </w:rPr>
            </w:pPr>
            <w:r>
              <w:rPr>
                <w:rFonts w:ascii="Arial" w:cs="Arial" w:eastAsia="Arial" w:hAnsi="Arial"/>
                <w:sz w:val="19"/>
                <w:szCs w:val="19"/>
                <w:color w:val="auto"/>
              </w:rPr>
              <w:t>1,863</w:t>
            </w:r>
          </w:p>
        </w:tc>
        <w:tc>
          <w:tcPr>
            <w:tcW w:w="20" w:type="dxa"/>
            <w:vAlign w:val="bottom"/>
          </w:tcPr>
          <w:p>
            <w:pPr>
              <w:spacing w:after="0"/>
              <w:rPr>
                <w:sz w:val="19"/>
                <w:szCs w:val="19"/>
                <w:color w:val="auto"/>
              </w:rPr>
            </w:pPr>
          </w:p>
        </w:tc>
        <w:tc>
          <w:tcPr>
            <w:tcW w:w="300" w:type="dxa"/>
            <w:vAlign w:val="bottom"/>
            <w:gridSpan w:val="3"/>
          </w:tcPr>
          <w:p>
            <w:pPr>
              <w:ind w:left="160"/>
              <w:spacing w:after="0"/>
              <w:rPr>
                <w:sz w:val="20"/>
                <w:szCs w:val="20"/>
                <w:color w:val="auto"/>
              </w:rPr>
            </w:pPr>
            <w:r>
              <w:rPr>
                <w:rFonts w:ascii="Arial" w:cs="Arial" w:eastAsia="Arial" w:hAnsi="Arial"/>
                <w:sz w:val="19"/>
                <w:szCs w:val="19"/>
                <w:color w:val="auto"/>
              </w:rPr>
              <w:t>$</w:t>
            </w:r>
          </w:p>
        </w:tc>
        <w:tc>
          <w:tcPr>
            <w:tcW w:w="740" w:type="dxa"/>
            <w:vAlign w:val="bottom"/>
          </w:tcPr>
          <w:p>
            <w:pPr>
              <w:jc w:val="right"/>
              <w:spacing w:after="0"/>
              <w:rPr>
                <w:sz w:val="20"/>
                <w:szCs w:val="20"/>
                <w:color w:val="auto"/>
              </w:rPr>
            </w:pPr>
            <w:r>
              <w:rPr>
                <w:rFonts w:ascii="Arial" w:cs="Arial" w:eastAsia="Arial" w:hAnsi="Arial"/>
                <w:sz w:val="19"/>
                <w:szCs w:val="19"/>
                <w:color w:val="auto"/>
              </w:rPr>
              <w:t>1,930</w:t>
            </w:r>
          </w:p>
        </w:tc>
        <w:tc>
          <w:tcPr>
            <w:tcW w:w="80" w:type="dxa"/>
            <w:vAlign w:val="bottom"/>
          </w:tcPr>
          <w:p>
            <w:pPr>
              <w:spacing w:after="0"/>
              <w:rPr>
                <w:sz w:val="19"/>
                <w:szCs w:val="19"/>
                <w:color w:val="auto"/>
              </w:rPr>
            </w:pPr>
          </w:p>
        </w:tc>
      </w:tr>
      <w:tr>
        <w:trPr>
          <w:trHeight w:val="218"/>
        </w:trPr>
        <w:tc>
          <w:tcPr>
            <w:tcW w:w="6600" w:type="dxa"/>
            <w:vAlign w:val="bottom"/>
            <w:gridSpan w:val="2"/>
            <w:shd w:val="clear" w:color="auto" w:fill="D1EDF4"/>
          </w:tcPr>
          <w:p>
            <w:pPr>
              <w:ind w:left="240"/>
              <w:spacing w:after="0"/>
              <w:rPr>
                <w:sz w:val="20"/>
                <w:szCs w:val="20"/>
                <w:color w:val="auto"/>
              </w:rPr>
            </w:pPr>
            <w:r>
              <w:rPr>
                <w:rFonts w:ascii="Arial" w:cs="Arial" w:eastAsia="Arial" w:hAnsi="Arial"/>
                <w:sz w:val="19"/>
                <w:szCs w:val="19"/>
                <w:color w:val="auto"/>
              </w:rPr>
              <w:t>Vacation liability</w:t>
            </w:r>
          </w:p>
        </w:tc>
        <w:tc>
          <w:tcPr>
            <w:tcW w:w="140" w:type="dxa"/>
            <w:vAlign w:val="bottom"/>
            <w:shd w:val="clear" w:color="auto" w:fill="D1EDF4"/>
          </w:tcPr>
          <w:p>
            <w:pPr>
              <w:spacing w:after="0"/>
              <w:rPr>
                <w:sz w:val="18"/>
                <w:szCs w:val="18"/>
                <w:color w:val="auto"/>
              </w:rPr>
            </w:pPr>
          </w:p>
        </w:tc>
        <w:tc>
          <w:tcPr>
            <w:tcW w:w="760" w:type="dxa"/>
            <w:vAlign w:val="bottom"/>
            <w:shd w:val="clear" w:color="auto" w:fill="D1EDF4"/>
          </w:tcPr>
          <w:p>
            <w:pPr>
              <w:jc w:val="right"/>
              <w:spacing w:after="0"/>
              <w:rPr>
                <w:sz w:val="20"/>
                <w:szCs w:val="20"/>
                <w:color w:val="auto"/>
              </w:rPr>
            </w:pPr>
            <w:r>
              <w:rPr>
                <w:rFonts w:ascii="Arial" w:cs="Arial" w:eastAsia="Arial" w:hAnsi="Arial"/>
                <w:sz w:val="19"/>
                <w:szCs w:val="19"/>
                <w:color w:val="auto"/>
              </w:rPr>
              <w:t>24</w:t>
            </w:r>
          </w:p>
        </w:tc>
        <w:tc>
          <w:tcPr>
            <w:tcW w:w="20" w:type="dxa"/>
            <w:vAlign w:val="bottom"/>
            <w:shd w:val="clear" w:color="auto" w:fill="D1EDF4"/>
          </w:tcPr>
          <w:p>
            <w:pPr>
              <w:spacing w:after="0"/>
              <w:rPr>
                <w:sz w:val="18"/>
                <w:szCs w:val="18"/>
                <w:color w:val="auto"/>
              </w:rPr>
            </w:pPr>
          </w:p>
        </w:tc>
        <w:tc>
          <w:tcPr>
            <w:tcW w:w="14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140" w:type="dxa"/>
            <w:vAlign w:val="bottom"/>
            <w:shd w:val="clear" w:color="auto" w:fill="D1EDF4"/>
          </w:tcPr>
          <w:p>
            <w:pPr>
              <w:spacing w:after="0"/>
              <w:rPr>
                <w:sz w:val="18"/>
                <w:szCs w:val="18"/>
                <w:color w:val="auto"/>
              </w:rPr>
            </w:pPr>
          </w:p>
        </w:tc>
        <w:tc>
          <w:tcPr>
            <w:tcW w:w="740" w:type="dxa"/>
            <w:vAlign w:val="bottom"/>
            <w:shd w:val="clear" w:color="auto" w:fill="D1EDF4"/>
          </w:tcPr>
          <w:p>
            <w:pPr>
              <w:jc w:val="right"/>
              <w:spacing w:after="0"/>
              <w:rPr>
                <w:sz w:val="20"/>
                <w:szCs w:val="20"/>
                <w:color w:val="auto"/>
              </w:rPr>
            </w:pPr>
            <w:r>
              <w:rPr>
                <w:rFonts w:ascii="Arial" w:cs="Arial" w:eastAsia="Arial" w:hAnsi="Arial"/>
                <w:sz w:val="19"/>
                <w:szCs w:val="19"/>
                <w:color w:val="auto"/>
              </w:rPr>
              <w:t>395</w:t>
            </w:r>
          </w:p>
        </w:tc>
        <w:tc>
          <w:tcPr>
            <w:tcW w:w="80" w:type="dxa"/>
            <w:vAlign w:val="bottom"/>
            <w:shd w:val="clear" w:color="auto" w:fill="D1EDF4"/>
          </w:tcPr>
          <w:p>
            <w:pPr>
              <w:spacing w:after="0"/>
              <w:rPr>
                <w:sz w:val="18"/>
                <w:szCs w:val="18"/>
                <w:color w:val="auto"/>
              </w:rPr>
            </w:pPr>
          </w:p>
        </w:tc>
      </w:tr>
      <w:tr>
        <w:trPr>
          <w:trHeight w:val="220"/>
        </w:trPr>
        <w:tc>
          <w:tcPr>
            <w:tcW w:w="6600" w:type="dxa"/>
            <w:vAlign w:val="bottom"/>
            <w:gridSpan w:val="2"/>
          </w:tcPr>
          <w:p>
            <w:pPr>
              <w:ind w:left="240"/>
              <w:spacing w:after="0"/>
              <w:rPr>
                <w:sz w:val="20"/>
                <w:szCs w:val="20"/>
                <w:color w:val="auto"/>
              </w:rPr>
            </w:pPr>
            <w:r>
              <w:rPr>
                <w:rFonts w:ascii="Arial" w:cs="Arial" w:eastAsia="Arial" w:hAnsi="Arial"/>
                <w:sz w:val="19"/>
                <w:szCs w:val="19"/>
                <w:color w:val="auto"/>
              </w:rPr>
              <w:t>Operating lease liabilities</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56,683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55,247</w:t>
            </w:r>
          </w:p>
        </w:tc>
        <w:tc>
          <w:tcPr>
            <w:tcW w:w="80" w:type="dxa"/>
            <w:vAlign w:val="bottom"/>
          </w:tcPr>
          <w:p>
            <w:pPr>
              <w:spacing w:after="0"/>
              <w:rPr>
                <w:sz w:val="19"/>
                <w:szCs w:val="19"/>
                <w:color w:val="auto"/>
              </w:rPr>
            </w:pPr>
          </w:p>
        </w:tc>
      </w:tr>
      <w:tr>
        <w:trPr>
          <w:trHeight w:val="220"/>
        </w:trPr>
        <w:tc>
          <w:tcPr>
            <w:tcW w:w="6600" w:type="dxa"/>
            <w:vAlign w:val="bottom"/>
            <w:gridSpan w:val="2"/>
            <w:shd w:val="clear" w:color="auto" w:fill="D1EDF4"/>
          </w:tcPr>
          <w:p>
            <w:pPr>
              <w:ind w:left="240"/>
              <w:spacing w:after="0"/>
              <w:rPr>
                <w:sz w:val="20"/>
                <w:szCs w:val="20"/>
                <w:color w:val="auto"/>
              </w:rPr>
            </w:pPr>
            <w:r>
              <w:rPr>
                <w:rFonts w:ascii="Arial" w:cs="Arial" w:eastAsia="Arial" w:hAnsi="Arial"/>
                <w:sz w:val="19"/>
                <w:szCs w:val="19"/>
                <w:color w:val="auto"/>
              </w:rPr>
              <w:t>State tax credits</w:t>
            </w:r>
          </w:p>
        </w:tc>
        <w:tc>
          <w:tcPr>
            <w:tcW w:w="140" w:type="dxa"/>
            <w:vAlign w:val="bottom"/>
            <w:shd w:val="clear" w:color="auto" w:fill="D1EDF4"/>
          </w:tcPr>
          <w:p>
            <w:pPr>
              <w:spacing w:after="0"/>
              <w:rPr>
                <w:sz w:val="19"/>
                <w:szCs w:val="19"/>
                <w:color w:val="auto"/>
              </w:rPr>
            </w:pPr>
          </w:p>
        </w:tc>
        <w:tc>
          <w:tcPr>
            <w:tcW w:w="760" w:type="dxa"/>
            <w:vAlign w:val="bottom"/>
            <w:shd w:val="clear" w:color="auto" w:fill="D1EDF4"/>
          </w:tcPr>
          <w:p>
            <w:pPr>
              <w:jc w:val="right"/>
              <w:spacing w:after="0"/>
              <w:rPr>
                <w:sz w:val="20"/>
                <w:szCs w:val="20"/>
                <w:color w:val="auto"/>
              </w:rPr>
            </w:pPr>
            <w:r>
              <w:rPr>
                <w:rFonts w:ascii="Arial" w:cs="Arial" w:eastAsia="Arial" w:hAnsi="Arial"/>
                <w:sz w:val="19"/>
                <w:szCs w:val="19"/>
                <w:color w:val="auto"/>
              </w:rPr>
              <w:t>767</w:t>
            </w:r>
          </w:p>
        </w:tc>
        <w:tc>
          <w:tcPr>
            <w:tcW w:w="20" w:type="dxa"/>
            <w:vAlign w:val="bottom"/>
            <w:shd w:val="clear" w:color="auto" w:fill="D1EDF4"/>
          </w:tcPr>
          <w:p>
            <w:pPr>
              <w:spacing w:after="0"/>
              <w:rPr>
                <w:sz w:val="19"/>
                <w:szCs w:val="19"/>
                <w:color w:val="auto"/>
              </w:rPr>
            </w:pPr>
          </w:p>
        </w:tc>
        <w:tc>
          <w:tcPr>
            <w:tcW w:w="14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40" w:type="dxa"/>
            <w:vAlign w:val="bottom"/>
            <w:shd w:val="clear" w:color="auto" w:fill="D1EDF4"/>
          </w:tcPr>
          <w:p>
            <w:pPr>
              <w:spacing w:after="0"/>
              <w:rPr>
                <w:sz w:val="19"/>
                <w:szCs w:val="19"/>
                <w:color w:val="auto"/>
              </w:rPr>
            </w:pPr>
          </w:p>
        </w:tc>
        <w:tc>
          <w:tcPr>
            <w:tcW w:w="740" w:type="dxa"/>
            <w:vAlign w:val="bottom"/>
            <w:shd w:val="clear" w:color="auto" w:fill="D1EDF4"/>
          </w:tcPr>
          <w:p>
            <w:pPr>
              <w:jc w:val="right"/>
              <w:spacing w:after="0"/>
              <w:rPr>
                <w:sz w:val="20"/>
                <w:szCs w:val="20"/>
                <w:color w:val="auto"/>
              </w:rPr>
            </w:pPr>
            <w:r>
              <w:rPr>
                <w:rFonts w:ascii="Arial" w:cs="Arial" w:eastAsia="Arial" w:hAnsi="Arial"/>
                <w:sz w:val="19"/>
                <w:szCs w:val="19"/>
                <w:color w:val="auto"/>
              </w:rPr>
              <w:t>1,597</w:t>
            </w:r>
          </w:p>
        </w:tc>
        <w:tc>
          <w:tcPr>
            <w:tcW w:w="80" w:type="dxa"/>
            <w:vAlign w:val="bottom"/>
            <w:shd w:val="clear" w:color="auto" w:fill="D1EDF4"/>
          </w:tcPr>
          <w:p>
            <w:pPr>
              <w:spacing w:after="0"/>
              <w:rPr>
                <w:sz w:val="19"/>
                <w:szCs w:val="19"/>
                <w:color w:val="auto"/>
              </w:rPr>
            </w:pPr>
          </w:p>
        </w:tc>
      </w:tr>
      <w:tr>
        <w:trPr>
          <w:trHeight w:val="220"/>
        </w:trPr>
        <w:tc>
          <w:tcPr>
            <w:tcW w:w="6600" w:type="dxa"/>
            <w:vAlign w:val="bottom"/>
            <w:gridSpan w:val="2"/>
          </w:tcPr>
          <w:p>
            <w:pPr>
              <w:ind w:left="240"/>
              <w:spacing w:after="0"/>
              <w:rPr>
                <w:sz w:val="20"/>
                <w:szCs w:val="20"/>
                <w:color w:val="auto"/>
              </w:rPr>
            </w:pPr>
            <w:r>
              <w:rPr>
                <w:rFonts w:ascii="Arial" w:cs="Arial" w:eastAsia="Arial" w:hAnsi="Arial"/>
                <w:sz w:val="19"/>
                <w:szCs w:val="19"/>
                <w:color w:val="auto"/>
              </w:rPr>
              <w:t>Federal tax credits</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2,938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1,518</w:t>
            </w:r>
          </w:p>
        </w:tc>
        <w:tc>
          <w:tcPr>
            <w:tcW w:w="80" w:type="dxa"/>
            <w:vAlign w:val="bottom"/>
          </w:tcPr>
          <w:p>
            <w:pPr>
              <w:spacing w:after="0"/>
              <w:rPr>
                <w:sz w:val="19"/>
                <w:szCs w:val="19"/>
                <w:color w:val="auto"/>
              </w:rPr>
            </w:pPr>
          </w:p>
        </w:tc>
      </w:tr>
      <w:tr>
        <w:trPr>
          <w:trHeight w:val="220"/>
        </w:trPr>
        <w:tc>
          <w:tcPr>
            <w:tcW w:w="6600" w:type="dxa"/>
            <w:vAlign w:val="bottom"/>
            <w:gridSpan w:val="2"/>
            <w:shd w:val="clear" w:color="auto" w:fill="D1EDF4"/>
          </w:tcPr>
          <w:p>
            <w:pPr>
              <w:ind w:left="240"/>
              <w:spacing w:after="0"/>
              <w:rPr>
                <w:sz w:val="20"/>
                <w:szCs w:val="20"/>
                <w:color w:val="auto"/>
              </w:rPr>
            </w:pPr>
            <w:r>
              <w:rPr>
                <w:rFonts w:ascii="Arial" w:cs="Arial" w:eastAsia="Arial" w:hAnsi="Arial"/>
                <w:sz w:val="19"/>
                <w:szCs w:val="19"/>
                <w:color w:val="auto"/>
              </w:rPr>
              <w:t>Stock compensation</w:t>
            </w:r>
          </w:p>
        </w:tc>
        <w:tc>
          <w:tcPr>
            <w:tcW w:w="140" w:type="dxa"/>
            <w:vAlign w:val="bottom"/>
            <w:shd w:val="clear" w:color="auto" w:fill="D1EDF4"/>
          </w:tcPr>
          <w:p>
            <w:pPr>
              <w:spacing w:after="0"/>
              <w:rPr>
                <w:sz w:val="19"/>
                <w:szCs w:val="19"/>
                <w:color w:val="auto"/>
              </w:rPr>
            </w:pPr>
          </w:p>
        </w:tc>
        <w:tc>
          <w:tcPr>
            <w:tcW w:w="760" w:type="dxa"/>
            <w:vAlign w:val="bottom"/>
            <w:shd w:val="clear" w:color="auto" w:fill="D1EDF4"/>
          </w:tcPr>
          <w:p>
            <w:pPr>
              <w:jc w:val="right"/>
              <w:spacing w:after="0"/>
              <w:rPr>
                <w:sz w:val="20"/>
                <w:szCs w:val="20"/>
                <w:color w:val="auto"/>
              </w:rPr>
            </w:pPr>
            <w:r>
              <w:rPr>
                <w:rFonts w:ascii="Arial" w:cs="Arial" w:eastAsia="Arial" w:hAnsi="Arial"/>
                <w:sz w:val="19"/>
                <w:szCs w:val="19"/>
                <w:color w:val="auto"/>
              </w:rPr>
              <w:t>685</w:t>
            </w:r>
          </w:p>
        </w:tc>
        <w:tc>
          <w:tcPr>
            <w:tcW w:w="20" w:type="dxa"/>
            <w:vAlign w:val="bottom"/>
            <w:shd w:val="clear" w:color="auto" w:fill="D1EDF4"/>
          </w:tcPr>
          <w:p>
            <w:pPr>
              <w:spacing w:after="0"/>
              <w:rPr>
                <w:sz w:val="19"/>
                <w:szCs w:val="19"/>
                <w:color w:val="auto"/>
              </w:rPr>
            </w:pPr>
          </w:p>
        </w:tc>
        <w:tc>
          <w:tcPr>
            <w:tcW w:w="14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40" w:type="dxa"/>
            <w:vAlign w:val="bottom"/>
            <w:shd w:val="clear" w:color="auto" w:fill="D1EDF4"/>
          </w:tcPr>
          <w:p>
            <w:pPr>
              <w:spacing w:after="0"/>
              <w:rPr>
                <w:sz w:val="19"/>
                <w:szCs w:val="19"/>
                <w:color w:val="auto"/>
              </w:rPr>
            </w:pPr>
          </w:p>
        </w:tc>
        <w:tc>
          <w:tcPr>
            <w:tcW w:w="740" w:type="dxa"/>
            <w:vAlign w:val="bottom"/>
            <w:shd w:val="clear" w:color="auto" w:fill="D1EDF4"/>
          </w:tcPr>
          <w:p>
            <w:pPr>
              <w:jc w:val="right"/>
              <w:spacing w:after="0"/>
              <w:rPr>
                <w:sz w:val="20"/>
                <w:szCs w:val="20"/>
                <w:color w:val="auto"/>
              </w:rPr>
            </w:pPr>
            <w:r>
              <w:rPr>
                <w:rFonts w:ascii="Arial" w:cs="Arial" w:eastAsia="Arial" w:hAnsi="Arial"/>
                <w:sz w:val="19"/>
                <w:szCs w:val="19"/>
                <w:color w:val="auto"/>
              </w:rPr>
              <w:t>545</w:t>
            </w:r>
          </w:p>
        </w:tc>
        <w:tc>
          <w:tcPr>
            <w:tcW w:w="80" w:type="dxa"/>
            <w:vAlign w:val="bottom"/>
            <w:shd w:val="clear" w:color="auto" w:fill="D1EDF4"/>
          </w:tcPr>
          <w:p>
            <w:pPr>
              <w:spacing w:after="0"/>
              <w:rPr>
                <w:sz w:val="19"/>
                <w:szCs w:val="19"/>
                <w:color w:val="auto"/>
              </w:rPr>
            </w:pPr>
          </w:p>
        </w:tc>
      </w:tr>
      <w:tr>
        <w:trPr>
          <w:trHeight w:val="220"/>
        </w:trPr>
        <w:tc>
          <w:tcPr>
            <w:tcW w:w="6600" w:type="dxa"/>
            <w:vAlign w:val="bottom"/>
            <w:gridSpan w:val="2"/>
          </w:tcPr>
          <w:p>
            <w:pPr>
              <w:ind w:left="240"/>
              <w:spacing w:after="0"/>
              <w:rPr>
                <w:sz w:val="20"/>
                <w:szCs w:val="20"/>
                <w:color w:val="auto"/>
              </w:rPr>
            </w:pPr>
            <w:r>
              <w:rPr>
                <w:rFonts w:ascii="Arial" w:cs="Arial" w:eastAsia="Arial" w:hAnsi="Arial"/>
                <w:sz w:val="19"/>
                <w:szCs w:val="19"/>
                <w:color w:val="auto"/>
              </w:rPr>
              <w:t>Insurance liabilities</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554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366</w:t>
            </w:r>
          </w:p>
        </w:tc>
        <w:tc>
          <w:tcPr>
            <w:tcW w:w="80" w:type="dxa"/>
            <w:vAlign w:val="bottom"/>
          </w:tcPr>
          <w:p>
            <w:pPr>
              <w:spacing w:after="0"/>
              <w:rPr>
                <w:sz w:val="19"/>
                <w:szCs w:val="19"/>
                <w:color w:val="auto"/>
              </w:rPr>
            </w:pPr>
          </w:p>
        </w:tc>
      </w:tr>
      <w:tr>
        <w:trPr>
          <w:trHeight w:val="220"/>
        </w:trPr>
        <w:tc>
          <w:tcPr>
            <w:tcW w:w="6600" w:type="dxa"/>
            <w:vAlign w:val="bottom"/>
            <w:gridSpan w:val="2"/>
            <w:shd w:val="clear" w:color="auto" w:fill="D1EDF4"/>
          </w:tcPr>
          <w:p>
            <w:pPr>
              <w:ind w:left="240"/>
              <w:spacing w:after="0"/>
              <w:rPr>
                <w:sz w:val="20"/>
                <w:szCs w:val="20"/>
                <w:color w:val="auto"/>
              </w:rPr>
            </w:pPr>
            <w:r>
              <w:rPr>
                <w:rFonts w:ascii="Arial" w:cs="Arial" w:eastAsia="Arial" w:hAnsi="Arial"/>
                <w:sz w:val="19"/>
                <w:szCs w:val="19"/>
                <w:color w:val="auto"/>
              </w:rPr>
              <w:t>Research and development</w:t>
            </w:r>
          </w:p>
        </w:tc>
        <w:tc>
          <w:tcPr>
            <w:tcW w:w="140" w:type="dxa"/>
            <w:vAlign w:val="bottom"/>
            <w:shd w:val="clear" w:color="auto" w:fill="D1EDF4"/>
          </w:tcPr>
          <w:p>
            <w:pPr>
              <w:spacing w:after="0"/>
              <w:rPr>
                <w:sz w:val="19"/>
                <w:szCs w:val="19"/>
                <w:color w:val="auto"/>
              </w:rPr>
            </w:pPr>
          </w:p>
        </w:tc>
        <w:tc>
          <w:tcPr>
            <w:tcW w:w="760" w:type="dxa"/>
            <w:vAlign w:val="bottom"/>
            <w:shd w:val="clear" w:color="auto" w:fill="D1EDF4"/>
          </w:tcPr>
          <w:p>
            <w:pPr>
              <w:jc w:val="right"/>
              <w:spacing w:after="0"/>
              <w:rPr>
                <w:sz w:val="20"/>
                <w:szCs w:val="20"/>
                <w:color w:val="auto"/>
              </w:rPr>
            </w:pPr>
            <w:r>
              <w:rPr>
                <w:rFonts w:ascii="Arial" w:cs="Arial" w:eastAsia="Arial" w:hAnsi="Arial"/>
                <w:sz w:val="19"/>
                <w:szCs w:val="19"/>
                <w:color w:val="auto"/>
              </w:rPr>
              <w:t>150</w:t>
            </w:r>
          </w:p>
        </w:tc>
        <w:tc>
          <w:tcPr>
            <w:tcW w:w="20" w:type="dxa"/>
            <w:vAlign w:val="bottom"/>
            <w:shd w:val="clear" w:color="auto" w:fill="D1EDF4"/>
          </w:tcPr>
          <w:p>
            <w:pPr>
              <w:spacing w:after="0"/>
              <w:rPr>
                <w:sz w:val="19"/>
                <w:szCs w:val="19"/>
                <w:color w:val="auto"/>
              </w:rPr>
            </w:pPr>
          </w:p>
        </w:tc>
        <w:tc>
          <w:tcPr>
            <w:tcW w:w="14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40" w:type="dxa"/>
            <w:vAlign w:val="bottom"/>
            <w:shd w:val="clear" w:color="auto" w:fill="D1EDF4"/>
          </w:tcPr>
          <w:p>
            <w:pPr>
              <w:spacing w:after="0"/>
              <w:rPr>
                <w:sz w:val="19"/>
                <w:szCs w:val="19"/>
                <w:color w:val="auto"/>
              </w:rPr>
            </w:pPr>
          </w:p>
        </w:tc>
        <w:tc>
          <w:tcPr>
            <w:tcW w:w="740" w:type="dxa"/>
            <w:vAlign w:val="bottom"/>
            <w:shd w:val="clear" w:color="auto" w:fill="D1EDF4"/>
          </w:tcPr>
          <w:p>
            <w:pPr>
              <w:jc w:val="right"/>
              <w:spacing w:after="0"/>
              <w:rPr>
                <w:sz w:val="20"/>
                <w:szCs w:val="20"/>
                <w:color w:val="auto"/>
              </w:rPr>
            </w:pPr>
            <w:r>
              <w:rPr>
                <w:rFonts w:ascii="Arial" w:cs="Arial" w:eastAsia="Arial" w:hAnsi="Arial"/>
                <w:sz w:val="19"/>
                <w:szCs w:val="19"/>
                <w:color w:val="auto"/>
              </w:rPr>
              <w:t>2,227</w:t>
            </w:r>
          </w:p>
        </w:tc>
        <w:tc>
          <w:tcPr>
            <w:tcW w:w="80" w:type="dxa"/>
            <w:vAlign w:val="bottom"/>
            <w:shd w:val="clear" w:color="auto" w:fill="D1EDF4"/>
          </w:tcPr>
          <w:p>
            <w:pPr>
              <w:spacing w:after="0"/>
              <w:rPr>
                <w:sz w:val="19"/>
                <w:szCs w:val="19"/>
                <w:color w:val="auto"/>
              </w:rPr>
            </w:pPr>
          </w:p>
        </w:tc>
      </w:tr>
      <w:tr>
        <w:trPr>
          <w:trHeight w:val="220"/>
        </w:trPr>
        <w:tc>
          <w:tcPr>
            <w:tcW w:w="6600" w:type="dxa"/>
            <w:vAlign w:val="bottom"/>
            <w:gridSpan w:val="2"/>
          </w:tcPr>
          <w:p>
            <w:pPr>
              <w:ind w:left="240"/>
              <w:spacing w:after="0"/>
              <w:rPr>
                <w:sz w:val="20"/>
                <w:szCs w:val="20"/>
                <w:color w:val="auto"/>
              </w:rPr>
            </w:pPr>
            <w:r>
              <w:rPr>
                <w:rFonts w:ascii="Arial" w:cs="Arial" w:eastAsia="Arial" w:hAnsi="Arial"/>
                <w:sz w:val="19"/>
                <w:szCs w:val="19"/>
                <w:color w:val="auto"/>
              </w:rPr>
              <w:t>Net operating loss and charitable contribution carryforwards</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14,815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10,097</w:t>
            </w:r>
          </w:p>
        </w:tc>
        <w:tc>
          <w:tcPr>
            <w:tcW w:w="80" w:type="dxa"/>
            <w:vAlign w:val="bottom"/>
          </w:tcPr>
          <w:p>
            <w:pPr>
              <w:spacing w:after="0"/>
              <w:rPr>
                <w:sz w:val="19"/>
                <w:szCs w:val="19"/>
                <w:color w:val="auto"/>
              </w:rPr>
            </w:pPr>
          </w:p>
        </w:tc>
      </w:tr>
      <w:tr>
        <w:trPr>
          <w:trHeight w:val="220"/>
        </w:trPr>
        <w:tc>
          <w:tcPr>
            <w:tcW w:w="6600" w:type="dxa"/>
            <w:vAlign w:val="bottom"/>
            <w:gridSpan w:val="2"/>
            <w:shd w:val="clear" w:color="auto" w:fill="D1EDF4"/>
          </w:tcPr>
          <w:p>
            <w:pPr>
              <w:ind w:left="240"/>
              <w:spacing w:after="0"/>
              <w:rPr>
                <w:sz w:val="20"/>
                <w:szCs w:val="20"/>
                <w:color w:val="auto"/>
              </w:rPr>
            </w:pPr>
            <w:r>
              <w:rPr>
                <w:rFonts w:ascii="Arial" w:cs="Arial" w:eastAsia="Arial" w:hAnsi="Arial"/>
                <w:sz w:val="19"/>
                <w:szCs w:val="19"/>
                <w:color w:val="auto"/>
              </w:rPr>
              <w:t>Other</w:t>
            </w:r>
          </w:p>
        </w:tc>
        <w:tc>
          <w:tcPr>
            <w:tcW w:w="140" w:type="dxa"/>
            <w:vAlign w:val="bottom"/>
            <w:tcBorders>
              <w:bottom w:val="single" w:sz="8" w:color="auto"/>
            </w:tcBorders>
            <w:shd w:val="clear" w:color="auto" w:fill="D1EDF4"/>
          </w:tcPr>
          <w:p>
            <w:pPr>
              <w:spacing w:after="0"/>
              <w:rPr>
                <w:sz w:val="19"/>
                <w:szCs w:val="19"/>
                <w:color w:val="auto"/>
              </w:rPr>
            </w:pPr>
          </w:p>
        </w:tc>
        <w:tc>
          <w:tcPr>
            <w:tcW w:w="760" w:type="dxa"/>
            <w:vAlign w:val="bottom"/>
            <w:tcBorders>
              <w:bottom w:val="single" w:sz="8" w:color="auto"/>
            </w:tcBorders>
            <w:shd w:val="clear" w:color="auto" w:fill="D1EDF4"/>
          </w:tcPr>
          <w:p>
            <w:pPr>
              <w:jc w:val="right"/>
              <w:spacing w:after="0"/>
              <w:rPr>
                <w:sz w:val="20"/>
                <w:szCs w:val="20"/>
                <w:color w:val="auto"/>
              </w:rPr>
            </w:pPr>
            <w:r>
              <w:rPr>
                <w:rFonts w:ascii="Arial" w:cs="Arial" w:eastAsia="Arial" w:hAnsi="Arial"/>
                <w:sz w:val="19"/>
                <w:szCs w:val="19"/>
                <w:color w:val="auto"/>
              </w:rPr>
              <w:t>606</w:t>
            </w:r>
          </w:p>
        </w:tc>
        <w:tc>
          <w:tcPr>
            <w:tcW w:w="20" w:type="dxa"/>
            <w:vAlign w:val="bottom"/>
            <w:shd w:val="clear" w:color="auto" w:fill="D1EDF4"/>
          </w:tcPr>
          <w:p>
            <w:pPr>
              <w:spacing w:after="0"/>
              <w:rPr>
                <w:sz w:val="19"/>
                <w:szCs w:val="19"/>
                <w:color w:val="auto"/>
              </w:rPr>
            </w:pPr>
          </w:p>
        </w:tc>
        <w:tc>
          <w:tcPr>
            <w:tcW w:w="14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40" w:type="dxa"/>
            <w:vAlign w:val="bottom"/>
            <w:tcBorders>
              <w:bottom w:val="single" w:sz="8" w:color="auto"/>
            </w:tcBorders>
            <w:shd w:val="clear" w:color="auto" w:fill="D1EDF4"/>
          </w:tcPr>
          <w:p>
            <w:pPr>
              <w:spacing w:after="0"/>
              <w:rPr>
                <w:sz w:val="19"/>
                <w:szCs w:val="19"/>
                <w:color w:val="auto"/>
              </w:rPr>
            </w:pPr>
          </w:p>
        </w:tc>
        <w:tc>
          <w:tcPr>
            <w:tcW w:w="740" w:type="dxa"/>
            <w:vAlign w:val="bottom"/>
            <w:tcBorders>
              <w:bottom w:val="single" w:sz="8" w:color="auto"/>
            </w:tcBorders>
            <w:shd w:val="clear" w:color="auto" w:fill="D1EDF4"/>
          </w:tcPr>
          <w:p>
            <w:pPr>
              <w:jc w:val="right"/>
              <w:spacing w:after="0"/>
              <w:rPr>
                <w:sz w:val="20"/>
                <w:szCs w:val="20"/>
                <w:color w:val="auto"/>
              </w:rPr>
            </w:pPr>
            <w:r>
              <w:rPr>
                <w:rFonts w:ascii="Arial" w:cs="Arial" w:eastAsia="Arial" w:hAnsi="Arial"/>
                <w:sz w:val="19"/>
                <w:szCs w:val="19"/>
                <w:color w:val="auto"/>
              </w:rPr>
              <w:t>585</w:t>
            </w:r>
          </w:p>
        </w:tc>
        <w:tc>
          <w:tcPr>
            <w:tcW w:w="80" w:type="dxa"/>
            <w:vAlign w:val="bottom"/>
            <w:shd w:val="clear" w:color="auto" w:fill="D1EDF4"/>
          </w:tcPr>
          <w:p>
            <w:pPr>
              <w:spacing w:after="0"/>
              <w:rPr>
                <w:sz w:val="19"/>
                <w:szCs w:val="19"/>
                <w:color w:val="auto"/>
              </w:rPr>
            </w:pPr>
          </w:p>
        </w:tc>
      </w:tr>
      <w:tr>
        <w:trPr>
          <w:trHeight w:val="209"/>
        </w:trPr>
        <w:tc>
          <w:tcPr>
            <w:tcW w:w="6600" w:type="dxa"/>
            <w:vAlign w:val="bottom"/>
            <w:gridSpan w:val="2"/>
          </w:tcPr>
          <w:p>
            <w:pPr>
              <w:ind w:left="360"/>
              <w:spacing w:after="0" w:line="209" w:lineRule="exact"/>
              <w:rPr>
                <w:sz w:val="20"/>
                <w:szCs w:val="20"/>
                <w:color w:val="auto"/>
              </w:rPr>
            </w:pPr>
            <w:r>
              <w:rPr>
                <w:rFonts w:ascii="Arial" w:cs="Arial" w:eastAsia="Arial" w:hAnsi="Arial"/>
                <w:sz w:val="19"/>
                <w:szCs w:val="19"/>
                <w:color w:val="auto"/>
              </w:rPr>
              <w:t>Subtotal deferred tax assets</w:t>
            </w:r>
          </w:p>
        </w:tc>
        <w:tc>
          <w:tcPr>
            <w:tcW w:w="140" w:type="dxa"/>
            <w:vAlign w:val="bottom"/>
          </w:tcPr>
          <w:p>
            <w:pPr>
              <w:spacing w:after="0"/>
              <w:rPr>
                <w:sz w:val="18"/>
                <w:szCs w:val="18"/>
                <w:color w:val="auto"/>
              </w:rPr>
            </w:pPr>
          </w:p>
        </w:tc>
        <w:tc>
          <w:tcPr>
            <w:tcW w:w="760" w:type="dxa"/>
            <w:vAlign w:val="bottom"/>
          </w:tcPr>
          <w:p>
            <w:pPr>
              <w:jc w:val="right"/>
              <w:spacing w:after="0" w:line="209" w:lineRule="exact"/>
              <w:rPr>
                <w:sz w:val="20"/>
                <w:szCs w:val="20"/>
                <w:color w:val="auto"/>
              </w:rPr>
            </w:pPr>
            <w:r>
              <w:rPr>
                <w:rFonts w:ascii="Arial" w:cs="Arial" w:eastAsia="Arial" w:hAnsi="Arial"/>
                <w:sz w:val="19"/>
                <w:szCs w:val="19"/>
                <w:color w:val="auto"/>
              </w:rPr>
              <w:t>79,085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line="209" w:lineRule="exact"/>
              <w:rPr>
                <w:sz w:val="20"/>
                <w:szCs w:val="20"/>
                <w:color w:val="auto"/>
              </w:rPr>
            </w:pPr>
            <w:r>
              <w:rPr>
                <w:rFonts w:ascii="Arial" w:cs="Arial" w:eastAsia="Arial" w:hAnsi="Arial"/>
                <w:sz w:val="19"/>
                <w:szCs w:val="19"/>
                <w:color w:val="auto"/>
              </w:rPr>
              <w:t>74,507</w:t>
            </w:r>
          </w:p>
        </w:tc>
        <w:tc>
          <w:tcPr>
            <w:tcW w:w="80" w:type="dxa"/>
            <w:vAlign w:val="bottom"/>
          </w:tcPr>
          <w:p>
            <w:pPr>
              <w:spacing w:after="0"/>
              <w:rPr>
                <w:sz w:val="18"/>
                <w:szCs w:val="18"/>
                <w:color w:val="auto"/>
              </w:rPr>
            </w:pPr>
          </w:p>
        </w:tc>
      </w:tr>
      <w:tr>
        <w:trPr>
          <w:trHeight w:val="240"/>
        </w:trPr>
        <w:tc>
          <w:tcPr>
            <w:tcW w:w="6600" w:type="dxa"/>
            <w:vAlign w:val="bottom"/>
            <w:tcBorders>
              <w:bottom w:val="single" w:sz="8" w:color="D1EDF4"/>
            </w:tcBorders>
            <w:gridSpan w:val="2"/>
            <w:shd w:val="clear" w:color="auto" w:fill="D1EDF4"/>
          </w:tcPr>
          <w:p>
            <w:pPr>
              <w:ind w:left="360"/>
              <w:spacing w:after="0"/>
              <w:rPr>
                <w:sz w:val="20"/>
                <w:szCs w:val="20"/>
                <w:color w:val="auto"/>
              </w:rPr>
            </w:pPr>
            <w:r>
              <w:rPr>
                <w:rFonts w:ascii="Arial" w:cs="Arial" w:eastAsia="Arial" w:hAnsi="Arial"/>
                <w:sz w:val="19"/>
                <w:szCs w:val="19"/>
                <w:color w:val="auto"/>
              </w:rPr>
              <w:t>Less: Valuation allowance - net</w:t>
            </w:r>
          </w:p>
        </w:tc>
        <w:tc>
          <w:tcPr>
            <w:tcW w:w="140" w:type="dxa"/>
            <w:vAlign w:val="bottom"/>
            <w:tcBorders>
              <w:bottom w:val="single" w:sz="8" w:color="auto"/>
            </w:tcBorders>
            <w:shd w:val="clear" w:color="auto" w:fill="D1EDF4"/>
          </w:tcPr>
          <w:p>
            <w:pPr>
              <w:spacing w:after="0"/>
              <w:rPr>
                <w:sz w:val="20"/>
                <w:szCs w:val="20"/>
                <w:color w:val="auto"/>
              </w:rPr>
            </w:pPr>
          </w:p>
        </w:tc>
        <w:tc>
          <w:tcPr>
            <w:tcW w:w="760" w:type="dxa"/>
            <w:vAlign w:val="bottom"/>
            <w:tcBorders>
              <w:bottom w:val="single" w:sz="8" w:color="auto"/>
            </w:tcBorders>
            <w:shd w:val="clear" w:color="auto" w:fill="D1EDF4"/>
          </w:tcPr>
          <w:p>
            <w:pPr>
              <w:jc w:val="right"/>
              <w:spacing w:after="0"/>
              <w:rPr>
                <w:sz w:val="20"/>
                <w:szCs w:val="20"/>
                <w:color w:val="auto"/>
              </w:rPr>
            </w:pPr>
            <w:r>
              <w:rPr>
                <w:rFonts w:ascii="Arial" w:cs="Arial" w:eastAsia="Arial" w:hAnsi="Arial"/>
                <w:sz w:val="19"/>
                <w:szCs w:val="19"/>
                <w:color w:val="auto"/>
              </w:rPr>
              <w:t>(15,436)</w:t>
            </w:r>
          </w:p>
        </w:tc>
        <w:tc>
          <w:tcPr>
            <w:tcW w:w="20" w:type="dxa"/>
            <w:vAlign w:val="bottom"/>
            <w:tcBorders>
              <w:bottom w:val="single" w:sz="8" w:color="D1EDF4"/>
            </w:tcBorders>
            <w:shd w:val="clear" w:color="auto" w:fill="D1EDF4"/>
          </w:tcPr>
          <w:p>
            <w:pPr>
              <w:spacing w:after="0"/>
              <w:rPr>
                <w:sz w:val="20"/>
                <w:szCs w:val="20"/>
                <w:color w:val="auto"/>
              </w:rPr>
            </w:pPr>
          </w:p>
        </w:tc>
        <w:tc>
          <w:tcPr>
            <w:tcW w:w="140" w:type="dxa"/>
            <w:vAlign w:val="bottom"/>
            <w:tcBorders>
              <w:bottom w:val="single" w:sz="8" w:color="D1EDF4"/>
            </w:tcBorders>
            <w:shd w:val="clear" w:color="auto" w:fill="D1EDF4"/>
          </w:tcPr>
          <w:p>
            <w:pPr>
              <w:spacing w:after="0"/>
              <w:rPr>
                <w:sz w:val="20"/>
                <w:szCs w:val="20"/>
                <w:color w:val="auto"/>
              </w:rPr>
            </w:pPr>
          </w:p>
        </w:tc>
        <w:tc>
          <w:tcPr>
            <w:tcW w:w="20" w:type="dxa"/>
            <w:vAlign w:val="bottom"/>
            <w:tcBorders>
              <w:bottom w:val="single" w:sz="8" w:color="D1EDF4"/>
            </w:tcBorders>
            <w:shd w:val="clear" w:color="auto" w:fill="D1EDF4"/>
          </w:tcPr>
          <w:p>
            <w:pPr>
              <w:spacing w:after="0"/>
              <w:rPr>
                <w:sz w:val="20"/>
                <w:szCs w:val="20"/>
                <w:color w:val="auto"/>
              </w:rPr>
            </w:pPr>
          </w:p>
        </w:tc>
        <w:tc>
          <w:tcPr>
            <w:tcW w:w="140" w:type="dxa"/>
            <w:vAlign w:val="bottom"/>
            <w:tcBorders>
              <w:bottom w:val="single" w:sz="8" w:color="auto"/>
            </w:tcBorders>
            <w:shd w:val="clear" w:color="auto" w:fill="D1EDF4"/>
          </w:tcPr>
          <w:p>
            <w:pPr>
              <w:spacing w:after="0"/>
              <w:rPr>
                <w:sz w:val="20"/>
                <w:szCs w:val="20"/>
                <w:color w:val="auto"/>
              </w:rPr>
            </w:pPr>
          </w:p>
        </w:tc>
        <w:tc>
          <w:tcPr>
            <w:tcW w:w="740" w:type="dxa"/>
            <w:vAlign w:val="bottom"/>
            <w:tcBorders>
              <w:bottom w:val="single" w:sz="8" w:color="auto"/>
            </w:tcBorders>
            <w:shd w:val="clear" w:color="auto" w:fill="D1EDF4"/>
          </w:tcPr>
          <w:p>
            <w:pPr>
              <w:jc w:val="right"/>
              <w:spacing w:after="0"/>
              <w:rPr>
                <w:sz w:val="20"/>
                <w:szCs w:val="20"/>
                <w:color w:val="auto"/>
              </w:rPr>
            </w:pPr>
            <w:r>
              <w:rPr>
                <w:rFonts w:ascii="Arial" w:cs="Arial" w:eastAsia="Arial" w:hAnsi="Arial"/>
                <w:sz w:val="19"/>
                <w:szCs w:val="19"/>
                <w:color w:val="auto"/>
              </w:rPr>
              <w:t>(16,519)</w:t>
            </w:r>
          </w:p>
        </w:tc>
        <w:tc>
          <w:tcPr>
            <w:tcW w:w="80" w:type="dxa"/>
            <w:vAlign w:val="bottom"/>
            <w:tcBorders>
              <w:bottom w:val="single" w:sz="8" w:color="D1EDF4"/>
            </w:tcBorders>
            <w:shd w:val="clear" w:color="auto" w:fill="D1EDF4"/>
          </w:tcPr>
          <w:p>
            <w:pPr>
              <w:spacing w:after="0"/>
              <w:rPr>
                <w:sz w:val="20"/>
                <w:szCs w:val="20"/>
                <w:color w:val="auto"/>
              </w:rPr>
            </w:pPr>
          </w:p>
        </w:tc>
      </w:tr>
      <w:tr>
        <w:trPr>
          <w:trHeight w:val="189"/>
        </w:trPr>
        <w:tc>
          <w:tcPr>
            <w:tcW w:w="6600" w:type="dxa"/>
            <w:vAlign w:val="bottom"/>
            <w:tcBorders>
              <w:bottom w:val="single" w:sz="8" w:color="D1EDF4"/>
            </w:tcBorders>
            <w:gridSpan w:val="2"/>
          </w:tcPr>
          <w:p>
            <w:pPr>
              <w:ind w:left="480"/>
              <w:spacing w:after="0" w:line="189" w:lineRule="exact"/>
              <w:rPr>
                <w:sz w:val="20"/>
                <w:szCs w:val="20"/>
                <w:color w:val="auto"/>
              </w:rPr>
            </w:pPr>
            <w:r>
              <w:rPr>
                <w:rFonts w:ascii="Arial" w:cs="Arial" w:eastAsia="Arial" w:hAnsi="Arial"/>
                <w:sz w:val="19"/>
                <w:szCs w:val="19"/>
                <w:color w:val="auto"/>
              </w:rPr>
              <w:t>Total deferred tax assets</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9"/>
                <w:szCs w:val="19"/>
                <w:color w:val="auto"/>
              </w:rPr>
              <w:t>63,649</w:t>
            </w:r>
          </w:p>
        </w:tc>
        <w:tc>
          <w:tcPr>
            <w:tcW w:w="20" w:type="dxa"/>
            <w:vAlign w:val="bottom"/>
            <w:tcBorders>
              <w:bottom w:val="single" w:sz="8" w:color="D1EDF4"/>
            </w:tcBorders>
          </w:tcPr>
          <w:p>
            <w:pPr>
              <w:spacing w:after="0"/>
              <w:rPr>
                <w:sz w:val="16"/>
                <w:szCs w:val="16"/>
                <w:color w:val="auto"/>
              </w:rPr>
            </w:pPr>
          </w:p>
        </w:tc>
        <w:tc>
          <w:tcPr>
            <w:tcW w:w="140" w:type="dxa"/>
            <w:vAlign w:val="bottom"/>
            <w:tcBorders>
              <w:bottom w:val="single" w:sz="8" w:color="D1EDF4"/>
            </w:tcBorders>
          </w:tcPr>
          <w:p>
            <w:pPr>
              <w:spacing w:after="0"/>
              <w:rPr>
                <w:sz w:val="16"/>
                <w:szCs w:val="16"/>
                <w:color w:val="auto"/>
              </w:rPr>
            </w:pPr>
          </w:p>
        </w:tc>
        <w:tc>
          <w:tcPr>
            <w:tcW w:w="20" w:type="dxa"/>
            <w:vAlign w:val="bottom"/>
            <w:tcBorders>
              <w:bottom w:val="single" w:sz="8" w:color="D1EDF4"/>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9"/>
                <w:szCs w:val="19"/>
                <w:color w:val="auto"/>
              </w:rPr>
              <w:t>57,988</w:t>
            </w:r>
          </w:p>
        </w:tc>
        <w:tc>
          <w:tcPr>
            <w:tcW w:w="80" w:type="dxa"/>
            <w:vAlign w:val="bottom"/>
            <w:tcBorders>
              <w:bottom w:val="single" w:sz="8" w:color="D1EDF4"/>
            </w:tcBorders>
          </w:tcPr>
          <w:p>
            <w:pPr>
              <w:spacing w:after="0"/>
              <w:rPr>
                <w:sz w:val="16"/>
                <w:szCs w:val="16"/>
                <w:color w:val="auto"/>
              </w:rPr>
            </w:pPr>
          </w:p>
        </w:tc>
      </w:tr>
      <w:tr>
        <w:trPr>
          <w:trHeight w:val="209"/>
        </w:trPr>
        <w:tc>
          <w:tcPr>
            <w:tcW w:w="6600" w:type="dxa"/>
            <w:vAlign w:val="bottom"/>
            <w:gridSpan w:val="2"/>
            <w:shd w:val="clear" w:color="auto" w:fill="D1EDF4"/>
          </w:tcPr>
          <w:p>
            <w:pPr>
              <w:spacing w:after="0" w:line="209" w:lineRule="exact"/>
              <w:rPr>
                <w:sz w:val="20"/>
                <w:szCs w:val="20"/>
                <w:color w:val="auto"/>
              </w:rPr>
            </w:pPr>
            <w:r>
              <w:rPr>
                <w:rFonts w:ascii="Arial" w:cs="Arial" w:eastAsia="Arial" w:hAnsi="Arial"/>
                <w:sz w:val="19"/>
                <w:szCs w:val="19"/>
                <w:color w:val="auto"/>
              </w:rPr>
              <w:t>Deferred tax liabilities:</w:t>
            </w:r>
          </w:p>
        </w:tc>
        <w:tc>
          <w:tcPr>
            <w:tcW w:w="140" w:type="dxa"/>
            <w:vAlign w:val="bottom"/>
            <w:shd w:val="clear" w:color="auto" w:fill="D1EDF4"/>
          </w:tcPr>
          <w:p>
            <w:pPr>
              <w:spacing w:after="0"/>
              <w:rPr>
                <w:sz w:val="18"/>
                <w:szCs w:val="18"/>
                <w:color w:val="auto"/>
              </w:rPr>
            </w:pPr>
          </w:p>
        </w:tc>
        <w:tc>
          <w:tcPr>
            <w:tcW w:w="76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14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140" w:type="dxa"/>
            <w:vAlign w:val="bottom"/>
            <w:shd w:val="clear" w:color="auto" w:fill="D1EDF4"/>
          </w:tcPr>
          <w:p>
            <w:pPr>
              <w:spacing w:after="0"/>
              <w:rPr>
                <w:sz w:val="18"/>
                <w:szCs w:val="18"/>
                <w:color w:val="auto"/>
              </w:rPr>
            </w:pPr>
          </w:p>
        </w:tc>
        <w:tc>
          <w:tcPr>
            <w:tcW w:w="740" w:type="dxa"/>
            <w:vAlign w:val="bottom"/>
            <w:shd w:val="clear" w:color="auto" w:fill="D1EDF4"/>
          </w:tcPr>
          <w:p>
            <w:pPr>
              <w:spacing w:after="0"/>
              <w:rPr>
                <w:sz w:val="18"/>
                <w:szCs w:val="18"/>
                <w:color w:val="auto"/>
              </w:rPr>
            </w:pPr>
          </w:p>
        </w:tc>
        <w:tc>
          <w:tcPr>
            <w:tcW w:w="80" w:type="dxa"/>
            <w:vAlign w:val="bottom"/>
            <w:shd w:val="clear" w:color="auto" w:fill="D1EDF4"/>
          </w:tcPr>
          <w:p>
            <w:pPr>
              <w:spacing w:after="0"/>
              <w:rPr>
                <w:sz w:val="18"/>
                <w:szCs w:val="18"/>
                <w:color w:val="auto"/>
              </w:rPr>
            </w:pPr>
          </w:p>
        </w:tc>
      </w:tr>
      <w:tr>
        <w:trPr>
          <w:trHeight w:val="220"/>
        </w:trPr>
        <w:tc>
          <w:tcPr>
            <w:tcW w:w="6600" w:type="dxa"/>
            <w:vAlign w:val="bottom"/>
            <w:gridSpan w:val="2"/>
          </w:tcPr>
          <w:p>
            <w:pPr>
              <w:ind w:left="240"/>
              <w:spacing w:after="0"/>
              <w:rPr>
                <w:sz w:val="20"/>
                <w:szCs w:val="20"/>
                <w:color w:val="auto"/>
              </w:rPr>
            </w:pPr>
            <w:r>
              <w:rPr>
                <w:rFonts w:ascii="Arial" w:cs="Arial" w:eastAsia="Arial" w:hAnsi="Arial"/>
                <w:sz w:val="19"/>
                <w:szCs w:val="19"/>
                <w:color w:val="auto"/>
              </w:rPr>
              <w:t>Right of use asset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(55,072)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(52,935)</w:t>
            </w:r>
          </w:p>
        </w:tc>
        <w:tc>
          <w:tcPr>
            <w:tcW w:w="80" w:type="dxa"/>
            <w:vAlign w:val="bottom"/>
          </w:tcPr>
          <w:p>
            <w:pPr>
              <w:spacing w:after="0"/>
              <w:rPr>
                <w:sz w:val="19"/>
                <w:szCs w:val="19"/>
                <w:color w:val="auto"/>
              </w:rPr>
            </w:pPr>
          </w:p>
        </w:tc>
      </w:tr>
      <w:tr>
        <w:trPr>
          <w:trHeight w:val="220"/>
        </w:trPr>
        <w:tc>
          <w:tcPr>
            <w:tcW w:w="6600" w:type="dxa"/>
            <w:vAlign w:val="bottom"/>
            <w:gridSpan w:val="2"/>
            <w:shd w:val="clear" w:color="auto" w:fill="D1EDF4"/>
          </w:tcPr>
          <w:p>
            <w:pPr>
              <w:ind w:left="240"/>
              <w:spacing w:after="0"/>
              <w:rPr>
                <w:sz w:val="20"/>
                <w:szCs w:val="20"/>
                <w:color w:val="auto"/>
              </w:rPr>
            </w:pPr>
            <w:r>
              <w:rPr>
                <w:rFonts w:ascii="Arial" w:cs="Arial" w:eastAsia="Arial" w:hAnsi="Arial"/>
                <w:sz w:val="19"/>
                <w:szCs w:val="19"/>
                <w:color w:val="auto"/>
              </w:rPr>
              <w:t>Book and tax depreciation differences</w:t>
            </w:r>
          </w:p>
        </w:tc>
        <w:tc>
          <w:tcPr>
            <w:tcW w:w="140" w:type="dxa"/>
            <w:vAlign w:val="bottom"/>
            <w:shd w:val="clear" w:color="auto" w:fill="D1EDF4"/>
          </w:tcPr>
          <w:p>
            <w:pPr>
              <w:spacing w:after="0"/>
              <w:rPr>
                <w:sz w:val="19"/>
                <w:szCs w:val="19"/>
                <w:color w:val="auto"/>
              </w:rPr>
            </w:pPr>
          </w:p>
        </w:tc>
        <w:tc>
          <w:tcPr>
            <w:tcW w:w="760" w:type="dxa"/>
            <w:vAlign w:val="bottom"/>
            <w:shd w:val="clear" w:color="auto" w:fill="D1EDF4"/>
          </w:tcPr>
          <w:p>
            <w:pPr>
              <w:jc w:val="right"/>
              <w:spacing w:after="0"/>
              <w:rPr>
                <w:sz w:val="20"/>
                <w:szCs w:val="20"/>
                <w:color w:val="auto"/>
              </w:rPr>
            </w:pPr>
            <w:r>
              <w:rPr>
                <w:rFonts w:ascii="Arial" w:cs="Arial" w:eastAsia="Arial" w:hAnsi="Arial"/>
                <w:sz w:val="19"/>
                <w:szCs w:val="19"/>
                <w:color w:val="auto"/>
              </w:rPr>
              <w:t>(8,398)</w:t>
            </w:r>
          </w:p>
        </w:tc>
        <w:tc>
          <w:tcPr>
            <w:tcW w:w="20" w:type="dxa"/>
            <w:vAlign w:val="bottom"/>
            <w:shd w:val="clear" w:color="auto" w:fill="D1EDF4"/>
          </w:tcPr>
          <w:p>
            <w:pPr>
              <w:spacing w:after="0"/>
              <w:rPr>
                <w:sz w:val="19"/>
                <w:szCs w:val="19"/>
                <w:color w:val="auto"/>
              </w:rPr>
            </w:pPr>
          </w:p>
        </w:tc>
        <w:tc>
          <w:tcPr>
            <w:tcW w:w="14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40" w:type="dxa"/>
            <w:vAlign w:val="bottom"/>
            <w:shd w:val="clear" w:color="auto" w:fill="D1EDF4"/>
          </w:tcPr>
          <w:p>
            <w:pPr>
              <w:spacing w:after="0"/>
              <w:rPr>
                <w:sz w:val="19"/>
                <w:szCs w:val="19"/>
                <w:color w:val="auto"/>
              </w:rPr>
            </w:pPr>
          </w:p>
        </w:tc>
        <w:tc>
          <w:tcPr>
            <w:tcW w:w="740" w:type="dxa"/>
            <w:vAlign w:val="bottom"/>
            <w:shd w:val="clear" w:color="auto" w:fill="D1EDF4"/>
          </w:tcPr>
          <w:p>
            <w:pPr>
              <w:jc w:val="right"/>
              <w:spacing w:after="0"/>
              <w:rPr>
                <w:sz w:val="20"/>
                <w:szCs w:val="20"/>
                <w:color w:val="auto"/>
              </w:rPr>
            </w:pPr>
            <w:r>
              <w:rPr>
                <w:rFonts w:ascii="Arial" w:cs="Arial" w:eastAsia="Arial" w:hAnsi="Arial"/>
                <w:sz w:val="19"/>
                <w:szCs w:val="19"/>
                <w:color w:val="auto"/>
              </w:rPr>
              <w:t>(4,783)</w:t>
            </w:r>
          </w:p>
        </w:tc>
        <w:tc>
          <w:tcPr>
            <w:tcW w:w="80" w:type="dxa"/>
            <w:vAlign w:val="bottom"/>
            <w:shd w:val="clear" w:color="auto" w:fill="D1EDF4"/>
          </w:tcPr>
          <w:p>
            <w:pPr>
              <w:spacing w:after="0"/>
              <w:rPr>
                <w:sz w:val="19"/>
                <w:szCs w:val="19"/>
                <w:color w:val="auto"/>
              </w:rPr>
            </w:pPr>
          </w:p>
        </w:tc>
      </w:tr>
      <w:tr>
        <w:trPr>
          <w:trHeight w:val="220"/>
        </w:trPr>
        <w:tc>
          <w:tcPr>
            <w:tcW w:w="6600" w:type="dxa"/>
            <w:vAlign w:val="bottom"/>
            <w:tcBorders>
              <w:bottom w:val="single" w:sz="8" w:color="D1EDF4"/>
            </w:tcBorders>
            <w:gridSpan w:val="2"/>
          </w:tcPr>
          <w:p>
            <w:pPr>
              <w:ind w:left="240"/>
              <w:spacing w:after="0"/>
              <w:rPr>
                <w:sz w:val="20"/>
                <w:szCs w:val="20"/>
                <w:color w:val="auto"/>
              </w:rPr>
            </w:pPr>
            <w:r>
              <w:rPr>
                <w:rFonts w:ascii="Arial" w:cs="Arial" w:eastAsia="Arial" w:hAnsi="Arial"/>
                <w:sz w:val="19"/>
                <w:szCs w:val="19"/>
                <w:color w:val="auto"/>
              </w:rPr>
              <w:t>Prepaid expenses</w:t>
            </w: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(424)</w:t>
            </w:r>
          </w:p>
        </w:tc>
        <w:tc>
          <w:tcPr>
            <w:tcW w:w="20" w:type="dxa"/>
            <w:vAlign w:val="bottom"/>
            <w:tcBorders>
              <w:bottom w:val="single" w:sz="8" w:color="D1EDF4"/>
            </w:tcBorders>
          </w:tcPr>
          <w:p>
            <w:pPr>
              <w:spacing w:after="0"/>
              <w:rPr>
                <w:sz w:val="19"/>
                <w:szCs w:val="19"/>
                <w:color w:val="auto"/>
              </w:rPr>
            </w:pPr>
          </w:p>
        </w:tc>
        <w:tc>
          <w:tcPr>
            <w:tcW w:w="140" w:type="dxa"/>
            <w:vAlign w:val="bottom"/>
            <w:tcBorders>
              <w:bottom w:val="single" w:sz="8" w:color="D1EDF4"/>
            </w:tcBorders>
          </w:tcPr>
          <w:p>
            <w:pPr>
              <w:spacing w:after="0"/>
              <w:rPr>
                <w:sz w:val="19"/>
                <w:szCs w:val="19"/>
                <w:color w:val="auto"/>
              </w:rPr>
            </w:pPr>
          </w:p>
        </w:tc>
        <w:tc>
          <w:tcPr>
            <w:tcW w:w="20" w:type="dxa"/>
            <w:vAlign w:val="bottom"/>
            <w:tcBorders>
              <w:bottom w:val="single" w:sz="8" w:color="D1EDF4"/>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(412)</w:t>
            </w:r>
          </w:p>
        </w:tc>
        <w:tc>
          <w:tcPr>
            <w:tcW w:w="80" w:type="dxa"/>
            <w:vAlign w:val="bottom"/>
            <w:tcBorders>
              <w:bottom w:val="single" w:sz="8" w:color="D1EDF4"/>
            </w:tcBorders>
          </w:tcPr>
          <w:p>
            <w:pPr>
              <w:spacing w:after="0"/>
              <w:rPr>
                <w:sz w:val="19"/>
                <w:szCs w:val="19"/>
                <w:color w:val="auto"/>
              </w:rPr>
            </w:pPr>
          </w:p>
        </w:tc>
      </w:tr>
      <w:tr>
        <w:trPr>
          <w:trHeight w:val="229"/>
        </w:trPr>
        <w:tc>
          <w:tcPr>
            <w:tcW w:w="6600" w:type="dxa"/>
            <w:vAlign w:val="bottom"/>
            <w:tcBorders>
              <w:bottom w:val="single" w:sz="8" w:color="D1EDF4"/>
            </w:tcBorders>
            <w:gridSpan w:val="2"/>
            <w:shd w:val="clear" w:color="auto" w:fill="D1EDF4"/>
          </w:tcPr>
          <w:p>
            <w:pPr>
              <w:ind w:left="360"/>
              <w:spacing w:after="0" w:line="209" w:lineRule="exact"/>
              <w:rPr>
                <w:sz w:val="20"/>
                <w:szCs w:val="20"/>
                <w:color w:val="auto"/>
              </w:rPr>
            </w:pPr>
            <w:r>
              <w:rPr>
                <w:rFonts w:ascii="Arial" w:cs="Arial" w:eastAsia="Arial" w:hAnsi="Arial"/>
                <w:sz w:val="19"/>
                <w:szCs w:val="19"/>
                <w:color w:val="auto"/>
              </w:rPr>
              <w:t>Total deferred tax liabilities</w:t>
            </w:r>
          </w:p>
        </w:tc>
        <w:tc>
          <w:tcPr>
            <w:tcW w:w="140" w:type="dxa"/>
            <w:vAlign w:val="bottom"/>
            <w:tcBorders>
              <w:bottom w:val="single" w:sz="8" w:color="auto"/>
            </w:tcBorders>
            <w:shd w:val="clear" w:color="auto" w:fill="D1EDF4"/>
          </w:tcPr>
          <w:p>
            <w:pPr>
              <w:spacing w:after="0"/>
              <w:rPr>
                <w:sz w:val="19"/>
                <w:szCs w:val="19"/>
                <w:color w:val="auto"/>
              </w:rPr>
            </w:pPr>
          </w:p>
        </w:tc>
        <w:tc>
          <w:tcPr>
            <w:tcW w:w="760" w:type="dxa"/>
            <w:vAlign w:val="bottom"/>
            <w:tcBorders>
              <w:bottom w:val="single" w:sz="8" w:color="auto"/>
            </w:tcBorders>
            <w:shd w:val="clear" w:color="auto" w:fill="D1EDF4"/>
          </w:tcPr>
          <w:p>
            <w:pPr>
              <w:jc w:val="right"/>
              <w:spacing w:after="0" w:line="209" w:lineRule="exact"/>
              <w:rPr>
                <w:sz w:val="20"/>
                <w:szCs w:val="20"/>
                <w:color w:val="auto"/>
              </w:rPr>
            </w:pPr>
            <w:r>
              <w:rPr>
                <w:rFonts w:ascii="Arial" w:cs="Arial" w:eastAsia="Arial" w:hAnsi="Arial"/>
                <w:sz w:val="19"/>
                <w:szCs w:val="19"/>
                <w:color w:val="auto"/>
              </w:rPr>
              <w:t>(63,894)</w:t>
            </w:r>
          </w:p>
        </w:tc>
        <w:tc>
          <w:tcPr>
            <w:tcW w:w="20" w:type="dxa"/>
            <w:vAlign w:val="bottom"/>
            <w:tcBorders>
              <w:bottom w:val="single" w:sz="8" w:color="D1EDF4"/>
            </w:tcBorders>
            <w:shd w:val="clear" w:color="auto" w:fill="D1EDF4"/>
          </w:tcPr>
          <w:p>
            <w:pPr>
              <w:spacing w:after="0"/>
              <w:rPr>
                <w:sz w:val="19"/>
                <w:szCs w:val="19"/>
                <w:color w:val="auto"/>
              </w:rPr>
            </w:pPr>
          </w:p>
        </w:tc>
        <w:tc>
          <w:tcPr>
            <w:tcW w:w="140" w:type="dxa"/>
            <w:vAlign w:val="bottom"/>
            <w:tcBorders>
              <w:bottom w:val="single" w:sz="8" w:color="D1EDF4"/>
            </w:tcBorders>
            <w:shd w:val="clear" w:color="auto" w:fill="D1EDF4"/>
          </w:tcPr>
          <w:p>
            <w:pPr>
              <w:spacing w:after="0"/>
              <w:rPr>
                <w:sz w:val="19"/>
                <w:szCs w:val="19"/>
                <w:color w:val="auto"/>
              </w:rPr>
            </w:pPr>
          </w:p>
        </w:tc>
        <w:tc>
          <w:tcPr>
            <w:tcW w:w="20" w:type="dxa"/>
            <w:vAlign w:val="bottom"/>
            <w:tcBorders>
              <w:bottom w:val="single" w:sz="8" w:color="D1EDF4"/>
            </w:tcBorders>
            <w:shd w:val="clear" w:color="auto" w:fill="D1EDF4"/>
          </w:tcPr>
          <w:p>
            <w:pPr>
              <w:spacing w:after="0"/>
              <w:rPr>
                <w:sz w:val="19"/>
                <w:szCs w:val="19"/>
                <w:color w:val="auto"/>
              </w:rPr>
            </w:pPr>
          </w:p>
        </w:tc>
        <w:tc>
          <w:tcPr>
            <w:tcW w:w="140" w:type="dxa"/>
            <w:vAlign w:val="bottom"/>
            <w:tcBorders>
              <w:bottom w:val="single" w:sz="8" w:color="auto"/>
            </w:tcBorders>
            <w:shd w:val="clear" w:color="auto" w:fill="D1EDF4"/>
          </w:tcPr>
          <w:p>
            <w:pPr>
              <w:spacing w:after="0"/>
              <w:rPr>
                <w:sz w:val="19"/>
                <w:szCs w:val="19"/>
                <w:color w:val="auto"/>
              </w:rPr>
            </w:pPr>
          </w:p>
        </w:tc>
        <w:tc>
          <w:tcPr>
            <w:tcW w:w="740" w:type="dxa"/>
            <w:vAlign w:val="bottom"/>
            <w:tcBorders>
              <w:bottom w:val="single" w:sz="8" w:color="auto"/>
            </w:tcBorders>
            <w:shd w:val="clear" w:color="auto" w:fill="D1EDF4"/>
          </w:tcPr>
          <w:p>
            <w:pPr>
              <w:jc w:val="right"/>
              <w:spacing w:after="0" w:line="209" w:lineRule="exact"/>
              <w:rPr>
                <w:sz w:val="20"/>
                <w:szCs w:val="20"/>
                <w:color w:val="auto"/>
              </w:rPr>
            </w:pPr>
            <w:r>
              <w:rPr>
                <w:rFonts w:ascii="Arial" w:cs="Arial" w:eastAsia="Arial" w:hAnsi="Arial"/>
                <w:sz w:val="19"/>
                <w:szCs w:val="19"/>
                <w:color w:val="auto"/>
              </w:rPr>
              <w:t>(58,130)</w:t>
            </w:r>
          </w:p>
        </w:tc>
        <w:tc>
          <w:tcPr>
            <w:tcW w:w="80" w:type="dxa"/>
            <w:vAlign w:val="bottom"/>
            <w:tcBorders>
              <w:bottom w:val="single" w:sz="8" w:color="D1EDF4"/>
            </w:tcBorders>
            <w:shd w:val="clear" w:color="auto" w:fill="D1EDF4"/>
          </w:tcPr>
          <w:p>
            <w:pPr>
              <w:spacing w:after="0"/>
              <w:rPr>
                <w:sz w:val="19"/>
                <w:szCs w:val="19"/>
                <w:color w:val="auto"/>
              </w:rPr>
            </w:pPr>
          </w:p>
        </w:tc>
      </w:tr>
      <w:tr>
        <w:trPr>
          <w:trHeight w:val="199"/>
        </w:trPr>
        <w:tc>
          <w:tcPr>
            <w:tcW w:w="6580" w:type="dxa"/>
            <w:vAlign w:val="bottom"/>
          </w:tcPr>
          <w:p>
            <w:pPr>
              <w:ind w:left="360"/>
              <w:spacing w:after="0" w:line="191" w:lineRule="exact"/>
              <w:rPr>
                <w:sz w:val="20"/>
                <w:szCs w:val="20"/>
                <w:color w:val="auto"/>
              </w:rPr>
            </w:pPr>
            <w:r>
              <w:rPr>
                <w:rFonts w:ascii="Arial" w:cs="Arial" w:eastAsia="Arial" w:hAnsi="Arial"/>
                <w:sz w:val="19"/>
                <w:szCs w:val="19"/>
                <w:color w:val="auto"/>
              </w:rPr>
              <w:t>Net deferred tax (liability) asset</w:t>
            </w: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line="191" w:lineRule="exact"/>
              <w:rPr>
                <w:sz w:val="20"/>
                <w:szCs w:val="20"/>
                <w:color w:val="auto"/>
              </w:rPr>
            </w:pPr>
            <w:r>
              <w:rPr>
                <w:rFonts w:ascii="Arial" w:cs="Arial" w:eastAsia="Arial" w:hAnsi="Arial"/>
                <w:sz w:val="19"/>
                <w:szCs w:val="19"/>
                <w:color w:val="auto"/>
              </w:rPr>
              <w:t>$</w:t>
            </w:r>
          </w:p>
        </w:tc>
        <w:tc>
          <w:tcPr>
            <w:tcW w:w="76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9"/>
                <w:szCs w:val="19"/>
                <w:color w:val="auto"/>
              </w:rPr>
              <w:t>(245)</w:t>
            </w: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line="191" w:lineRule="exact"/>
              <w:rPr>
                <w:sz w:val="20"/>
                <w:szCs w:val="20"/>
                <w:color w:val="auto"/>
              </w:rPr>
            </w:pPr>
            <w:r>
              <w:rPr>
                <w:rFonts w:ascii="Arial" w:cs="Arial" w:eastAsia="Arial" w:hAnsi="Arial"/>
                <w:sz w:val="19"/>
                <w:szCs w:val="19"/>
                <w:color w:val="auto"/>
              </w:rPr>
              <w:t>$</w:t>
            </w:r>
          </w:p>
        </w:tc>
        <w:tc>
          <w:tcPr>
            <w:tcW w:w="74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9"/>
                <w:szCs w:val="19"/>
                <w:color w:val="auto"/>
              </w:rPr>
              <w:t>(142)</w:t>
            </w:r>
          </w:p>
        </w:tc>
        <w:tc>
          <w:tcPr>
            <w:tcW w:w="80" w:type="dxa"/>
            <w:vAlign w:val="bottom"/>
          </w:tcPr>
          <w:p>
            <w:pPr>
              <w:spacing w:after="0"/>
              <w:rPr>
                <w:sz w:val="17"/>
                <w:szCs w:val="17"/>
                <w:color w:val="auto"/>
              </w:rPr>
            </w:pPr>
          </w:p>
        </w:tc>
      </w:tr>
    </w:tbl>
    <w:p>
      <w:pPr>
        <w:spacing w:after="0" w:line="200" w:lineRule="exact"/>
        <w:rPr>
          <w:sz w:val="20"/>
          <w:szCs w:val="20"/>
          <w:color w:val="auto"/>
        </w:rPr>
      </w:pPr>
    </w:p>
    <w:p>
      <w:pPr>
        <w:sectPr>
          <w:pgSz w:w="11880" w:h="15480" w:orient="portrait"/>
          <w:cols w:equalWidth="0" w:num="1">
            <w:col w:w="10800"/>
          </w:cols>
          <w:pgMar w:left="540" w:top="807" w:right="540" w:bottom="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ectPr>
          <w:pgSz w:w="11880" w:h="15480" w:orient="portrait"/>
          <w:cols w:equalWidth="0" w:num="1">
            <w:col w:w="10800"/>
          </w:cols>
          <w:pgMar w:left="540" w:top="807" w:right="540" w:bottom="16" w:gutter="0" w:footer="0" w:header="0"/>
          <w:type w:val="continuous"/>
        </w:sectPr>
      </w:pPr>
    </w:p>
    <w:bookmarkStart w:id="42" w:name="page43"/>
    <w:bookmarkEnd w:id="42"/>
    <w:p>
      <w:pPr>
        <w:spacing w:after="0"/>
        <w:rPr>
          <w:sz w:val="20"/>
          <w:szCs w:val="20"/>
          <w:color w:val="auto"/>
        </w:rPr>
      </w:pPr>
      <w:r>
        <w:rPr>
          <w:rFonts w:ascii="Arial" w:cs="Arial" w:eastAsia="Arial" w:hAnsi="Arial"/>
          <w:sz w:val="19"/>
          <w:szCs w:val="19"/>
          <w:color w:val="auto"/>
        </w:rPr>
        <w:t>The following table summarizes (receipts) payments of income taxes in fiscal 2025 (in thousands):</w:t>
      </w:r>
    </w:p>
    <w:p>
      <w:pPr>
        <w:spacing w:after="0" w:line="178" w:lineRule="exact"/>
        <w:rPr>
          <w:sz w:val="20"/>
          <w:szCs w:val="20"/>
          <w:color w:val="auto"/>
        </w:rPr>
      </w:pPr>
    </w:p>
    <w:tbl>
      <w:tblPr>
        <w:tblLayout w:type="fixed"/>
        <w:tblInd w:w="1080" w:type="dxa"/>
        <w:tblCellMar>
          <w:top w:w="0" w:type="dxa"/>
          <w:left w:w="0" w:type="dxa"/>
          <w:bottom w:w="0" w:type="dxa"/>
          <w:right w:w="0" w:type="dxa"/>
        </w:tblCellMar>
      </w:tblPr>
      <w:tr>
        <w:trPr>
          <w:trHeight w:val="203"/>
        </w:trPr>
        <w:tc>
          <w:tcPr>
            <w:tcW w:w="7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69"/>
              <w:spacing w:after="0"/>
              <w:rPr>
                <w:sz w:val="20"/>
                <w:szCs w:val="20"/>
                <w:color w:val="auto"/>
              </w:rPr>
            </w:pPr>
            <w:r>
              <w:rPr>
                <w:rFonts w:ascii="Arial" w:cs="Arial" w:eastAsia="Arial" w:hAnsi="Arial"/>
                <w:sz w:val="16"/>
                <w:szCs w:val="16"/>
                <w:b w:val="1"/>
                <w:bCs w:val="1"/>
                <w:color w:val="auto"/>
              </w:rPr>
              <w:t>Fiscal Year</w:t>
            </w:r>
          </w:p>
        </w:tc>
      </w:tr>
      <w:tr>
        <w:trPr>
          <w:trHeight w:val="176"/>
        </w:trPr>
        <w:tc>
          <w:tcPr>
            <w:tcW w:w="7280" w:type="dxa"/>
            <w:vAlign w:val="bottom"/>
            <w:tcBorders>
              <w:bottom w:val="single" w:sz="8" w:color="D1EDF4"/>
            </w:tcBorders>
          </w:tcPr>
          <w:p>
            <w:pPr>
              <w:spacing w:after="0"/>
              <w:rPr>
                <w:sz w:val="15"/>
                <w:szCs w:val="15"/>
                <w:color w:val="auto"/>
              </w:rPr>
            </w:pPr>
          </w:p>
        </w:tc>
        <w:tc>
          <w:tcPr>
            <w:tcW w:w="20" w:type="dxa"/>
            <w:vAlign w:val="bottom"/>
            <w:tcBorders>
              <w:bottom w:val="single" w:sz="8" w:color="D1EDF4"/>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09"/>
              <w:spacing w:after="0" w:line="176" w:lineRule="exact"/>
              <w:rPr>
                <w:sz w:val="20"/>
                <w:szCs w:val="20"/>
                <w:color w:val="auto"/>
              </w:rPr>
            </w:pPr>
            <w:r>
              <w:rPr>
                <w:rFonts w:ascii="Arial" w:cs="Arial" w:eastAsia="Arial" w:hAnsi="Arial"/>
                <w:sz w:val="16"/>
                <w:szCs w:val="16"/>
                <w:b w:val="1"/>
                <w:bCs w:val="1"/>
                <w:color w:val="auto"/>
              </w:rPr>
              <w:t>2025</w:t>
            </w:r>
          </w:p>
        </w:tc>
      </w:tr>
      <w:tr>
        <w:trPr>
          <w:trHeight w:val="209"/>
        </w:trPr>
        <w:tc>
          <w:tcPr>
            <w:tcW w:w="7300" w:type="dxa"/>
            <w:vAlign w:val="bottom"/>
            <w:gridSpan w:val="2"/>
            <w:shd w:val="clear" w:color="auto" w:fill="D1EDF4"/>
          </w:tcPr>
          <w:p>
            <w:pPr>
              <w:spacing w:after="0" w:line="209" w:lineRule="exact"/>
              <w:rPr>
                <w:sz w:val="20"/>
                <w:szCs w:val="20"/>
                <w:color w:val="auto"/>
              </w:rPr>
            </w:pPr>
            <w:r>
              <w:rPr>
                <w:rFonts w:ascii="Arial" w:cs="Arial" w:eastAsia="Arial" w:hAnsi="Arial"/>
                <w:sz w:val="19"/>
                <w:szCs w:val="19"/>
                <w:color w:val="auto"/>
              </w:rPr>
              <w:t>Federal</w:t>
            </w:r>
          </w:p>
        </w:tc>
        <w:tc>
          <w:tcPr>
            <w:tcW w:w="160" w:type="dxa"/>
            <w:vAlign w:val="bottom"/>
            <w:shd w:val="clear" w:color="auto" w:fill="D1EDF4"/>
          </w:tcPr>
          <w:p>
            <w:pPr>
              <w:jc w:val="right"/>
              <w:spacing w:after="0" w:line="209" w:lineRule="exact"/>
              <w:rPr>
                <w:sz w:val="20"/>
                <w:szCs w:val="20"/>
                <w:color w:val="auto"/>
              </w:rPr>
            </w:pPr>
            <w:r>
              <w:rPr>
                <w:rFonts w:ascii="Arial" w:cs="Arial" w:eastAsia="Arial" w:hAnsi="Arial"/>
                <w:sz w:val="19"/>
                <w:szCs w:val="19"/>
                <w:color w:val="auto"/>
                <w:w w:val="75"/>
              </w:rPr>
              <w:t>$</w:t>
            </w:r>
          </w:p>
        </w:tc>
        <w:tc>
          <w:tcPr>
            <w:tcW w:w="1180" w:type="dxa"/>
            <w:vAlign w:val="bottom"/>
            <w:shd w:val="clear" w:color="auto" w:fill="D1EDF4"/>
          </w:tcPr>
          <w:p>
            <w:pPr>
              <w:jc w:val="right"/>
              <w:spacing w:after="0" w:line="209" w:lineRule="exact"/>
              <w:rPr>
                <w:sz w:val="20"/>
                <w:szCs w:val="20"/>
                <w:color w:val="auto"/>
              </w:rPr>
            </w:pPr>
            <w:r>
              <w:rPr>
                <w:rFonts w:ascii="Arial" w:cs="Arial" w:eastAsia="Arial" w:hAnsi="Arial"/>
                <w:sz w:val="19"/>
                <w:szCs w:val="19"/>
                <w:color w:val="auto"/>
              </w:rPr>
              <w:t>(1,710)</w:t>
            </w:r>
          </w:p>
        </w:tc>
      </w:tr>
      <w:tr>
        <w:trPr>
          <w:trHeight w:val="220"/>
        </w:trPr>
        <w:tc>
          <w:tcPr>
            <w:tcW w:w="7300" w:type="dxa"/>
            <w:vAlign w:val="bottom"/>
            <w:gridSpan w:val="2"/>
          </w:tcPr>
          <w:p>
            <w:pPr>
              <w:spacing w:after="0"/>
              <w:rPr>
                <w:sz w:val="20"/>
                <w:szCs w:val="20"/>
                <w:color w:val="auto"/>
              </w:rPr>
            </w:pPr>
            <w:r>
              <w:rPr>
                <w:rFonts w:ascii="Arial" w:cs="Arial" w:eastAsia="Arial" w:hAnsi="Arial"/>
                <w:sz w:val="19"/>
                <w:szCs w:val="19"/>
                <w:color w:val="auto"/>
              </w:rPr>
              <w:t>State</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0"/>
        </w:trPr>
        <w:tc>
          <w:tcPr>
            <w:tcW w:w="7300" w:type="dxa"/>
            <w:vAlign w:val="bottom"/>
            <w:gridSpan w:val="2"/>
            <w:shd w:val="clear" w:color="auto" w:fill="D1EDF4"/>
          </w:tcPr>
          <w:p>
            <w:pPr>
              <w:ind w:left="100"/>
              <w:spacing w:after="0"/>
              <w:rPr>
                <w:sz w:val="20"/>
                <w:szCs w:val="20"/>
                <w:color w:val="auto"/>
              </w:rPr>
            </w:pPr>
            <w:r>
              <w:rPr>
                <w:rFonts w:ascii="Arial" w:cs="Arial" w:eastAsia="Arial" w:hAnsi="Arial"/>
                <w:sz w:val="19"/>
                <w:szCs w:val="19"/>
                <w:color w:val="auto"/>
              </w:rPr>
              <w:t>North Carolina</w:t>
            </w:r>
          </w:p>
        </w:tc>
        <w:tc>
          <w:tcPr>
            <w:tcW w:w="160" w:type="dxa"/>
            <w:vAlign w:val="bottom"/>
            <w:shd w:val="clear" w:color="auto" w:fill="D1EDF4"/>
          </w:tcPr>
          <w:p>
            <w:pPr>
              <w:spacing w:after="0"/>
              <w:rPr>
                <w:sz w:val="19"/>
                <w:szCs w:val="19"/>
                <w:color w:val="auto"/>
              </w:rPr>
            </w:pPr>
          </w:p>
        </w:tc>
        <w:tc>
          <w:tcPr>
            <w:tcW w:w="1180" w:type="dxa"/>
            <w:vAlign w:val="bottom"/>
            <w:shd w:val="clear" w:color="auto" w:fill="D1EDF4"/>
          </w:tcPr>
          <w:p>
            <w:pPr>
              <w:jc w:val="right"/>
              <w:spacing w:after="0"/>
              <w:rPr>
                <w:sz w:val="20"/>
                <w:szCs w:val="20"/>
                <w:color w:val="auto"/>
              </w:rPr>
            </w:pPr>
            <w:r>
              <w:rPr>
                <w:rFonts w:ascii="Arial" w:cs="Arial" w:eastAsia="Arial" w:hAnsi="Arial"/>
                <w:sz w:val="19"/>
                <w:szCs w:val="19"/>
                <w:color w:val="auto"/>
              </w:rPr>
              <w:t>10</w:t>
            </w:r>
          </w:p>
        </w:tc>
      </w:tr>
      <w:tr>
        <w:trPr>
          <w:trHeight w:val="220"/>
        </w:trPr>
        <w:tc>
          <w:tcPr>
            <w:tcW w:w="7300" w:type="dxa"/>
            <w:vAlign w:val="bottom"/>
            <w:gridSpan w:val="2"/>
          </w:tcPr>
          <w:p>
            <w:pPr>
              <w:ind w:left="100"/>
              <w:spacing w:after="0"/>
              <w:rPr>
                <w:sz w:val="20"/>
                <w:szCs w:val="20"/>
                <w:color w:val="auto"/>
              </w:rPr>
            </w:pPr>
            <w:r>
              <w:rPr>
                <w:rFonts w:ascii="Arial" w:cs="Arial" w:eastAsia="Arial" w:hAnsi="Arial"/>
                <w:sz w:val="19"/>
                <w:szCs w:val="19"/>
                <w:color w:val="auto"/>
              </w:rPr>
              <w:t>Georgia</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9"/>
                <w:szCs w:val="19"/>
                <w:color w:val="auto"/>
              </w:rPr>
              <w:t>9</w:t>
            </w:r>
          </w:p>
        </w:tc>
      </w:tr>
      <w:tr>
        <w:trPr>
          <w:trHeight w:val="218"/>
        </w:trPr>
        <w:tc>
          <w:tcPr>
            <w:tcW w:w="7300" w:type="dxa"/>
            <w:vAlign w:val="bottom"/>
            <w:gridSpan w:val="2"/>
            <w:shd w:val="clear" w:color="auto" w:fill="D1EDF4"/>
          </w:tcPr>
          <w:p>
            <w:pPr>
              <w:ind w:left="100"/>
              <w:spacing w:after="0"/>
              <w:rPr>
                <w:sz w:val="20"/>
                <w:szCs w:val="20"/>
                <w:color w:val="auto"/>
              </w:rPr>
            </w:pPr>
            <w:r>
              <w:rPr>
                <w:rFonts w:ascii="Arial" w:cs="Arial" w:eastAsia="Arial" w:hAnsi="Arial"/>
                <w:sz w:val="19"/>
                <w:szCs w:val="19"/>
                <w:color w:val="auto"/>
              </w:rPr>
              <w:t>Kentucky</w:t>
            </w:r>
          </w:p>
        </w:tc>
        <w:tc>
          <w:tcPr>
            <w:tcW w:w="160" w:type="dxa"/>
            <w:vAlign w:val="bottom"/>
            <w:shd w:val="clear" w:color="auto" w:fill="D1EDF4"/>
          </w:tcPr>
          <w:p>
            <w:pPr>
              <w:spacing w:after="0"/>
              <w:rPr>
                <w:sz w:val="18"/>
                <w:szCs w:val="18"/>
                <w:color w:val="auto"/>
              </w:rPr>
            </w:pPr>
          </w:p>
        </w:tc>
        <w:tc>
          <w:tcPr>
            <w:tcW w:w="1180" w:type="dxa"/>
            <w:vAlign w:val="bottom"/>
            <w:shd w:val="clear" w:color="auto" w:fill="D1EDF4"/>
          </w:tcPr>
          <w:p>
            <w:pPr>
              <w:jc w:val="right"/>
              <w:spacing w:after="0"/>
              <w:rPr>
                <w:sz w:val="20"/>
                <w:szCs w:val="20"/>
                <w:color w:val="auto"/>
              </w:rPr>
            </w:pPr>
            <w:r>
              <w:rPr>
                <w:rFonts w:ascii="Arial" w:cs="Arial" w:eastAsia="Arial" w:hAnsi="Arial"/>
                <w:sz w:val="19"/>
                <w:szCs w:val="19"/>
                <w:color w:val="auto"/>
              </w:rPr>
              <w:t>9</w:t>
            </w:r>
          </w:p>
        </w:tc>
      </w:tr>
      <w:tr>
        <w:trPr>
          <w:trHeight w:val="220"/>
        </w:trPr>
        <w:tc>
          <w:tcPr>
            <w:tcW w:w="7300" w:type="dxa"/>
            <w:vAlign w:val="bottom"/>
            <w:tcBorders>
              <w:bottom w:val="single" w:sz="8" w:color="D1EDF4"/>
            </w:tcBorders>
            <w:gridSpan w:val="2"/>
          </w:tcPr>
          <w:p>
            <w:pPr>
              <w:ind w:left="100"/>
              <w:spacing w:after="0"/>
              <w:rPr>
                <w:sz w:val="20"/>
                <w:szCs w:val="20"/>
                <w:color w:val="auto"/>
              </w:rPr>
            </w:pPr>
            <w:r>
              <w:rPr>
                <w:rFonts w:ascii="Arial" w:cs="Arial" w:eastAsia="Arial" w:hAnsi="Arial"/>
                <w:sz w:val="19"/>
                <w:szCs w:val="19"/>
                <w:color w:val="auto"/>
              </w:rPr>
              <w:t>Other (net of refunds)</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(17)</w:t>
            </w:r>
          </w:p>
        </w:tc>
      </w:tr>
      <w:tr>
        <w:trPr>
          <w:trHeight w:val="220"/>
        </w:trPr>
        <w:tc>
          <w:tcPr>
            <w:tcW w:w="7280" w:type="dxa"/>
            <w:vAlign w:val="bottom"/>
            <w:shd w:val="clear" w:color="auto" w:fill="D1EDF4"/>
          </w:tcPr>
          <w:p>
            <w:pPr>
              <w:ind w:left="240"/>
              <w:spacing w:after="0" w:line="211" w:lineRule="exact"/>
              <w:rPr>
                <w:sz w:val="20"/>
                <w:szCs w:val="20"/>
                <w:color w:val="auto"/>
              </w:rPr>
            </w:pPr>
            <w:r>
              <w:rPr>
                <w:rFonts w:ascii="Arial" w:cs="Arial" w:eastAsia="Arial" w:hAnsi="Arial"/>
                <w:sz w:val="19"/>
                <w:szCs w:val="19"/>
                <w:color w:val="auto"/>
              </w:rPr>
              <w:t>Total (receipts) payments of income taxes</w:t>
            </w:r>
          </w:p>
        </w:tc>
        <w:tc>
          <w:tcPr>
            <w:tcW w:w="20" w:type="dxa"/>
            <w:vAlign w:val="bottom"/>
            <w:tcBorders>
              <w:bottom w:val="single" w:sz="8" w:color="auto"/>
            </w:tcBorders>
            <w:shd w:val="clear" w:color="auto" w:fill="D1EDF4"/>
          </w:tcPr>
          <w:p>
            <w:pPr>
              <w:spacing w:after="0"/>
              <w:rPr>
                <w:sz w:val="19"/>
                <w:szCs w:val="19"/>
                <w:color w:val="auto"/>
              </w:rPr>
            </w:pPr>
          </w:p>
        </w:tc>
        <w:tc>
          <w:tcPr>
            <w:tcW w:w="160" w:type="dxa"/>
            <w:vAlign w:val="bottom"/>
            <w:tcBorders>
              <w:bottom w:val="single" w:sz="8" w:color="auto"/>
            </w:tcBorders>
            <w:shd w:val="clear" w:color="auto" w:fill="D1EDF4"/>
          </w:tcPr>
          <w:p>
            <w:pPr>
              <w:jc w:val="right"/>
              <w:spacing w:after="0" w:line="211" w:lineRule="exact"/>
              <w:rPr>
                <w:sz w:val="20"/>
                <w:szCs w:val="20"/>
                <w:color w:val="auto"/>
              </w:rPr>
            </w:pPr>
            <w:r>
              <w:rPr>
                <w:rFonts w:ascii="Arial" w:cs="Arial" w:eastAsia="Arial" w:hAnsi="Arial"/>
                <w:sz w:val="19"/>
                <w:szCs w:val="19"/>
                <w:color w:val="auto"/>
                <w:w w:val="75"/>
              </w:rPr>
              <w:t>$</w:t>
            </w:r>
          </w:p>
        </w:tc>
        <w:tc>
          <w:tcPr>
            <w:tcW w:w="1180" w:type="dxa"/>
            <w:vAlign w:val="bottom"/>
            <w:tcBorders>
              <w:bottom w:val="single" w:sz="8" w:color="auto"/>
            </w:tcBorders>
            <w:shd w:val="clear" w:color="auto" w:fill="D1EDF4"/>
          </w:tcPr>
          <w:p>
            <w:pPr>
              <w:jc w:val="right"/>
              <w:spacing w:after="0" w:line="211" w:lineRule="exact"/>
              <w:rPr>
                <w:sz w:val="20"/>
                <w:szCs w:val="20"/>
                <w:color w:val="auto"/>
              </w:rPr>
            </w:pPr>
            <w:r>
              <w:rPr>
                <w:rFonts w:ascii="Arial" w:cs="Arial" w:eastAsia="Arial" w:hAnsi="Arial"/>
                <w:sz w:val="19"/>
                <w:szCs w:val="19"/>
                <w:color w:val="auto"/>
              </w:rPr>
              <w:t>(1,699)</w:t>
            </w:r>
          </w:p>
        </w:tc>
      </w:tr>
    </w:tbl>
    <w:p>
      <w:pPr>
        <w:spacing w:after="0" w:line="200" w:lineRule="exact"/>
        <w:rPr>
          <w:sz w:val="20"/>
          <w:szCs w:val="20"/>
          <w:color w:val="auto"/>
        </w:rPr>
      </w:pPr>
    </w:p>
    <w:p>
      <w:pPr>
        <w:ind w:right="20"/>
        <w:spacing w:after="0" w:line="243" w:lineRule="auto"/>
        <w:rPr>
          <w:sz w:val="20"/>
          <w:szCs w:val="20"/>
          <w:color w:val="auto"/>
        </w:rPr>
      </w:pPr>
      <w:r>
        <w:rPr>
          <w:rFonts w:ascii="Arial" w:cs="Arial" w:eastAsia="Arial" w:hAnsi="Arial"/>
          <w:sz w:val="19"/>
          <w:szCs w:val="19"/>
          <w:color w:val="auto"/>
        </w:rPr>
        <w:t>The Company files income tax returns in U.S. federal and state jurisdictions where it does business and is subject to examinations by the Internal Revenue Service (“IRS”) and other taxing authorities. With a few exceptions, the Company is no longer subject to U.S. federal and state income tax examinations by tax authorities for years prior to fiscal 2021. The Company reviews and assesses uncertain tax positions, if any, with recognition and measurement of tax benefit based on a “more-likely-than-not” standard with respect to the ultimate outcome, regardless of whether this assessment is favorable or unfavorable. As of January 31, 2026, there were no material benefits taken on the Company’s income tax returns that do not qualify for financial statement recognition. If a tax position does not meet the minimum statutory threshold to avoid payment of penalties and interest, a company is required to recognize an expense for the amount of the interest and penalty in the period in which the company claims or expects to claim the position on its tax return. For financial statement purposes, companies are allowed to elect whether to classify such charges as either income tax expense or another expense classification. Should such expense be incurred in the future, the Company will classify such interest as a component of interest expense and penalties as a component of income tax expense.</w:t>
      </w:r>
    </w:p>
    <w:p>
      <w:pPr>
        <w:spacing w:after="0" w:line="127" w:lineRule="exact"/>
        <w:rPr>
          <w:sz w:val="20"/>
          <w:szCs w:val="20"/>
          <w:color w:val="auto"/>
        </w:rPr>
      </w:pPr>
    </w:p>
    <w:p>
      <w:pPr>
        <w:spacing w:after="0" w:line="201" w:lineRule="auto"/>
        <w:rPr>
          <w:sz w:val="20"/>
          <w:szCs w:val="20"/>
          <w:color w:val="auto"/>
        </w:rPr>
      </w:pPr>
      <w:r>
        <w:rPr>
          <w:rFonts w:ascii="Arial" w:cs="Arial" w:eastAsia="Arial" w:hAnsi="Arial"/>
          <w:sz w:val="16"/>
          <w:szCs w:val="16"/>
          <w:color w:val="auto"/>
        </w:rPr>
        <w:t xml:space="preserve">At January 31, 2026, the Company had income tax net operating loss (“NOL”) carryforwards for federal purposes of $58.5 million (gross) and for state purposes of $2.5 million (tax effected), which are available to offset future state taxable income. The federal tax NOL carryforwards have an indefinite carryforward, but are limited to offsetting 80% of taxable income in future years. State NOL rules vary by jurisdiction with respect to carryforward periods, utilization limits, and eligibility requirements. Depending on the state, carryforward periods generally range from 5 to 20 years, while certain states conform to federal rules and allow indefinite carryforwards for post- 2017 NOLs. Utilization of these NOLs may be subject to annual limitations under Section 382 of the Internal Revenue Code (“IRC”) if the Company experiences an “ownership change,” as defined in the IRC. An ownership change generally occurs when the aggregate stock ownership of certain significant shareholders increases by more than 50 percentage points over a rolling three </w:t>
      </w:r>
      <w:r>
        <w:rPr>
          <w:rFonts w:ascii="Cambria Math" w:cs="Cambria Math" w:eastAsia="Cambria Math" w:hAnsi="Cambria Math"/>
          <w:sz w:val="16"/>
          <w:szCs w:val="16"/>
          <w:color w:val="auto"/>
        </w:rPr>
        <w:t>-</w:t>
      </w:r>
      <w:r>
        <w:rPr>
          <w:rFonts w:ascii="Arial" w:cs="Arial" w:eastAsia="Arial" w:hAnsi="Arial"/>
          <w:sz w:val="16"/>
          <w:szCs w:val="16"/>
          <w:color w:val="auto"/>
        </w:rPr>
        <w:t xml:space="preserve"> year period. The Company has performed an analysis under Section 382 and determined that prior ownership changes have resulted in certain annual limitations on the future use of its NOLs. These limitations may restrict the Company’s ability to offset future taxable income with pre </w:t>
      </w:r>
      <w:r>
        <w:rPr>
          <w:rFonts w:ascii="Cambria Math" w:cs="Cambria Math" w:eastAsia="Cambria Math" w:hAnsi="Cambria Math"/>
          <w:sz w:val="16"/>
          <w:szCs w:val="16"/>
          <w:color w:val="auto"/>
        </w:rPr>
        <w:t>-</w:t>
      </w:r>
      <w:r>
        <w:rPr>
          <w:rFonts w:ascii="Arial" w:cs="Arial" w:eastAsia="Arial" w:hAnsi="Arial"/>
          <w:sz w:val="16"/>
          <w:szCs w:val="16"/>
          <w:color w:val="auto"/>
        </w:rPr>
        <w:t xml:space="preserve"> change NOLs, potentially resulting in increased cash tax liabilities in future periods. Management will continue to monitor equity transactions and other events that could trigger additional ownership changes and further limit the Company’s ability to utilize its NOLs.</w:t>
      </w:r>
    </w:p>
    <w:p>
      <w:pPr>
        <w:spacing w:after="0" w:line="126" w:lineRule="exact"/>
        <w:rPr>
          <w:sz w:val="20"/>
          <w:szCs w:val="20"/>
          <w:color w:val="auto"/>
        </w:rPr>
      </w:pPr>
    </w:p>
    <w:p>
      <w:pPr>
        <w:ind w:right="20"/>
        <w:spacing w:after="0" w:line="242" w:lineRule="auto"/>
        <w:rPr>
          <w:sz w:val="20"/>
          <w:szCs w:val="20"/>
          <w:color w:val="auto"/>
        </w:rPr>
      </w:pPr>
      <w:r>
        <w:rPr>
          <w:rFonts w:ascii="Arial" w:cs="Arial" w:eastAsia="Arial" w:hAnsi="Arial"/>
          <w:sz w:val="19"/>
          <w:szCs w:val="19"/>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 Based upon the level of historical taxable income and projections for future taxable income over the periods in which the deferred tax assets are deductible and income tax credits may be utilized, management believes sufficient negative evidence exists to require a valuation allowance. We intend to maintain a valuation allowance until sufficient positive evidence exists to support its reversal, resulting in no deferred tax asset balance being recognized. In accordance with ASC 740 “Accounting for Income Taxes” (“ASC 740”), the Company evaluates deferred income tax assets quarterly to determine if valuation allowances are required or should be adjusted. ASC 740 requires that companies assess whether valuation allowances should be established against their deferred tax assets based on consideration of all available evidence, both positive and negative, using a “more likely than not” standard. The analysis that the Company prepared to determine the valuation allowance required significant judgment and assumptions regarding future market conditions, as well as forecasts for profits, taxable income, and taxable income by jurisdiction. Due to the sensitivity of the analysis, changes to the assumptions in subsequent periods could have a material effect on the valuation allowance. At January 31, 2026 and February 1, 2025, the Company had a full valuation allowance on its deferred tax assets. Based on an evaluation in accordance with the accounting standards, as of January 31, 2026, the valuation allowance established against the entire net deferred tax asset totaled $15.4 million.</w:t>
      </w:r>
    </w:p>
    <w:p>
      <w:pPr>
        <w:sectPr>
          <w:pgSz w:w="11880" w:h="15480" w:orient="portrait"/>
          <w:cols w:equalWidth="0" w:num="1">
            <w:col w:w="10760"/>
          </w:cols>
          <w:pgMar w:left="540" w:top="808" w:right="580" w:bottom="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43</w:t>
      </w:r>
    </w:p>
    <w:p>
      <w:pPr>
        <w:sectPr>
          <w:pgSz w:w="11880" w:h="15480" w:orient="portrait"/>
          <w:cols w:equalWidth="0" w:num="1">
            <w:col w:w="10760"/>
          </w:cols>
          <w:pgMar w:left="540" w:top="808" w:right="580" w:bottom="16" w:gutter="0" w:footer="0" w:header="0"/>
          <w:type w:val="continuous"/>
        </w:sectPr>
      </w:pPr>
    </w:p>
    <w:bookmarkStart w:id="43" w:name="page44"/>
    <w:bookmarkEnd w:id="43"/>
    <w:p>
      <w:pPr>
        <w:ind w:right="40"/>
        <w:spacing w:after="0" w:line="250" w:lineRule="auto"/>
        <w:rPr>
          <w:sz w:val="20"/>
          <w:szCs w:val="20"/>
          <w:color w:val="auto"/>
        </w:rPr>
      </w:pPr>
      <w:r>
        <w:rPr>
          <w:rFonts w:ascii="Arial" w:cs="Arial" w:eastAsia="Arial" w:hAnsi="Arial"/>
          <w:sz w:val="19"/>
          <w:szCs w:val="19"/>
          <w:color w:val="auto"/>
        </w:rPr>
        <w:t>The effective income tax rate for fiscal 2025, 2024 and 2023 included the recognition of benefits arising from various federal and state tax credits. Under current IRS and state income tax regulations, these credits may be carried back for one year or carried forward for periods up to 20 years. The income tax benefit included $0.0 million, $ 0.0 million, and $2.2 million related to such credits in each of fiscal 2025, 2024 and 2023, respectively. The credits generated for fiscal year 2025 and fiscal year 2024 were recorded with a full valuation allowance</w:t>
      </w:r>
      <w:r>
        <w:rPr>
          <w:rFonts w:ascii="Arial" w:cs="Arial" w:eastAsia="Arial" w:hAnsi="Arial"/>
          <w:sz w:val="18"/>
          <w:szCs w:val="18"/>
          <w:color w:val="auto"/>
        </w:rPr>
        <w:t>.</w:t>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6</w:t>
      </w:r>
      <w:r>
        <w:rPr>
          <w:rFonts w:ascii="Arial" w:cs="Arial" w:eastAsia="Arial" w:hAnsi="Arial"/>
          <w:sz w:val="19"/>
          <w:szCs w:val="19"/>
          <w:color w:val="auto"/>
        </w:rPr>
        <w:t>.</w:t>
      </w:r>
      <w:r>
        <w:rPr>
          <w:rFonts w:ascii="Arial" w:cs="Arial" w:eastAsia="Arial" w:hAnsi="Arial"/>
          <w:sz w:val="19"/>
          <w:szCs w:val="19"/>
          <w:b w:val="1"/>
          <w:bCs w:val="1"/>
          <w:color w:val="auto"/>
        </w:rPr>
        <w:t xml:space="preserve"> Stockholders’ Equity</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Repurchases of common stock</w:t>
      </w:r>
    </w:p>
    <w:p>
      <w:pPr>
        <w:spacing w:after="0" w:line="150" w:lineRule="exact"/>
        <w:rPr>
          <w:sz w:val="20"/>
          <w:szCs w:val="20"/>
          <w:color w:val="auto"/>
        </w:rPr>
      </w:pPr>
    </w:p>
    <w:p>
      <w:pPr>
        <w:ind w:right="720"/>
        <w:spacing w:after="0" w:line="260" w:lineRule="auto"/>
        <w:rPr>
          <w:sz w:val="20"/>
          <w:szCs w:val="20"/>
          <w:color w:val="auto"/>
        </w:rPr>
      </w:pPr>
      <w:r>
        <w:rPr>
          <w:rFonts w:ascii="Arial" w:cs="Arial" w:eastAsia="Arial" w:hAnsi="Arial"/>
          <w:sz w:val="19"/>
          <w:szCs w:val="19"/>
          <w:color w:val="auto"/>
        </w:rPr>
        <w:t>The Company periodically repurchases shares of its common stock under board-authorized repurchase programs. Such repurchases may be made in the open market, through block trades or through other negotiated transactions. Share repurchases are as follows (in thousands, except per share data):</w:t>
      </w:r>
    </w:p>
    <w:p>
      <w:pPr>
        <w:spacing w:after="0" w:line="120" w:lineRule="exact"/>
        <w:rPr>
          <w:sz w:val="20"/>
          <w:szCs w:val="20"/>
          <w:color w:val="auto"/>
        </w:rPr>
      </w:pPr>
    </w:p>
    <w:tbl>
      <w:tblPr>
        <w:tblLayout w:type="fixed"/>
        <w:tblInd w:w="820" w:type="dxa"/>
        <w:tblCellMar>
          <w:top w:w="0" w:type="dxa"/>
          <w:left w:w="0" w:type="dxa"/>
          <w:bottom w:w="0" w:type="dxa"/>
          <w:right w:w="0" w:type="dxa"/>
        </w:tblCellMar>
      </w:tblPr>
      <w:tr>
        <w:trPr>
          <w:trHeight w:val="203"/>
        </w:trPr>
        <w:tc>
          <w:tcPr>
            <w:tcW w:w="53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6"/>
                <w:szCs w:val="16"/>
                <w:b w:val="1"/>
                <w:bCs w:val="1"/>
                <w:color w:val="auto"/>
                <w:w w:val="99"/>
              </w:rPr>
              <w:t>Fiscal Year</w:t>
            </w:r>
          </w:p>
        </w:tc>
        <w:tc>
          <w:tcPr>
            <w:tcW w:w="2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209"/>
        </w:trPr>
        <w:tc>
          <w:tcPr>
            <w:tcW w:w="5300" w:type="dxa"/>
            <w:vAlign w:val="bottom"/>
            <w:tcBorders>
              <w:bottom w:val="single" w:sz="8" w:color="D1EDF4"/>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89"/>
              <w:spacing w:after="0"/>
              <w:rPr>
                <w:sz w:val="20"/>
                <w:szCs w:val="20"/>
                <w:color w:val="auto"/>
              </w:rPr>
            </w:pPr>
            <w:r>
              <w:rPr>
                <w:rFonts w:ascii="Arial" w:cs="Arial" w:eastAsia="Arial" w:hAnsi="Arial"/>
                <w:sz w:val="16"/>
                <w:szCs w:val="16"/>
                <w:b w:val="1"/>
                <w:bCs w:val="1"/>
                <w:color w:val="auto"/>
              </w:rPr>
              <w:t>2025</w:t>
            </w:r>
          </w:p>
        </w:tc>
        <w:tc>
          <w:tcPr>
            <w:tcW w:w="280" w:type="dxa"/>
            <w:vAlign w:val="bottom"/>
            <w:tcBorders>
              <w:bottom w:val="single" w:sz="8" w:color="D1EDF4"/>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2024</w:t>
            </w:r>
          </w:p>
        </w:tc>
        <w:tc>
          <w:tcPr>
            <w:tcW w:w="280" w:type="dxa"/>
            <w:vAlign w:val="bottom"/>
            <w:tcBorders>
              <w:bottom w:val="single" w:sz="8" w:color="D1EDF4"/>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89"/>
              <w:spacing w:after="0"/>
              <w:rPr>
                <w:sz w:val="20"/>
                <w:szCs w:val="20"/>
                <w:color w:val="auto"/>
              </w:rPr>
            </w:pPr>
            <w:r>
              <w:rPr>
                <w:rFonts w:ascii="Arial" w:cs="Arial" w:eastAsia="Arial" w:hAnsi="Arial"/>
                <w:sz w:val="16"/>
                <w:szCs w:val="16"/>
                <w:b w:val="1"/>
                <w:bCs w:val="1"/>
                <w:color w:val="auto"/>
              </w:rPr>
              <w:t>2023</w:t>
            </w:r>
          </w:p>
        </w:tc>
      </w:tr>
      <w:tr>
        <w:trPr>
          <w:trHeight w:val="209"/>
        </w:trPr>
        <w:tc>
          <w:tcPr>
            <w:tcW w:w="5300" w:type="dxa"/>
            <w:vAlign w:val="bottom"/>
            <w:shd w:val="clear" w:color="auto" w:fill="D1EDF4"/>
          </w:tcPr>
          <w:p>
            <w:pPr>
              <w:spacing w:after="0" w:line="209" w:lineRule="exact"/>
              <w:rPr>
                <w:sz w:val="20"/>
                <w:szCs w:val="20"/>
                <w:color w:val="auto"/>
              </w:rPr>
            </w:pPr>
            <w:r>
              <w:rPr>
                <w:rFonts w:ascii="Arial" w:cs="Arial" w:eastAsia="Arial" w:hAnsi="Arial"/>
                <w:sz w:val="19"/>
                <w:szCs w:val="19"/>
                <w:color w:val="auto"/>
              </w:rPr>
              <w:t>Total number of shares purchased</w:t>
            </w:r>
          </w:p>
        </w:tc>
        <w:tc>
          <w:tcPr>
            <w:tcW w:w="240" w:type="dxa"/>
            <w:vAlign w:val="bottom"/>
            <w:shd w:val="clear" w:color="auto" w:fill="D1EDF4"/>
          </w:tcPr>
          <w:p>
            <w:pPr>
              <w:spacing w:after="0"/>
              <w:rPr>
                <w:sz w:val="18"/>
                <w:szCs w:val="18"/>
                <w:color w:val="auto"/>
              </w:rPr>
            </w:pPr>
          </w:p>
        </w:tc>
        <w:tc>
          <w:tcPr>
            <w:tcW w:w="860" w:type="dxa"/>
            <w:vAlign w:val="bottom"/>
            <w:shd w:val="clear" w:color="auto" w:fill="D1EDF4"/>
          </w:tcPr>
          <w:p>
            <w:pPr>
              <w:jc w:val="right"/>
              <w:spacing w:after="0" w:line="209" w:lineRule="exact"/>
              <w:rPr>
                <w:sz w:val="20"/>
                <w:szCs w:val="20"/>
                <w:color w:val="auto"/>
              </w:rPr>
            </w:pPr>
            <w:r>
              <w:rPr>
                <w:rFonts w:ascii="Arial" w:cs="Arial" w:eastAsia="Arial" w:hAnsi="Arial"/>
                <w:sz w:val="19"/>
                <w:szCs w:val="19"/>
                <w:color w:val="auto"/>
              </w:rPr>
              <w:t>251</w:t>
            </w:r>
          </w:p>
        </w:tc>
        <w:tc>
          <w:tcPr>
            <w:tcW w:w="280" w:type="dxa"/>
            <w:vAlign w:val="bottom"/>
            <w:shd w:val="clear" w:color="auto" w:fill="D1EDF4"/>
          </w:tcPr>
          <w:p>
            <w:pPr>
              <w:spacing w:after="0"/>
              <w:rPr>
                <w:sz w:val="18"/>
                <w:szCs w:val="18"/>
                <w:color w:val="auto"/>
              </w:rPr>
            </w:pPr>
          </w:p>
        </w:tc>
        <w:tc>
          <w:tcPr>
            <w:tcW w:w="120" w:type="dxa"/>
            <w:vAlign w:val="bottom"/>
            <w:shd w:val="clear" w:color="auto" w:fill="D1EDF4"/>
          </w:tcPr>
          <w:p>
            <w:pPr>
              <w:spacing w:after="0"/>
              <w:rPr>
                <w:sz w:val="18"/>
                <w:szCs w:val="18"/>
                <w:color w:val="auto"/>
              </w:rPr>
            </w:pPr>
          </w:p>
        </w:tc>
        <w:tc>
          <w:tcPr>
            <w:tcW w:w="980" w:type="dxa"/>
            <w:vAlign w:val="bottom"/>
            <w:shd w:val="clear" w:color="auto" w:fill="D1EDF4"/>
          </w:tcPr>
          <w:p>
            <w:pPr>
              <w:jc w:val="right"/>
              <w:spacing w:after="0" w:line="209" w:lineRule="exact"/>
              <w:rPr>
                <w:sz w:val="20"/>
                <w:szCs w:val="20"/>
                <w:color w:val="auto"/>
              </w:rPr>
            </w:pPr>
            <w:r>
              <w:rPr>
                <w:rFonts w:ascii="Arial" w:cs="Arial" w:eastAsia="Arial" w:hAnsi="Arial"/>
                <w:sz w:val="19"/>
                <w:szCs w:val="19"/>
                <w:color w:val="auto"/>
              </w:rPr>
              <w:t>145</w:t>
            </w:r>
          </w:p>
        </w:tc>
        <w:tc>
          <w:tcPr>
            <w:tcW w:w="280" w:type="dxa"/>
            <w:vAlign w:val="bottom"/>
            <w:shd w:val="clear" w:color="auto" w:fill="D1EDF4"/>
          </w:tcPr>
          <w:p>
            <w:pPr>
              <w:spacing w:after="0"/>
              <w:rPr>
                <w:sz w:val="18"/>
                <w:szCs w:val="18"/>
                <w:color w:val="auto"/>
              </w:rPr>
            </w:pPr>
          </w:p>
        </w:tc>
        <w:tc>
          <w:tcPr>
            <w:tcW w:w="180" w:type="dxa"/>
            <w:vAlign w:val="bottom"/>
            <w:shd w:val="clear" w:color="auto" w:fill="D1EDF4"/>
          </w:tcPr>
          <w:p>
            <w:pPr>
              <w:spacing w:after="0"/>
              <w:rPr>
                <w:sz w:val="18"/>
                <w:szCs w:val="18"/>
                <w:color w:val="auto"/>
              </w:rPr>
            </w:pPr>
          </w:p>
        </w:tc>
        <w:tc>
          <w:tcPr>
            <w:tcW w:w="940" w:type="dxa"/>
            <w:vAlign w:val="bottom"/>
            <w:shd w:val="clear" w:color="auto" w:fill="D1EDF4"/>
          </w:tcPr>
          <w:p>
            <w:pPr>
              <w:ind w:left="680"/>
              <w:spacing w:after="0" w:line="209" w:lineRule="exact"/>
              <w:rPr>
                <w:sz w:val="20"/>
                <w:szCs w:val="20"/>
                <w:color w:val="auto"/>
              </w:rPr>
            </w:pPr>
            <w:r>
              <w:rPr>
                <w:rFonts w:ascii="Arial" w:cs="Arial" w:eastAsia="Arial" w:hAnsi="Arial"/>
                <w:sz w:val="19"/>
                <w:szCs w:val="19"/>
                <w:color w:val="auto"/>
              </w:rPr>
              <w:t>—</w:t>
            </w:r>
          </w:p>
        </w:tc>
      </w:tr>
      <w:tr>
        <w:trPr>
          <w:trHeight w:val="220"/>
        </w:trPr>
        <w:tc>
          <w:tcPr>
            <w:tcW w:w="5300" w:type="dxa"/>
            <w:vAlign w:val="bottom"/>
          </w:tcPr>
          <w:p>
            <w:pPr>
              <w:spacing w:after="0"/>
              <w:rPr>
                <w:sz w:val="20"/>
                <w:szCs w:val="20"/>
                <w:color w:val="auto"/>
              </w:rPr>
            </w:pPr>
            <w:r>
              <w:rPr>
                <w:rFonts w:ascii="Arial" w:cs="Arial" w:eastAsia="Arial" w:hAnsi="Arial"/>
                <w:sz w:val="19"/>
                <w:szCs w:val="19"/>
                <w:color w:val="auto"/>
              </w:rPr>
              <w:t>Average price paid per share (including commissions)</w:t>
            </w:r>
          </w:p>
        </w:tc>
        <w:tc>
          <w:tcPr>
            <w:tcW w:w="240" w:type="dxa"/>
            <w:vAlign w:val="bottom"/>
          </w:tcPr>
          <w:p>
            <w:pPr>
              <w:jc w:val="right"/>
              <w:ind w:right="45"/>
              <w:spacing w:after="0"/>
              <w:rPr>
                <w:sz w:val="20"/>
                <w:szCs w:val="20"/>
                <w:color w:val="auto"/>
              </w:rPr>
            </w:pPr>
            <w:r>
              <w:rPr>
                <w:rFonts w:ascii="Arial" w:cs="Arial" w:eastAsia="Arial" w:hAnsi="Arial"/>
                <w:sz w:val="19"/>
                <w:szCs w:val="19"/>
                <w:color w:val="auto"/>
                <w:w w:val="75"/>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25.21</w:t>
            </w:r>
          </w:p>
        </w:tc>
        <w:tc>
          <w:tcPr>
            <w:tcW w:w="40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980" w:type="dxa"/>
            <w:vAlign w:val="bottom"/>
          </w:tcPr>
          <w:p>
            <w:pPr>
              <w:jc w:val="right"/>
              <w:spacing w:after="0"/>
              <w:rPr>
                <w:sz w:val="20"/>
                <w:szCs w:val="20"/>
                <w:color w:val="auto"/>
              </w:rPr>
            </w:pPr>
            <w:r>
              <w:rPr>
                <w:rFonts w:ascii="Arial" w:cs="Arial" w:eastAsia="Arial" w:hAnsi="Arial"/>
                <w:sz w:val="19"/>
                <w:szCs w:val="19"/>
                <w:color w:val="auto"/>
              </w:rPr>
              <w:t>25.99</w:t>
            </w:r>
          </w:p>
        </w:tc>
        <w:tc>
          <w:tcPr>
            <w:tcW w:w="46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940" w:type="dxa"/>
            <w:vAlign w:val="bottom"/>
          </w:tcPr>
          <w:p>
            <w:pPr>
              <w:ind w:left="680"/>
              <w:spacing w:after="0"/>
              <w:rPr>
                <w:sz w:val="20"/>
                <w:szCs w:val="20"/>
                <w:color w:val="auto"/>
              </w:rPr>
            </w:pPr>
            <w:r>
              <w:rPr>
                <w:rFonts w:ascii="Arial" w:cs="Arial" w:eastAsia="Arial" w:hAnsi="Arial"/>
                <w:sz w:val="19"/>
                <w:szCs w:val="19"/>
                <w:color w:val="auto"/>
              </w:rPr>
              <w:t>—</w:t>
            </w:r>
          </w:p>
        </w:tc>
      </w:tr>
      <w:tr>
        <w:trPr>
          <w:trHeight w:val="220"/>
        </w:trPr>
        <w:tc>
          <w:tcPr>
            <w:tcW w:w="5300" w:type="dxa"/>
            <w:vAlign w:val="bottom"/>
            <w:shd w:val="clear" w:color="auto" w:fill="D1EDF4"/>
          </w:tcPr>
          <w:p>
            <w:pPr>
              <w:spacing w:after="0"/>
              <w:rPr>
                <w:sz w:val="20"/>
                <w:szCs w:val="20"/>
                <w:color w:val="auto"/>
              </w:rPr>
            </w:pPr>
            <w:r>
              <w:rPr>
                <w:rFonts w:ascii="Arial" w:cs="Arial" w:eastAsia="Arial" w:hAnsi="Arial"/>
                <w:sz w:val="19"/>
                <w:szCs w:val="19"/>
                <w:color w:val="auto"/>
              </w:rPr>
              <w:t>Total investment</w:t>
            </w:r>
          </w:p>
        </w:tc>
        <w:tc>
          <w:tcPr>
            <w:tcW w:w="240" w:type="dxa"/>
            <w:vAlign w:val="bottom"/>
            <w:shd w:val="clear" w:color="auto" w:fill="D1EDF4"/>
          </w:tcPr>
          <w:p>
            <w:pPr>
              <w:jc w:val="right"/>
              <w:ind w:right="45"/>
              <w:spacing w:after="0"/>
              <w:rPr>
                <w:sz w:val="20"/>
                <w:szCs w:val="20"/>
                <w:color w:val="auto"/>
              </w:rPr>
            </w:pPr>
            <w:r>
              <w:rPr>
                <w:rFonts w:ascii="Arial" w:cs="Arial" w:eastAsia="Arial" w:hAnsi="Arial"/>
                <w:sz w:val="19"/>
                <w:szCs w:val="19"/>
                <w:color w:val="auto"/>
                <w:w w:val="75"/>
              </w:rPr>
              <w:t>$</w:t>
            </w:r>
          </w:p>
        </w:tc>
        <w:tc>
          <w:tcPr>
            <w:tcW w:w="860" w:type="dxa"/>
            <w:vAlign w:val="bottom"/>
            <w:shd w:val="clear" w:color="auto" w:fill="D1EDF4"/>
          </w:tcPr>
          <w:p>
            <w:pPr>
              <w:jc w:val="right"/>
              <w:spacing w:after="0"/>
              <w:rPr>
                <w:sz w:val="20"/>
                <w:szCs w:val="20"/>
                <w:color w:val="auto"/>
              </w:rPr>
            </w:pPr>
            <w:r>
              <w:rPr>
                <w:rFonts w:ascii="Arial" w:cs="Arial" w:eastAsia="Arial" w:hAnsi="Arial"/>
                <w:sz w:val="19"/>
                <w:szCs w:val="19"/>
                <w:color w:val="auto"/>
              </w:rPr>
              <w:t>6,315</w:t>
            </w:r>
          </w:p>
        </w:tc>
        <w:tc>
          <w:tcPr>
            <w:tcW w:w="400" w:type="dxa"/>
            <w:vAlign w:val="bottom"/>
            <w:gridSpan w:val="2"/>
            <w:shd w:val="clear" w:color="auto" w:fill="D1EDF4"/>
          </w:tcPr>
          <w:p>
            <w:pPr>
              <w:jc w:val="right"/>
              <w:ind w:right="20"/>
              <w:spacing w:after="0"/>
              <w:rPr>
                <w:sz w:val="20"/>
                <w:szCs w:val="20"/>
                <w:color w:val="auto"/>
              </w:rPr>
            </w:pPr>
            <w:r>
              <w:rPr>
                <w:rFonts w:ascii="Arial" w:cs="Arial" w:eastAsia="Arial" w:hAnsi="Arial"/>
                <w:sz w:val="19"/>
                <w:szCs w:val="19"/>
                <w:color w:val="auto"/>
              </w:rPr>
              <w:t>$</w:t>
            </w:r>
          </w:p>
        </w:tc>
        <w:tc>
          <w:tcPr>
            <w:tcW w:w="980" w:type="dxa"/>
            <w:vAlign w:val="bottom"/>
            <w:shd w:val="clear" w:color="auto" w:fill="D1EDF4"/>
          </w:tcPr>
          <w:p>
            <w:pPr>
              <w:jc w:val="right"/>
              <w:spacing w:after="0"/>
              <w:rPr>
                <w:sz w:val="20"/>
                <w:szCs w:val="20"/>
                <w:color w:val="auto"/>
              </w:rPr>
            </w:pPr>
            <w:r>
              <w:rPr>
                <w:rFonts w:ascii="Arial" w:cs="Arial" w:eastAsia="Arial" w:hAnsi="Arial"/>
                <w:sz w:val="19"/>
                <w:szCs w:val="19"/>
                <w:color w:val="auto"/>
              </w:rPr>
              <w:t>3,777</w:t>
            </w:r>
          </w:p>
        </w:tc>
        <w:tc>
          <w:tcPr>
            <w:tcW w:w="460" w:type="dxa"/>
            <w:vAlign w:val="bottom"/>
            <w:gridSpan w:val="2"/>
            <w:shd w:val="clear" w:color="auto" w:fill="D1EDF4"/>
          </w:tcPr>
          <w:p>
            <w:pPr>
              <w:jc w:val="right"/>
              <w:ind w:right="80"/>
              <w:spacing w:after="0"/>
              <w:rPr>
                <w:sz w:val="20"/>
                <w:szCs w:val="20"/>
                <w:color w:val="auto"/>
              </w:rPr>
            </w:pPr>
            <w:r>
              <w:rPr>
                <w:rFonts w:ascii="Arial" w:cs="Arial" w:eastAsia="Arial" w:hAnsi="Arial"/>
                <w:sz w:val="19"/>
                <w:szCs w:val="19"/>
                <w:color w:val="auto"/>
              </w:rPr>
              <w:t>$</w:t>
            </w:r>
          </w:p>
        </w:tc>
        <w:tc>
          <w:tcPr>
            <w:tcW w:w="940" w:type="dxa"/>
            <w:vAlign w:val="bottom"/>
            <w:shd w:val="clear" w:color="auto" w:fill="D1EDF4"/>
          </w:tcPr>
          <w:p>
            <w:pPr>
              <w:ind w:left="680"/>
              <w:spacing w:after="0"/>
              <w:rPr>
                <w:sz w:val="20"/>
                <w:szCs w:val="20"/>
                <w:color w:val="auto"/>
              </w:rPr>
            </w:pPr>
            <w:r>
              <w:rPr>
                <w:rFonts w:ascii="Arial" w:cs="Arial" w:eastAsia="Arial" w:hAnsi="Arial"/>
                <w:sz w:val="19"/>
                <w:szCs w:val="19"/>
                <w:color w:val="auto"/>
              </w:rPr>
              <w:t>—</w:t>
            </w:r>
          </w:p>
        </w:tc>
      </w:tr>
    </w:tbl>
    <w:p>
      <w:pPr>
        <w:spacing w:after="0" w:line="190" w:lineRule="exact"/>
        <w:rPr>
          <w:sz w:val="20"/>
          <w:szCs w:val="20"/>
          <w:color w:val="auto"/>
        </w:rPr>
      </w:pPr>
    </w:p>
    <w:p>
      <w:pPr>
        <w:ind w:right="1020"/>
        <w:spacing w:after="0" w:line="281" w:lineRule="auto"/>
        <w:rPr>
          <w:sz w:val="20"/>
          <w:szCs w:val="20"/>
          <w:color w:val="auto"/>
        </w:rPr>
      </w:pPr>
      <w:r>
        <w:rPr>
          <w:rFonts w:ascii="Arial" w:cs="Arial" w:eastAsia="Arial" w:hAnsi="Arial"/>
          <w:sz w:val="19"/>
          <w:szCs w:val="19"/>
          <w:color w:val="auto"/>
        </w:rPr>
        <w:t>At January 31, 2026, $40.0 million remained available under the Company’s previously announced stock repurchase authorization.</w:t>
      </w:r>
    </w:p>
    <w:p>
      <w:pPr>
        <w:spacing w:after="0" w:line="94"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Stock-Based Compensation</w:t>
      </w:r>
    </w:p>
    <w:p>
      <w:pPr>
        <w:spacing w:after="0" w:line="150" w:lineRule="exact"/>
        <w:rPr>
          <w:sz w:val="20"/>
          <w:szCs w:val="20"/>
          <w:color w:val="auto"/>
        </w:rPr>
      </w:pPr>
    </w:p>
    <w:p>
      <w:pPr>
        <w:ind w:right="20"/>
        <w:spacing w:after="0" w:line="246" w:lineRule="auto"/>
        <w:rPr>
          <w:sz w:val="20"/>
          <w:szCs w:val="20"/>
          <w:color w:val="auto"/>
        </w:rPr>
      </w:pPr>
      <w:r>
        <w:rPr>
          <w:rFonts w:ascii="Arial" w:cs="Arial" w:eastAsia="Arial" w:hAnsi="Arial"/>
          <w:sz w:val="19"/>
          <w:szCs w:val="19"/>
          <w:color w:val="auto"/>
        </w:rPr>
        <w:t>The Company maintains the Citi Trends, Inc. Incentive Plan (the “Plan”) which permits the grant of stock-based incentive awards to employees, officers, directors and consultants. The Plan provides for the grant of incentive and nonqualified options, stock appreciation rights, restricted stock, restricted stock units, performance awards and other forms of stock-based and cash-settled equity compensation. At January 31, 2026, the Company had 694,570 shares reserved for future grants under the Plan. During fiscal 2025, 2024 and 2023, non-cash stock-based compensation expense recorded in selling and general and administrative expenses totaled $5.4 million, $3.3 million and $4.1 million, respectively. The income tax expense resulting from the fair market value of restricted stock at vesting versus the cumulative compensation cost of such stock is recorded as a component of income tax expense and was $0.2 million, $0.1 million and $0.5 million, respectively.</w:t>
      </w:r>
    </w:p>
    <w:p>
      <w:pPr>
        <w:spacing w:after="0" w:line="116" w:lineRule="exact"/>
        <w:rPr>
          <w:sz w:val="20"/>
          <w:szCs w:val="20"/>
          <w:color w:val="auto"/>
        </w:rPr>
      </w:pPr>
    </w:p>
    <w:p>
      <w:pPr>
        <w:ind w:right="200"/>
        <w:spacing w:after="0" w:line="260" w:lineRule="auto"/>
        <w:rPr>
          <w:sz w:val="20"/>
          <w:szCs w:val="20"/>
          <w:color w:val="auto"/>
        </w:rPr>
      </w:pPr>
      <w:r>
        <w:rPr>
          <w:rFonts w:ascii="Arial" w:cs="Arial" w:eastAsia="Arial" w:hAnsi="Arial"/>
          <w:sz w:val="19"/>
          <w:szCs w:val="19"/>
          <w:color w:val="auto"/>
        </w:rPr>
        <w:t>The Company issues shares of restricted stock to key team members and non -employee directors. Restricted stock granted to employees vests in equal installments over three years from the date of grant. Restricted stock granted to non-employee directors vests one year from the date of grant.</w:t>
      </w:r>
    </w:p>
    <w:p>
      <w:pPr>
        <w:spacing w:after="0" w:line="106" w:lineRule="exact"/>
        <w:rPr>
          <w:sz w:val="20"/>
          <w:szCs w:val="20"/>
          <w:color w:val="auto"/>
        </w:rPr>
      </w:pPr>
    </w:p>
    <w:p>
      <w:pPr>
        <w:jc w:val="both"/>
        <w:ind w:right="80"/>
        <w:spacing w:after="0" w:line="260" w:lineRule="auto"/>
        <w:rPr>
          <w:sz w:val="20"/>
          <w:szCs w:val="20"/>
          <w:color w:val="auto"/>
        </w:rPr>
      </w:pPr>
      <w:r>
        <w:rPr>
          <w:rFonts w:ascii="Arial" w:cs="Arial" w:eastAsia="Arial" w:hAnsi="Arial"/>
          <w:sz w:val="19"/>
          <w:szCs w:val="19"/>
          <w:color w:val="auto"/>
        </w:rPr>
        <w:t>The Company also issues performance-based restricted stock units (“PSUs”) to key team members that cliff vest at the end of a three-year period based upon the Company’s achievement of pre-established goals. The number of units earned and vested is subject to scaling based on a pre-established performance matrix.</w:t>
      </w:r>
    </w:p>
    <w:p>
      <w:pPr>
        <w:spacing w:after="0" w:line="105" w:lineRule="exact"/>
        <w:rPr>
          <w:sz w:val="20"/>
          <w:szCs w:val="20"/>
          <w:color w:val="auto"/>
        </w:rPr>
      </w:pPr>
    </w:p>
    <w:p>
      <w:pPr>
        <w:ind w:right="200"/>
        <w:spacing w:after="0" w:line="250" w:lineRule="auto"/>
        <w:rPr>
          <w:sz w:val="20"/>
          <w:szCs w:val="20"/>
          <w:color w:val="auto"/>
        </w:rPr>
      </w:pPr>
      <w:r>
        <w:rPr>
          <w:rFonts w:ascii="Arial" w:cs="Arial" w:eastAsia="Arial" w:hAnsi="Arial"/>
          <w:sz w:val="19"/>
          <w:szCs w:val="19"/>
          <w:color w:val="auto"/>
        </w:rPr>
        <w:t>On November 18, 2024, the Company granted a performance-based restricted stock award to the Chief Executive Officer. The total number of shares earned depends on the attainment of predefined average stock price targets measured over rolling 45-trading-day periods during the performance period ending November 15, 2027. Earned shares vest annually over a period extending through November 15, 2028. The Company estimated the fair value of the awards using a Monte Carlo simulation including the following assumptions:</w:t>
      </w:r>
    </w:p>
    <w:p>
      <w:pPr>
        <w:spacing w:after="0" w:line="153" w:lineRule="exact"/>
        <w:rPr>
          <w:sz w:val="20"/>
          <w:szCs w:val="20"/>
          <w:color w:val="auto"/>
        </w:rPr>
      </w:pPr>
    </w:p>
    <w:tbl>
      <w:tblPr>
        <w:tblLayout w:type="fixed"/>
        <w:tblInd w:w="820" w:type="dxa"/>
        <w:tblCellMar>
          <w:top w:w="0" w:type="dxa"/>
          <w:left w:w="0" w:type="dxa"/>
          <w:bottom w:w="0" w:type="dxa"/>
          <w:right w:w="0" w:type="dxa"/>
        </w:tblCellMar>
      </w:tblPr>
      <w:tr>
        <w:trPr>
          <w:trHeight w:val="253"/>
        </w:trPr>
        <w:tc>
          <w:tcPr>
            <w:tcW w:w="7540" w:type="dxa"/>
            <w:vAlign w:val="bottom"/>
            <w:shd w:val="clear" w:color="auto" w:fill="D1EDF4"/>
          </w:tcPr>
          <w:p>
            <w:pPr>
              <w:spacing w:after="0"/>
              <w:rPr>
                <w:sz w:val="20"/>
                <w:szCs w:val="20"/>
                <w:color w:val="auto"/>
              </w:rPr>
            </w:pPr>
            <w:r>
              <w:rPr>
                <w:rFonts w:ascii="Arial" w:cs="Arial" w:eastAsia="Arial" w:hAnsi="Arial"/>
                <w:sz w:val="19"/>
                <w:szCs w:val="19"/>
                <w:color w:val="auto"/>
              </w:rPr>
              <w:t>Stock Price on grant date</w:t>
            </w:r>
          </w:p>
        </w:tc>
        <w:tc>
          <w:tcPr>
            <w:tcW w:w="1640" w:type="dxa"/>
            <w:vAlign w:val="bottom"/>
            <w:shd w:val="clear" w:color="auto" w:fill="D1EDF4"/>
          </w:tcPr>
          <w:p>
            <w:pPr>
              <w:jc w:val="right"/>
              <w:spacing w:after="0"/>
              <w:rPr>
                <w:sz w:val="20"/>
                <w:szCs w:val="20"/>
                <w:color w:val="auto"/>
              </w:rPr>
            </w:pPr>
            <w:r>
              <w:rPr>
                <w:rFonts w:ascii="Arial" w:cs="Arial" w:eastAsia="Arial" w:hAnsi="Arial"/>
                <w:sz w:val="19"/>
                <w:szCs w:val="19"/>
                <w:color w:val="auto"/>
              </w:rPr>
              <w:t>$16.33</w:t>
            </w:r>
          </w:p>
        </w:tc>
      </w:tr>
      <w:tr>
        <w:trPr>
          <w:trHeight w:val="254"/>
        </w:trPr>
        <w:tc>
          <w:tcPr>
            <w:tcW w:w="7540" w:type="dxa"/>
            <w:vAlign w:val="bottom"/>
          </w:tcPr>
          <w:p>
            <w:pPr>
              <w:spacing w:after="0"/>
              <w:rPr>
                <w:sz w:val="20"/>
                <w:szCs w:val="20"/>
                <w:color w:val="auto"/>
              </w:rPr>
            </w:pPr>
            <w:r>
              <w:rPr>
                <w:rFonts w:ascii="Arial" w:cs="Arial" w:eastAsia="Arial" w:hAnsi="Arial"/>
                <w:sz w:val="19"/>
                <w:szCs w:val="19"/>
                <w:color w:val="auto"/>
              </w:rPr>
              <w:t>Risk-free interest rate</w:t>
            </w:r>
          </w:p>
        </w:tc>
        <w:tc>
          <w:tcPr>
            <w:tcW w:w="1640" w:type="dxa"/>
            <w:vAlign w:val="bottom"/>
          </w:tcPr>
          <w:p>
            <w:pPr>
              <w:jc w:val="right"/>
              <w:spacing w:after="0"/>
              <w:rPr>
                <w:sz w:val="20"/>
                <w:szCs w:val="20"/>
                <w:color w:val="auto"/>
              </w:rPr>
            </w:pPr>
            <w:r>
              <w:rPr>
                <w:rFonts w:ascii="Arial" w:cs="Arial" w:eastAsia="Arial" w:hAnsi="Arial"/>
                <w:sz w:val="19"/>
                <w:szCs w:val="19"/>
                <w:color w:val="auto"/>
              </w:rPr>
              <w:t>4.21%</w:t>
            </w:r>
          </w:p>
        </w:tc>
      </w:tr>
      <w:tr>
        <w:trPr>
          <w:trHeight w:val="254"/>
        </w:trPr>
        <w:tc>
          <w:tcPr>
            <w:tcW w:w="7540" w:type="dxa"/>
            <w:vAlign w:val="bottom"/>
            <w:shd w:val="clear" w:color="auto" w:fill="D1EDF4"/>
          </w:tcPr>
          <w:p>
            <w:pPr>
              <w:spacing w:after="0"/>
              <w:rPr>
                <w:sz w:val="20"/>
                <w:szCs w:val="20"/>
                <w:color w:val="auto"/>
              </w:rPr>
            </w:pPr>
            <w:r>
              <w:rPr>
                <w:rFonts w:ascii="Arial" w:cs="Arial" w:eastAsia="Arial" w:hAnsi="Arial"/>
                <w:sz w:val="19"/>
                <w:szCs w:val="19"/>
                <w:color w:val="auto"/>
              </w:rPr>
              <w:t>Expected volatility (annualized)</w:t>
            </w:r>
          </w:p>
        </w:tc>
        <w:tc>
          <w:tcPr>
            <w:tcW w:w="1640" w:type="dxa"/>
            <w:vAlign w:val="bottom"/>
            <w:shd w:val="clear" w:color="auto" w:fill="D1EDF4"/>
          </w:tcPr>
          <w:p>
            <w:pPr>
              <w:jc w:val="right"/>
              <w:spacing w:after="0"/>
              <w:rPr>
                <w:sz w:val="20"/>
                <w:szCs w:val="20"/>
                <w:color w:val="auto"/>
              </w:rPr>
            </w:pPr>
            <w:r>
              <w:rPr>
                <w:rFonts w:ascii="Arial" w:cs="Arial" w:eastAsia="Arial" w:hAnsi="Arial"/>
                <w:sz w:val="19"/>
                <w:szCs w:val="19"/>
                <w:color w:val="auto"/>
              </w:rPr>
              <w:t>62.90%</w:t>
            </w:r>
          </w:p>
        </w:tc>
      </w:tr>
      <w:tr>
        <w:trPr>
          <w:trHeight w:val="256"/>
        </w:trPr>
        <w:tc>
          <w:tcPr>
            <w:tcW w:w="7540" w:type="dxa"/>
            <w:vAlign w:val="bottom"/>
          </w:tcPr>
          <w:p>
            <w:pPr>
              <w:spacing w:after="0"/>
              <w:rPr>
                <w:sz w:val="20"/>
                <w:szCs w:val="20"/>
                <w:color w:val="auto"/>
              </w:rPr>
            </w:pPr>
            <w:r>
              <w:rPr>
                <w:rFonts w:ascii="Arial" w:cs="Arial" w:eastAsia="Arial" w:hAnsi="Arial"/>
                <w:sz w:val="19"/>
                <w:szCs w:val="19"/>
                <w:color w:val="auto"/>
              </w:rPr>
              <w:t>Dividend yield</w:t>
            </w:r>
          </w:p>
        </w:tc>
        <w:tc>
          <w:tcPr>
            <w:tcW w:w="1640" w:type="dxa"/>
            <w:vAlign w:val="bottom"/>
          </w:tcPr>
          <w:p>
            <w:pPr>
              <w:jc w:val="right"/>
              <w:spacing w:after="0"/>
              <w:rPr>
                <w:sz w:val="20"/>
                <w:szCs w:val="20"/>
                <w:color w:val="auto"/>
              </w:rPr>
            </w:pPr>
            <w:r>
              <w:rPr>
                <w:rFonts w:ascii="Arial" w:cs="Arial" w:eastAsia="Arial" w:hAnsi="Arial"/>
                <w:sz w:val="19"/>
                <w:szCs w:val="19"/>
                <w:color w:val="auto"/>
              </w:rPr>
              <w:t>0%</w:t>
            </w:r>
          </w:p>
        </w:tc>
      </w:tr>
    </w:tbl>
    <w:p>
      <w:pPr>
        <w:spacing w:after="0" w:line="198" w:lineRule="exact"/>
        <w:rPr>
          <w:sz w:val="20"/>
          <w:szCs w:val="20"/>
          <w:color w:val="auto"/>
        </w:rPr>
      </w:pPr>
    </w:p>
    <w:p>
      <w:pPr>
        <w:ind w:right="180"/>
        <w:spacing w:after="0" w:line="254" w:lineRule="auto"/>
        <w:rPr>
          <w:sz w:val="20"/>
          <w:szCs w:val="20"/>
          <w:color w:val="auto"/>
        </w:rPr>
      </w:pPr>
      <w:r>
        <w:rPr>
          <w:rFonts w:ascii="Arial" w:cs="Arial" w:eastAsia="Arial" w:hAnsi="Arial"/>
          <w:sz w:val="19"/>
          <w:szCs w:val="19"/>
          <w:color w:val="auto"/>
        </w:rPr>
        <w:t>The risk-free interest rate was derived from the continuously compounded yield of zero-coupon U.S. Treasury STRIPS. The expected volatility is based on the Company’s historical daily stock price movements for a period equal to the simulation term. The dividend yield was based on the Company’s recent dividend history. The total grant date fair value of the award was $3.36 million, or $10.45 per share.</w:t>
      </w:r>
    </w:p>
    <w:p>
      <w:pPr>
        <w:spacing w:after="0" w:line="109" w:lineRule="exact"/>
        <w:rPr>
          <w:sz w:val="20"/>
          <w:szCs w:val="20"/>
          <w:color w:val="auto"/>
        </w:rPr>
      </w:pPr>
    </w:p>
    <w:p>
      <w:pPr>
        <w:spacing w:after="0" w:line="253" w:lineRule="auto"/>
        <w:rPr>
          <w:sz w:val="20"/>
          <w:szCs w:val="20"/>
          <w:color w:val="auto"/>
        </w:rPr>
      </w:pPr>
      <w:r>
        <w:rPr>
          <w:rFonts w:ascii="Arial" w:cs="Arial" w:eastAsia="Arial" w:hAnsi="Arial"/>
          <w:sz w:val="19"/>
          <w:szCs w:val="19"/>
          <w:color w:val="auto"/>
        </w:rPr>
        <w:t>The fair value associated with each tranche of the award will be recognized, straight-line, over the requisite service period for that tranche. Failure to meet the market conditions for an award does not result in reversal of previously recognized expense, so long as the required service period condition is met. The Company recognized $1.5 million and $0.3 million of expense related to the award in fiscal 2025 and fiscal 2024, respectively.</w:t>
      </w:r>
    </w:p>
    <w:p>
      <w:pPr>
        <w:sectPr>
          <w:pgSz w:w="11880" w:h="15480" w:orient="portrait"/>
          <w:cols w:equalWidth="0" w:num="1">
            <w:col w:w="10800"/>
          </w:cols>
          <w:pgMar w:left="540" w:top="807" w:right="540" w:bottom="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ectPr>
          <w:pgSz w:w="11880" w:h="15480" w:orient="portrait"/>
          <w:cols w:equalWidth="0" w:num="1">
            <w:col w:w="10800"/>
          </w:cols>
          <w:pgMar w:left="540" w:top="807" w:right="540" w:bottom="16" w:gutter="0" w:footer="0" w:header="0"/>
          <w:type w:val="continuous"/>
        </w:sectPr>
      </w:pPr>
    </w:p>
    <w:bookmarkStart w:id="44" w:name="page45"/>
    <w:bookmarkEnd w:id="44"/>
    <w:p>
      <w:pPr>
        <w:spacing w:after="0" w:line="281" w:lineRule="auto"/>
        <w:rPr>
          <w:sz w:val="20"/>
          <w:szCs w:val="20"/>
          <w:color w:val="auto"/>
        </w:rPr>
      </w:pPr>
      <w:r>
        <w:rPr>
          <w:rFonts w:ascii="Arial" w:cs="Arial" w:eastAsia="Arial" w:hAnsi="Arial"/>
          <w:sz w:val="19"/>
          <w:szCs w:val="19"/>
          <w:color w:val="auto"/>
        </w:rPr>
        <w:t>The following tables summarize activity related to nonvested restricted stock and PSUs and performance-based restricted stock during fiscal 2025:</w:t>
      </w:r>
    </w:p>
    <w:p>
      <w:pPr>
        <w:sectPr>
          <w:pgSz w:w="11880" w:h="15480" w:orient="portrait"/>
          <w:cols w:equalWidth="0" w:num="1">
            <w:col w:w="10700"/>
          </w:cols>
          <w:pgMar w:left="540" w:top="807" w:right="640" w:bottom="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820"/>
        <w:spacing w:after="0"/>
        <w:rPr>
          <w:sz w:val="20"/>
          <w:szCs w:val="20"/>
          <w:color w:val="auto"/>
        </w:rPr>
      </w:pPr>
      <w:r>
        <w:rPr>
          <w:rFonts w:ascii="Arial" w:cs="Arial" w:eastAsia="Arial" w:hAnsi="Arial"/>
          <w:sz w:val="19"/>
          <w:szCs w:val="19"/>
          <w:color w:val="auto"/>
        </w:rPr>
        <w:t>Outstanding as of February 1,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514350</wp:posOffset>
                </wp:positionH>
                <wp:positionV relativeFrom="paragraph">
                  <wp:posOffset>-127635</wp:posOffset>
                </wp:positionV>
                <wp:extent cx="5829300" cy="13843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29300" cy="138430"/>
                        </a:xfrm>
                        <a:prstGeom prst="rect">
                          <a:avLst/>
                        </a:prstGeom>
                        <a:solidFill>
                          <a:srgbClr val="D1EDF4"/>
                        </a:solidFill>
                      </wps:spPr>
                      <wps:bodyPr/>
                    </wps:wsp>
                  </a:graphicData>
                </a:graphic>
              </wp:anchor>
            </w:drawing>
          </mc:Choice>
          <mc:Fallback>
            <w:pict>
              <v:rect id="Shape 13" o:spid="_x0000_s1038" style="position:absolute;margin-left:40.5pt;margin-top:-10.0499pt;width:459pt;height:10.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514350</wp:posOffset>
                </wp:positionH>
                <wp:positionV relativeFrom="paragraph">
                  <wp:posOffset>-133985</wp:posOffset>
                </wp:positionV>
                <wp:extent cx="3876675" cy="14478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76675" cy="144780"/>
                        </a:xfrm>
                        <a:prstGeom prst="rect">
                          <a:avLst/>
                        </a:prstGeom>
                        <a:solidFill>
                          <a:srgbClr val="D1EDF4"/>
                        </a:solidFill>
                      </wps:spPr>
                      <wps:bodyPr/>
                    </wps:wsp>
                  </a:graphicData>
                </a:graphic>
              </wp:anchor>
            </w:drawing>
          </mc:Choice>
          <mc:Fallback>
            <w:pict>
              <v:rect id="Shape 14" o:spid="_x0000_s1039" style="position:absolute;margin-left:40.5pt;margin-top:-10.5499pt;width:305.25pt;height:1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w:r>
    </w:p>
    <w:p>
      <w:pPr>
        <w:spacing w:after="0" w:line="5" w:lineRule="exact"/>
        <w:rPr>
          <w:sz w:val="20"/>
          <w:szCs w:val="20"/>
          <w:color w:val="auto"/>
        </w:rPr>
      </w:pPr>
    </w:p>
    <w:p>
      <w:pPr>
        <w:ind w:left="820"/>
        <w:spacing w:after="0"/>
        <w:rPr>
          <w:sz w:val="20"/>
          <w:szCs w:val="20"/>
          <w:color w:val="auto"/>
        </w:rPr>
      </w:pPr>
      <w:r>
        <w:rPr>
          <w:rFonts w:ascii="Arial" w:cs="Arial" w:eastAsia="Arial" w:hAnsi="Arial"/>
          <w:sz w:val="19"/>
          <w:szCs w:val="19"/>
          <w:color w:val="auto"/>
        </w:rPr>
        <w:t>Granted</w:t>
      </w:r>
    </w:p>
    <w:p>
      <w:pPr>
        <w:spacing w:after="0" w:line="1" w:lineRule="exact"/>
        <w:rPr>
          <w:sz w:val="20"/>
          <w:szCs w:val="20"/>
          <w:color w:val="auto"/>
        </w:rPr>
      </w:pPr>
    </w:p>
    <w:p>
      <w:pPr>
        <w:ind w:left="820"/>
        <w:spacing w:after="0"/>
        <w:rPr>
          <w:sz w:val="20"/>
          <w:szCs w:val="20"/>
          <w:color w:val="auto"/>
        </w:rPr>
      </w:pPr>
      <w:r>
        <w:rPr>
          <w:rFonts w:ascii="Arial" w:cs="Arial" w:eastAsia="Arial" w:hAnsi="Arial"/>
          <w:sz w:val="19"/>
          <w:szCs w:val="19"/>
          <w:color w:val="auto"/>
        </w:rPr>
        <w:t>Vested</w:t>
      </w:r>
    </w:p>
    <w:p>
      <w:pPr>
        <w:spacing w:after="0" w:line="1" w:lineRule="exact"/>
        <w:rPr>
          <w:sz w:val="20"/>
          <w:szCs w:val="20"/>
          <w:color w:val="auto"/>
        </w:rPr>
      </w:pPr>
    </w:p>
    <w:p>
      <w:pPr>
        <w:ind w:left="820"/>
        <w:spacing w:after="0"/>
        <w:rPr>
          <w:sz w:val="20"/>
          <w:szCs w:val="20"/>
          <w:color w:val="auto"/>
        </w:rPr>
      </w:pPr>
      <w:r>
        <w:rPr>
          <w:rFonts w:ascii="Arial" w:cs="Arial" w:eastAsia="Arial" w:hAnsi="Arial"/>
          <w:sz w:val="19"/>
          <w:szCs w:val="19"/>
          <w:color w:val="auto"/>
        </w:rPr>
        <w:t>Forfeited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514350</wp:posOffset>
                </wp:positionH>
                <wp:positionV relativeFrom="paragraph">
                  <wp:posOffset>1905</wp:posOffset>
                </wp:positionV>
                <wp:extent cx="5829300" cy="13970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29300" cy="139700"/>
                        </a:xfrm>
                        <a:prstGeom prst="rect">
                          <a:avLst/>
                        </a:prstGeom>
                        <a:solidFill>
                          <a:srgbClr val="D1EDF4"/>
                        </a:solidFill>
                      </wps:spPr>
                      <wps:bodyPr/>
                    </wps:wsp>
                  </a:graphicData>
                </a:graphic>
              </wp:anchor>
            </w:drawing>
          </mc:Choice>
          <mc:Fallback>
            <w:pict>
              <v:rect id="Shape 15" o:spid="_x0000_s1040" style="position:absolute;margin-left:40.5pt;margin-top:0.15pt;width:459pt;height:1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514350</wp:posOffset>
                </wp:positionH>
                <wp:positionV relativeFrom="paragraph">
                  <wp:posOffset>-3810</wp:posOffset>
                </wp:positionV>
                <wp:extent cx="3876675" cy="145415"/>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76675" cy="145415"/>
                        </a:xfrm>
                        <a:prstGeom prst="rect">
                          <a:avLst/>
                        </a:prstGeom>
                        <a:solidFill>
                          <a:srgbClr val="D1EDF4"/>
                        </a:solidFill>
                      </wps:spPr>
                      <wps:bodyPr/>
                    </wps:wsp>
                  </a:graphicData>
                </a:graphic>
              </wp:anchor>
            </w:drawing>
          </mc:Choice>
          <mc:Fallback>
            <w:pict>
              <v:rect id="Shape 16" o:spid="_x0000_s1041" style="position:absolute;margin-left:40.5pt;margin-top:-0.2999pt;width:305.25pt;height:1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w:r>
    </w:p>
    <w:p>
      <w:pPr>
        <w:ind w:left="820"/>
        <w:spacing w:after="0"/>
        <w:rPr>
          <w:sz w:val="20"/>
          <w:szCs w:val="20"/>
          <w:color w:val="auto"/>
        </w:rPr>
      </w:pPr>
      <w:r>
        <w:rPr>
          <w:rFonts w:ascii="Arial" w:cs="Arial" w:eastAsia="Arial" w:hAnsi="Arial"/>
          <w:sz w:val="18"/>
          <w:szCs w:val="18"/>
          <w:color w:val="auto"/>
        </w:rPr>
        <w:t>Outstanding as of January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20"/>
        <w:spacing w:after="0"/>
        <w:rPr>
          <w:sz w:val="20"/>
          <w:szCs w:val="20"/>
          <w:color w:val="auto"/>
        </w:rPr>
      </w:pPr>
      <w:r>
        <w:rPr>
          <w:rFonts w:ascii="Arial" w:cs="Arial" w:eastAsia="Arial" w:hAnsi="Arial"/>
          <w:sz w:val="19"/>
          <w:szCs w:val="19"/>
          <w:color w:val="auto"/>
        </w:rPr>
        <w:t>Outstanding as of February 1,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514350</wp:posOffset>
                </wp:positionH>
                <wp:positionV relativeFrom="paragraph">
                  <wp:posOffset>-131445</wp:posOffset>
                </wp:positionV>
                <wp:extent cx="3876675"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76675" cy="4763"/>
                        </a:xfrm>
                        <a:prstGeom prst="line">
                          <a:avLst/>
                        </a:prstGeom>
                        <a:solidFill>
                          <a:srgbClr val="FFFFFF"/>
                        </a:solidFill>
                        <a:ln w="6095">
                          <a:solidFill>
                            <a:srgbClr val="D1EDF4"/>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5pt,-10.3499pt" to="345.75pt,-10.3499pt" o:allowincell="f" strokecolor="#D1EDF4" strokeweight="0.4799pt"/>
            </w:pict>
          </mc:Fallback>
        </mc:AlternateContent>
      </w:r>
    </w:p>
    <w:p>
      <w:pPr>
        <w:spacing w:after="0" w:line="4" w:lineRule="exact"/>
        <w:rPr>
          <w:sz w:val="20"/>
          <w:szCs w:val="20"/>
          <w:color w:val="auto"/>
        </w:rPr>
      </w:pPr>
    </w:p>
    <w:p>
      <w:pPr>
        <w:ind w:left="820"/>
        <w:spacing w:after="0"/>
        <w:rPr>
          <w:sz w:val="20"/>
          <w:szCs w:val="20"/>
          <w:color w:val="auto"/>
        </w:rPr>
      </w:pPr>
      <w:r>
        <w:rPr>
          <w:rFonts w:ascii="Arial" w:cs="Arial" w:eastAsia="Arial" w:hAnsi="Arial"/>
          <w:sz w:val="19"/>
          <w:szCs w:val="19"/>
          <w:color w:val="auto"/>
        </w:rPr>
        <w:t>Granted</w:t>
      </w:r>
    </w:p>
    <w:p>
      <w:pPr>
        <w:spacing w:after="0" w:line="1" w:lineRule="exact"/>
        <w:rPr>
          <w:sz w:val="20"/>
          <w:szCs w:val="20"/>
          <w:color w:val="auto"/>
        </w:rPr>
      </w:pPr>
    </w:p>
    <w:p>
      <w:pPr>
        <w:ind w:left="820"/>
        <w:spacing w:after="0"/>
        <w:rPr>
          <w:sz w:val="20"/>
          <w:szCs w:val="20"/>
          <w:color w:val="auto"/>
        </w:rPr>
      </w:pPr>
      <w:r>
        <w:rPr>
          <w:rFonts w:ascii="Arial" w:cs="Arial" w:eastAsia="Arial" w:hAnsi="Arial"/>
          <w:sz w:val="19"/>
          <w:szCs w:val="19"/>
          <w:color w:val="auto"/>
        </w:rPr>
        <w:t>Vested</w:t>
      </w:r>
    </w:p>
    <w:p>
      <w:pPr>
        <w:spacing w:after="0" w:line="1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Outstanding as of January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820"/>
        <w:spacing w:after="0"/>
        <w:rPr>
          <w:sz w:val="20"/>
          <w:szCs w:val="20"/>
          <w:color w:val="auto"/>
        </w:rPr>
      </w:pPr>
      <w:r>
        <w:rPr>
          <w:rFonts w:ascii="Arial" w:cs="Arial" w:eastAsia="Arial" w:hAnsi="Arial"/>
          <w:sz w:val="19"/>
          <w:szCs w:val="19"/>
          <w:color w:val="auto"/>
        </w:rPr>
        <w:t>Outstanding as of February 1,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514350</wp:posOffset>
                </wp:positionH>
                <wp:positionV relativeFrom="paragraph">
                  <wp:posOffset>-127635</wp:posOffset>
                </wp:positionV>
                <wp:extent cx="5829300" cy="13843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29300" cy="138430"/>
                        </a:xfrm>
                        <a:prstGeom prst="rect">
                          <a:avLst/>
                        </a:prstGeom>
                        <a:solidFill>
                          <a:srgbClr val="D1EDF4"/>
                        </a:solidFill>
                      </wps:spPr>
                      <wps:bodyPr/>
                    </wps:wsp>
                  </a:graphicData>
                </a:graphic>
              </wp:anchor>
            </w:drawing>
          </mc:Choice>
          <mc:Fallback>
            <w:pict>
              <v:rect id="Shape 18" o:spid="_x0000_s1043" style="position:absolute;margin-left:40.5pt;margin-top:-10.0499pt;width:459pt;height:10.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514350</wp:posOffset>
                </wp:positionH>
                <wp:positionV relativeFrom="paragraph">
                  <wp:posOffset>-133985</wp:posOffset>
                </wp:positionV>
                <wp:extent cx="3876675" cy="14478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76675" cy="144780"/>
                        </a:xfrm>
                        <a:prstGeom prst="rect">
                          <a:avLst/>
                        </a:prstGeom>
                        <a:solidFill>
                          <a:srgbClr val="D1EDF4"/>
                        </a:solidFill>
                      </wps:spPr>
                      <wps:bodyPr/>
                    </wps:wsp>
                  </a:graphicData>
                </a:graphic>
              </wp:anchor>
            </w:drawing>
          </mc:Choice>
          <mc:Fallback>
            <w:pict>
              <v:rect id="Shape 19" o:spid="_x0000_s1044" style="position:absolute;margin-left:40.5pt;margin-top:-10.5499pt;width:305.25pt;height:1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w:r>
    </w:p>
    <w:p>
      <w:pPr>
        <w:spacing w:after="0" w:line="5" w:lineRule="exact"/>
        <w:rPr>
          <w:sz w:val="20"/>
          <w:szCs w:val="20"/>
          <w:color w:val="auto"/>
        </w:rPr>
      </w:pPr>
    </w:p>
    <w:p>
      <w:pPr>
        <w:ind w:left="820"/>
        <w:spacing w:after="0"/>
        <w:rPr>
          <w:sz w:val="20"/>
          <w:szCs w:val="20"/>
          <w:color w:val="auto"/>
        </w:rPr>
      </w:pPr>
      <w:r>
        <w:rPr>
          <w:rFonts w:ascii="Arial" w:cs="Arial" w:eastAsia="Arial" w:hAnsi="Arial"/>
          <w:sz w:val="19"/>
          <w:szCs w:val="19"/>
          <w:color w:val="auto"/>
        </w:rPr>
        <w:t>Granted</w:t>
      </w:r>
    </w:p>
    <w:p>
      <w:pPr>
        <w:spacing w:after="0" w:line="1" w:lineRule="exact"/>
        <w:rPr>
          <w:sz w:val="20"/>
          <w:szCs w:val="20"/>
          <w:color w:val="auto"/>
        </w:rPr>
      </w:pPr>
    </w:p>
    <w:p>
      <w:pPr>
        <w:ind w:left="820"/>
        <w:spacing w:after="0"/>
        <w:rPr>
          <w:sz w:val="20"/>
          <w:szCs w:val="20"/>
          <w:color w:val="auto"/>
        </w:rPr>
      </w:pPr>
      <w:r>
        <w:rPr>
          <w:rFonts w:ascii="Arial" w:cs="Arial" w:eastAsia="Arial" w:hAnsi="Arial"/>
          <w:sz w:val="19"/>
          <w:szCs w:val="19"/>
          <w:color w:val="auto"/>
        </w:rPr>
        <w:t>Vested</w:t>
      </w:r>
    </w:p>
    <w:p>
      <w:pPr>
        <w:spacing w:after="0" w:line="1" w:lineRule="exact"/>
        <w:rPr>
          <w:sz w:val="20"/>
          <w:szCs w:val="20"/>
          <w:color w:val="auto"/>
        </w:rPr>
      </w:pPr>
    </w:p>
    <w:p>
      <w:pPr>
        <w:ind w:left="820"/>
        <w:spacing w:after="0"/>
        <w:rPr>
          <w:sz w:val="20"/>
          <w:szCs w:val="20"/>
          <w:color w:val="auto"/>
        </w:rPr>
      </w:pPr>
      <w:r>
        <w:rPr>
          <w:rFonts w:ascii="Arial" w:cs="Arial" w:eastAsia="Arial" w:hAnsi="Arial"/>
          <w:sz w:val="19"/>
          <w:szCs w:val="19"/>
          <w:color w:val="auto"/>
        </w:rPr>
        <w:t>Forfeited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514350</wp:posOffset>
                </wp:positionH>
                <wp:positionV relativeFrom="paragraph">
                  <wp:posOffset>1905</wp:posOffset>
                </wp:positionV>
                <wp:extent cx="5829300" cy="13970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29300" cy="139700"/>
                        </a:xfrm>
                        <a:prstGeom prst="rect">
                          <a:avLst/>
                        </a:prstGeom>
                        <a:solidFill>
                          <a:srgbClr val="D1EDF4"/>
                        </a:solidFill>
                      </wps:spPr>
                      <wps:bodyPr/>
                    </wps:wsp>
                  </a:graphicData>
                </a:graphic>
              </wp:anchor>
            </w:drawing>
          </mc:Choice>
          <mc:Fallback>
            <w:pict>
              <v:rect id="Shape 20" o:spid="_x0000_s1045" style="position:absolute;margin-left:40.5pt;margin-top:0.15pt;width:459pt;height:1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514350</wp:posOffset>
                </wp:positionH>
                <wp:positionV relativeFrom="paragraph">
                  <wp:posOffset>-3810</wp:posOffset>
                </wp:positionV>
                <wp:extent cx="3876675" cy="145415"/>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76675" cy="145415"/>
                        </a:xfrm>
                        <a:prstGeom prst="rect">
                          <a:avLst/>
                        </a:prstGeom>
                        <a:solidFill>
                          <a:srgbClr val="D1EDF4"/>
                        </a:solidFill>
                      </wps:spPr>
                      <wps:bodyPr/>
                    </wps:wsp>
                  </a:graphicData>
                </a:graphic>
              </wp:anchor>
            </w:drawing>
          </mc:Choice>
          <mc:Fallback>
            <w:pict>
              <v:rect id="Shape 21" o:spid="_x0000_s1046" style="position:absolute;margin-left:40.5pt;margin-top:-0.2999pt;width:305.25pt;height:1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w:r>
    </w:p>
    <w:p>
      <w:pPr>
        <w:ind w:left="820"/>
        <w:spacing w:after="0"/>
        <w:rPr>
          <w:sz w:val="20"/>
          <w:szCs w:val="20"/>
          <w:color w:val="auto"/>
        </w:rPr>
      </w:pPr>
      <w:r>
        <w:rPr>
          <w:rFonts w:ascii="Arial" w:cs="Arial" w:eastAsia="Arial" w:hAnsi="Arial"/>
          <w:sz w:val="18"/>
          <w:szCs w:val="18"/>
          <w:color w:val="auto"/>
        </w:rPr>
        <w:t>Outstanding as of January 31, 2026</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Time-Based Restricted Stock</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gridSpan w:val="2"/>
          </w:tcPr>
          <w:p>
            <w:pPr>
              <w:jc w:val="center"/>
              <w:spacing w:after="0" w:line="158" w:lineRule="exact"/>
              <w:rPr>
                <w:sz w:val="20"/>
                <w:szCs w:val="20"/>
                <w:color w:val="auto"/>
              </w:rPr>
            </w:pPr>
            <w:r>
              <w:rPr>
                <w:rFonts w:ascii="Arial" w:cs="Arial" w:eastAsia="Arial" w:hAnsi="Arial"/>
                <w:sz w:val="16"/>
                <w:szCs w:val="16"/>
                <w:b w:val="1"/>
                <w:bCs w:val="1"/>
                <w:color w:val="auto"/>
                <w:w w:val="98"/>
              </w:rPr>
              <w:t>Weighted Average</w:t>
            </w:r>
          </w:p>
        </w:tc>
      </w:tr>
      <w:tr>
        <w:trPr>
          <w:trHeight w:val="185"/>
        </w:trPr>
        <w:tc>
          <w:tcPr>
            <w:tcW w:w="20" w:type="dxa"/>
            <w:vAlign w:val="bottom"/>
          </w:tcPr>
          <w:p>
            <w:pPr>
              <w:spacing w:after="0"/>
              <w:rPr>
                <w:sz w:val="16"/>
                <w:szCs w:val="16"/>
                <w:color w:val="auto"/>
              </w:rPr>
            </w:pPr>
          </w:p>
        </w:tc>
        <w:tc>
          <w:tcPr>
            <w:tcW w:w="158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rPr>
              <w:t>Nonvested</w:t>
            </w:r>
          </w:p>
        </w:tc>
        <w:tc>
          <w:tcPr>
            <w:tcW w:w="220" w:type="dxa"/>
            <w:vAlign w:val="bottom"/>
          </w:tcPr>
          <w:p>
            <w:pPr>
              <w:spacing w:after="0"/>
              <w:rPr>
                <w:sz w:val="16"/>
                <w:szCs w:val="16"/>
                <w:color w:val="auto"/>
              </w:rPr>
            </w:pPr>
          </w:p>
        </w:tc>
        <w:tc>
          <w:tcPr>
            <w:tcW w:w="1280" w:type="dxa"/>
            <w:vAlign w:val="bottom"/>
          </w:tcPr>
          <w:p>
            <w:pPr>
              <w:jc w:val="center"/>
              <w:ind w:right="129"/>
              <w:spacing w:after="0"/>
              <w:rPr>
                <w:sz w:val="20"/>
                <w:szCs w:val="20"/>
                <w:color w:val="auto"/>
              </w:rPr>
            </w:pPr>
            <w:r>
              <w:rPr>
                <w:rFonts w:ascii="Arial" w:cs="Arial" w:eastAsia="Arial" w:hAnsi="Arial"/>
                <w:sz w:val="16"/>
                <w:szCs w:val="16"/>
                <w:b w:val="1"/>
                <w:bCs w:val="1"/>
                <w:color w:val="auto"/>
              </w:rPr>
              <w:t>Grant Date</w:t>
            </w:r>
          </w:p>
        </w:tc>
      </w:tr>
      <w:tr>
        <w:trPr>
          <w:trHeight w:val="203"/>
        </w:trPr>
        <w:tc>
          <w:tcPr>
            <w:tcW w:w="20" w:type="dxa"/>
            <w:vAlign w:val="bottom"/>
          </w:tcPr>
          <w:p>
            <w:pPr>
              <w:spacing w:after="0"/>
              <w:rPr>
                <w:sz w:val="17"/>
                <w:szCs w:val="17"/>
                <w:color w:val="auto"/>
              </w:rPr>
            </w:pPr>
          </w:p>
        </w:tc>
        <w:tc>
          <w:tcPr>
            <w:tcW w:w="158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rPr>
              <w:t>Shares</w:t>
            </w:r>
          </w:p>
        </w:tc>
        <w:tc>
          <w:tcPr>
            <w:tcW w:w="220" w:type="dxa"/>
            <w:vAlign w:val="bottom"/>
          </w:tcPr>
          <w:p>
            <w:pPr>
              <w:spacing w:after="0"/>
              <w:rPr>
                <w:sz w:val="17"/>
                <w:szCs w:val="17"/>
                <w:color w:val="auto"/>
              </w:rPr>
            </w:pPr>
          </w:p>
        </w:tc>
        <w:tc>
          <w:tcPr>
            <w:tcW w:w="1280" w:type="dxa"/>
            <w:vAlign w:val="bottom"/>
          </w:tcPr>
          <w:p>
            <w:pPr>
              <w:jc w:val="center"/>
              <w:ind w:right="149"/>
              <w:spacing w:after="0"/>
              <w:rPr>
                <w:sz w:val="20"/>
                <w:szCs w:val="20"/>
                <w:color w:val="auto"/>
              </w:rPr>
            </w:pPr>
            <w:r>
              <w:rPr>
                <w:rFonts w:ascii="Arial" w:cs="Arial" w:eastAsia="Arial" w:hAnsi="Arial"/>
                <w:sz w:val="16"/>
                <w:szCs w:val="16"/>
                <w:b w:val="1"/>
                <w:bCs w:val="1"/>
                <w:color w:val="auto"/>
                <w:w w:val="99"/>
              </w:rPr>
              <w:t>Fair Value</w:t>
            </w:r>
          </w:p>
        </w:tc>
      </w:tr>
      <w:tr>
        <w:trPr>
          <w:trHeight w:val="189"/>
        </w:trPr>
        <w:tc>
          <w:tcPr>
            <w:tcW w:w="20" w:type="dxa"/>
            <w:vAlign w:val="bottom"/>
          </w:tcPr>
          <w:p>
            <w:pPr>
              <w:spacing w:after="0"/>
              <w:rPr>
                <w:sz w:val="16"/>
                <w:szCs w:val="16"/>
                <w:color w:val="auto"/>
              </w:rPr>
            </w:pPr>
          </w:p>
        </w:tc>
        <w:tc>
          <w:tcPr>
            <w:tcW w:w="1300" w:type="dxa"/>
            <w:vAlign w:val="bottom"/>
            <w:tcBorders>
              <w:top w:val="single" w:sz="8" w:color="auto"/>
            </w:tcBorders>
          </w:tcPr>
          <w:p>
            <w:pPr>
              <w:jc w:val="right"/>
              <w:spacing w:after="0" w:line="185" w:lineRule="exact"/>
              <w:rPr>
                <w:sz w:val="20"/>
                <w:szCs w:val="20"/>
                <w:color w:val="auto"/>
              </w:rPr>
            </w:pPr>
            <w:r>
              <w:rPr>
                <w:rFonts w:ascii="Arial" w:cs="Arial" w:eastAsia="Arial" w:hAnsi="Arial"/>
                <w:sz w:val="19"/>
                <w:szCs w:val="19"/>
                <w:color w:val="auto"/>
              </w:rPr>
              <w:t>334,083</w:t>
            </w:r>
          </w:p>
        </w:tc>
        <w:tc>
          <w:tcPr>
            <w:tcW w:w="20" w:type="dxa"/>
            <w:vAlign w:val="bottom"/>
            <w:tcBorders>
              <w:top w:val="single" w:sz="8" w:color="D1EDF4"/>
              <w:bottom w:val="single" w:sz="8" w:color="D1EDF4"/>
            </w:tcBorders>
          </w:tcPr>
          <w:p>
            <w:pPr>
              <w:spacing w:after="0"/>
              <w:rPr>
                <w:sz w:val="16"/>
                <w:szCs w:val="16"/>
                <w:color w:val="auto"/>
              </w:rPr>
            </w:pPr>
          </w:p>
        </w:tc>
        <w:tc>
          <w:tcPr>
            <w:tcW w:w="260" w:type="dxa"/>
            <w:vAlign w:val="bottom"/>
            <w:tcBorders>
              <w:top w:val="single" w:sz="8" w:color="D1EDF4"/>
              <w:bottom w:val="single" w:sz="8" w:color="D1EDF4"/>
            </w:tcBorders>
          </w:tcPr>
          <w:p>
            <w:pPr>
              <w:spacing w:after="0"/>
              <w:rPr>
                <w:sz w:val="16"/>
                <w:szCs w:val="16"/>
                <w:color w:val="auto"/>
              </w:rPr>
            </w:pPr>
          </w:p>
        </w:tc>
        <w:tc>
          <w:tcPr>
            <w:tcW w:w="220" w:type="dxa"/>
            <w:vAlign w:val="bottom"/>
            <w:tcBorders>
              <w:top w:val="single" w:sz="8" w:color="auto"/>
            </w:tcBorders>
          </w:tcPr>
          <w:p>
            <w:pPr>
              <w:jc w:val="right"/>
              <w:ind w:right="8"/>
              <w:spacing w:after="0" w:line="185" w:lineRule="exact"/>
              <w:rPr>
                <w:sz w:val="20"/>
                <w:szCs w:val="20"/>
                <w:color w:val="auto"/>
              </w:rPr>
            </w:pPr>
            <w:r>
              <w:rPr>
                <w:rFonts w:ascii="Arial" w:cs="Arial" w:eastAsia="Arial" w:hAnsi="Arial"/>
                <w:sz w:val="19"/>
                <w:szCs w:val="19"/>
                <w:color w:val="auto"/>
                <w:w w:val="94"/>
              </w:rPr>
              <w:t>$</w:t>
            </w:r>
          </w:p>
        </w:tc>
        <w:tc>
          <w:tcPr>
            <w:tcW w:w="1280" w:type="dxa"/>
            <w:vAlign w:val="bottom"/>
            <w:tcBorders>
              <w:top w:val="single" w:sz="8" w:color="auto"/>
            </w:tcBorders>
          </w:tcPr>
          <w:p>
            <w:pPr>
              <w:jc w:val="right"/>
              <w:spacing w:after="0" w:line="185" w:lineRule="exact"/>
              <w:rPr>
                <w:sz w:val="20"/>
                <w:szCs w:val="20"/>
                <w:color w:val="auto"/>
              </w:rPr>
            </w:pPr>
            <w:r>
              <w:rPr>
                <w:rFonts w:ascii="Arial" w:cs="Arial" w:eastAsia="Arial" w:hAnsi="Arial"/>
                <w:sz w:val="19"/>
                <w:szCs w:val="19"/>
                <w:color w:val="auto"/>
              </w:rPr>
              <w:t>20.15</w:t>
            </w:r>
          </w:p>
        </w:tc>
      </w:tr>
      <w:tr>
        <w:trPr>
          <w:trHeight w:val="203"/>
        </w:trPr>
        <w:tc>
          <w:tcPr>
            <w:tcW w:w="2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Arial" w:cs="Arial" w:eastAsia="Arial" w:hAnsi="Arial"/>
                <w:sz w:val="19"/>
                <w:szCs w:val="19"/>
                <w:color w:val="auto"/>
              </w:rPr>
              <w:t>64,468</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jc w:val="right"/>
              <w:ind w:right="8"/>
              <w:spacing w:after="0" w:line="203" w:lineRule="exact"/>
              <w:rPr>
                <w:sz w:val="20"/>
                <w:szCs w:val="20"/>
                <w:color w:val="auto"/>
              </w:rPr>
            </w:pPr>
            <w:r>
              <w:rPr>
                <w:rFonts w:ascii="Arial" w:cs="Arial" w:eastAsia="Arial" w:hAnsi="Arial"/>
                <w:sz w:val="19"/>
                <w:szCs w:val="19"/>
                <w:color w:val="auto"/>
                <w:w w:val="94"/>
              </w:rPr>
              <w:t>$</w:t>
            </w:r>
          </w:p>
        </w:tc>
        <w:tc>
          <w:tcPr>
            <w:tcW w:w="1280" w:type="dxa"/>
            <w:vAlign w:val="bottom"/>
          </w:tcPr>
          <w:p>
            <w:pPr>
              <w:jc w:val="right"/>
              <w:spacing w:after="0" w:line="203" w:lineRule="exact"/>
              <w:rPr>
                <w:sz w:val="20"/>
                <w:szCs w:val="20"/>
                <w:color w:val="auto"/>
              </w:rPr>
            </w:pPr>
            <w:r>
              <w:rPr>
                <w:rFonts w:ascii="Arial" w:cs="Arial" w:eastAsia="Arial" w:hAnsi="Arial"/>
                <w:sz w:val="19"/>
                <w:szCs w:val="19"/>
                <w:color w:val="auto"/>
              </w:rPr>
              <w:t>25.62</w:t>
            </w:r>
          </w:p>
        </w:tc>
      </w:tr>
      <w:tr>
        <w:trPr>
          <w:trHeight w:val="216"/>
        </w:trPr>
        <w:tc>
          <w:tcPr>
            <w:tcW w:w="20" w:type="dxa"/>
            <w:vAlign w:val="bottom"/>
          </w:tcPr>
          <w:p>
            <w:pPr>
              <w:spacing w:after="0"/>
              <w:rPr>
                <w:sz w:val="18"/>
                <w:szCs w:val="18"/>
                <w:color w:val="auto"/>
              </w:rPr>
            </w:pPr>
          </w:p>
        </w:tc>
        <w:tc>
          <w:tcPr>
            <w:tcW w:w="1320" w:type="dxa"/>
            <w:vAlign w:val="bottom"/>
            <w:gridSpan w:val="2"/>
          </w:tcPr>
          <w:p>
            <w:pPr>
              <w:jc w:val="right"/>
              <w:ind w:right="20"/>
              <w:spacing w:after="0" w:line="213" w:lineRule="exact"/>
              <w:rPr>
                <w:sz w:val="20"/>
                <w:szCs w:val="20"/>
                <w:color w:val="auto"/>
              </w:rPr>
            </w:pPr>
            <w:r>
              <w:rPr>
                <w:rFonts w:ascii="Arial" w:cs="Arial" w:eastAsia="Arial" w:hAnsi="Arial"/>
                <w:sz w:val="19"/>
                <w:szCs w:val="19"/>
                <w:color w:val="auto"/>
              </w:rPr>
              <w:t>(151,716)</w:t>
            </w:r>
          </w:p>
        </w:tc>
        <w:tc>
          <w:tcPr>
            <w:tcW w:w="260" w:type="dxa"/>
            <w:vAlign w:val="bottom"/>
            <w:tcBorders>
              <w:bottom w:val="single" w:sz="8" w:color="D1EDF4"/>
            </w:tcBorders>
          </w:tcPr>
          <w:p>
            <w:pPr>
              <w:spacing w:after="0"/>
              <w:rPr>
                <w:sz w:val="18"/>
                <w:szCs w:val="18"/>
                <w:color w:val="auto"/>
              </w:rPr>
            </w:pPr>
          </w:p>
        </w:tc>
        <w:tc>
          <w:tcPr>
            <w:tcW w:w="220" w:type="dxa"/>
            <w:vAlign w:val="bottom"/>
          </w:tcPr>
          <w:p>
            <w:pPr>
              <w:jc w:val="right"/>
              <w:ind w:right="8"/>
              <w:spacing w:after="0" w:line="213" w:lineRule="exact"/>
              <w:rPr>
                <w:sz w:val="20"/>
                <w:szCs w:val="20"/>
                <w:color w:val="auto"/>
              </w:rPr>
            </w:pPr>
            <w:r>
              <w:rPr>
                <w:rFonts w:ascii="Arial" w:cs="Arial" w:eastAsia="Arial" w:hAnsi="Arial"/>
                <w:sz w:val="19"/>
                <w:szCs w:val="19"/>
                <w:color w:val="auto"/>
                <w:w w:val="94"/>
              </w:rPr>
              <w:t>$</w:t>
            </w:r>
          </w:p>
        </w:tc>
        <w:tc>
          <w:tcPr>
            <w:tcW w:w="1280" w:type="dxa"/>
            <w:vAlign w:val="bottom"/>
          </w:tcPr>
          <w:p>
            <w:pPr>
              <w:jc w:val="right"/>
              <w:spacing w:after="0" w:line="213" w:lineRule="exact"/>
              <w:rPr>
                <w:sz w:val="20"/>
                <w:szCs w:val="20"/>
                <w:color w:val="auto"/>
              </w:rPr>
            </w:pPr>
            <w:r>
              <w:rPr>
                <w:rFonts w:ascii="Arial" w:cs="Arial" w:eastAsia="Arial" w:hAnsi="Arial"/>
                <w:sz w:val="19"/>
                <w:szCs w:val="19"/>
                <w:color w:val="auto"/>
              </w:rPr>
              <w:t>21.21</w:t>
            </w:r>
          </w:p>
        </w:tc>
      </w:tr>
      <w:tr>
        <w:trPr>
          <w:trHeight w:val="220"/>
        </w:trPr>
        <w:tc>
          <w:tcPr>
            <w:tcW w:w="2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9"/>
                <w:szCs w:val="19"/>
                <w:color w:val="auto"/>
              </w:rPr>
              <w:t>(26,464)</w:t>
            </w:r>
          </w:p>
        </w:tc>
        <w:tc>
          <w:tcPr>
            <w:tcW w:w="260" w:type="dxa"/>
            <w:vAlign w:val="bottom"/>
          </w:tcPr>
          <w:p>
            <w:pPr>
              <w:spacing w:after="0"/>
              <w:rPr>
                <w:sz w:val="19"/>
                <w:szCs w:val="19"/>
                <w:color w:val="auto"/>
              </w:rPr>
            </w:pPr>
          </w:p>
        </w:tc>
        <w:tc>
          <w:tcPr>
            <w:tcW w:w="220" w:type="dxa"/>
            <w:vAlign w:val="bottom"/>
          </w:tcPr>
          <w:p>
            <w:pPr>
              <w:jc w:val="right"/>
              <w:ind w:right="8"/>
              <w:spacing w:after="0"/>
              <w:rPr>
                <w:sz w:val="20"/>
                <w:szCs w:val="20"/>
                <w:color w:val="auto"/>
              </w:rPr>
            </w:pPr>
            <w:r>
              <w:rPr>
                <w:rFonts w:ascii="Arial" w:cs="Arial" w:eastAsia="Arial" w:hAnsi="Arial"/>
                <w:sz w:val="19"/>
                <w:szCs w:val="19"/>
                <w:color w:val="auto"/>
                <w:w w:val="94"/>
              </w:rPr>
              <w:t>$</w:t>
            </w:r>
          </w:p>
        </w:tc>
        <w:tc>
          <w:tcPr>
            <w:tcW w:w="1280" w:type="dxa"/>
            <w:vAlign w:val="bottom"/>
          </w:tcPr>
          <w:p>
            <w:pPr>
              <w:jc w:val="right"/>
              <w:spacing w:after="0"/>
              <w:rPr>
                <w:sz w:val="20"/>
                <w:szCs w:val="20"/>
                <w:color w:val="auto"/>
              </w:rPr>
            </w:pPr>
            <w:r>
              <w:rPr>
                <w:rFonts w:ascii="Arial" w:cs="Arial" w:eastAsia="Arial" w:hAnsi="Arial"/>
                <w:sz w:val="19"/>
                <w:szCs w:val="19"/>
                <w:color w:val="auto"/>
              </w:rPr>
              <w:t>19.66</w:t>
            </w:r>
          </w:p>
        </w:tc>
      </w:tr>
      <w:tr>
        <w:trPr>
          <w:trHeight w:val="219"/>
        </w:trPr>
        <w:tc>
          <w:tcPr>
            <w:tcW w:w="20" w:type="dxa"/>
            <w:vAlign w:val="bottom"/>
            <w:tcBorders>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line="185" w:lineRule="exact"/>
              <w:rPr>
                <w:sz w:val="20"/>
                <w:szCs w:val="20"/>
                <w:color w:val="auto"/>
              </w:rPr>
            </w:pPr>
            <w:r>
              <w:rPr>
                <w:rFonts w:ascii="Arial" w:cs="Arial" w:eastAsia="Arial" w:hAnsi="Arial"/>
                <w:sz w:val="19"/>
                <w:szCs w:val="19"/>
                <w:color w:val="auto"/>
              </w:rPr>
              <w:t>220,371</w:t>
            </w:r>
          </w:p>
        </w:tc>
        <w:tc>
          <w:tcPr>
            <w:tcW w:w="20" w:type="dxa"/>
            <w:vAlign w:val="bottom"/>
            <w:tcBorders>
              <w:top w:val="single" w:sz="8" w:color="D1EDF4"/>
              <w:bottom w:val="single" w:sz="8" w:color="D1EDF4"/>
            </w:tcBorders>
          </w:tcPr>
          <w:p>
            <w:pPr>
              <w:spacing w:after="0"/>
              <w:rPr>
                <w:sz w:val="19"/>
                <w:szCs w:val="19"/>
                <w:color w:val="auto"/>
              </w:rPr>
            </w:pPr>
          </w:p>
        </w:tc>
        <w:tc>
          <w:tcPr>
            <w:tcW w:w="260" w:type="dxa"/>
            <w:vAlign w:val="bottom"/>
            <w:tcBorders>
              <w:top w:val="single" w:sz="8" w:color="D1EDF4"/>
              <w:bottom w:val="single" w:sz="8" w:color="D1EDF4"/>
            </w:tcBorders>
          </w:tcPr>
          <w:p>
            <w:pPr>
              <w:spacing w:after="0"/>
              <w:rPr>
                <w:sz w:val="19"/>
                <w:szCs w:val="19"/>
                <w:color w:val="auto"/>
              </w:rPr>
            </w:pPr>
          </w:p>
        </w:tc>
        <w:tc>
          <w:tcPr>
            <w:tcW w:w="220" w:type="dxa"/>
            <w:vAlign w:val="bottom"/>
            <w:tcBorders>
              <w:top w:val="single" w:sz="8" w:color="D1EDF4"/>
            </w:tcBorders>
          </w:tcPr>
          <w:p>
            <w:pPr>
              <w:jc w:val="right"/>
              <w:ind w:right="8"/>
              <w:spacing w:after="0" w:line="185" w:lineRule="exact"/>
              <w:rPr>
                <w:sz w:val="20"/>
                <w:szCs w:val="20"/>
                <w:color w:val="auto"/>
              </w:rPr>
            </w:pPr>
            <w:r>
              <w:rPr>
                <w:rFonts w:ascii="Arial" w:cs="Arial" w:eastAsia="Arial" w:hAnsi="Arial"/>
                <w:sz w:val="19"/>
                <w:szCs w:val="19"/>
                <w:color w:val="auto"/>
                <w:w w:val="94"/>
              </w:rPr>
              <w:t>$</w:t>
            </w:r>
          </w:p>
        </w:tc>
        <w:tc>
          <w:tcPr>
            <w:tcW w:w="1280" w:type="dxa"/>
            <w:vAlign w:val="bottom"/>
            <w:tcBorders>
              <w:top w:val="single" w:sz="8" w:color="D1EDF4"/>
            </w:tcBorders>
          </w:tcPr>
          <w:p>
            <w:pPr>
              <w:jc w:val="right"/>
              <w:spacing w:after="0" w:line="185" w:lineRule="exact"/>
              <w:rPr>
                <w:sz w:val="20"/>
                <w:szCs w:val="20"/>
                <w:color w:val="auto"/>
              </w:rPr>
            </w:pPr>
            <w:r>
              <w:rPr>
                <w:rFonts w:ascii="Arial" w:cs="Arial" w:eastAsia="Arial" w:hAnsi="Arial"/>
                <w:sz w:val="19"/>
                <w:szCs w:val="19"/>
                <w:color w:val="auto"/>
              </w:rPr>
              <w:t>21.07</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-3867150</wp:posOffset>
                </wp:positionH>
                <wp:positionV relativeFrom="paragraph">
                  <wp:posOffset>-443230</wp:posOffset>
                </wp:positionV>
                <wp:extent cx="5829300" cy="13970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29300" cy="139700"/>
                        </a:xfrm>
                        <a:prstGeom prst="rect">
                          <a:avLst/>
                        </a:prstGeom>
                        <a:solidFill>
                          <a:srgbClr val="D1EDF4"/>
                        </a:solidFill>
                      </wps:spPr>
                      <wps:bodyPr/>
                    </wps:wsp>
                  </a:graphicData>
                </a:graphic>
              </wp:anchor>
            </w:drawing>
          </mc:Choice>
          <mc:Fallback>
            <w:pict>
              <v:rect id="Shape 22" o:spid="_x0000_s1047" style="position:absolute;margin-left:-304.4999pt;margin-top:-34.8999pt;width:459pt;height:1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6"/>
          <w:szCs w:val="16"/>
          <w:b w:val="1"/>
          <w:bCs w:val="1"/>
          <w:u w:val="single" w:color="auto"/>
          <w:color w:val="auto"/>
        </w:rPr>
        <w:t>Performance-Based Restricted Stock</w:t>
      </w:r>
    </w:p>
    <w:p>
      <w:pPr>
        <w:spacing w:after="0" w:line="36" w:lineRule="exact"/>
        <w:rPr>
          <w:sz w:val="20"/>
          <w:szCs w:val="20"/>
          <w:color w:val="auto"/>
        </w:rPr>
      </w:pPr>
    </w:p>
    <w:p>
      <w:pPr>
        <w:ind w:left="1640"/>
        <w:spacing w:after="0"/>
        <w:rPr>
          <w:sz w:val="20"/>
          <w:szCs w:val="20"/>
          <w:color w:val="auto"/>
        </w:rPr>
      </w:pPr>
      <w:r>
        <w:rPr>
          <w:rFonts w:ascii="Arial" w:cs="Arial" w:eastAsia="Arial" w:hAnsi="Arial"/>
          <w:sz w:val="16"/>
          <w:szCs w:val="16"/>
          <w:b w:val="1"/>
          <w:bCs w:val="1"/>
          <w:color w:val="auto"/>
        </w:rPr>
        <w:t>Weighted Average</w:t>
      </w: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580" w:type="dxa"/>
            <w:vAlign w:val="bottom"/>
            <w:gridSpan w:val="2"/>
          </w:tcPr>
          <w:p>
            <w:pPr>
              <w:jc w:val="right"/>
              <w:ind w:right="520"/>
              <w:spacing w:after="0" w:line="161" w:lineRule="exact"/>
              <w:rPr>
                <w:sz w:val="20"/>
                <w:szCs w:val="20"/>
                <w:color w:val="auto"/>
              </w:rPr>
            </w:pPr>
            <w:r>
              <w:rPr>
                <w:rFonts w:ascii="Arial" w:cs="Arial" w:eastAsia="Arial" w:hAnsi="Arial"/>
                <w:sz w:val="16"/>
                <w:szCs w:val="16"/>
                <w:b w:val="1"/>
                <w:bCs w:val="1"/>
                <w:color w:val="auto"/>
              </w:rPr>
              <w:t>Nonvested</w:t>
            </w:r>
          </w:p>
        </w:tc>
        <w:tc>
          <w:tcPr>
            <w:tcW w:w="220" w:type="dxa"/>
            <w:vAlign w:val="bottom"/>
          </w:tcPr>
          <w:p>
            <w:pPr>
              <w:spacing w:after="0"/>
              <w:rPr>
                <w:sz w:val="14"/>
                <w:szCs w:val="14"/>
                <w:color w:val="auto"/>
              </w:rPr>
            </w:pPr>
          </w:p>
        </w:tc>
        <w:tc>
          <w:tcPr>
            <w:tcW w:w="1280" w:type="dxa"/>
            <w:vAlign w:val="bottom"/>
          </w:tcPr>
          <w:p>
            <w:pPr>
              <w:jc w:val="right"/>
              <w:ind w:right="250"/>
              <w:spacing w:after="0" w:line="161" w:lineRule="exact"/>
              <w:rPr>
                <w:sz w:val="20"/>
                <w:szCs w:val="20"/>
                <w:color w:val="auto"/>
              </w:rPr>
            </w:pPr>
            <w:r>
              <w:rPr>
                <w:rFonts w:ascii="Arial" w:cs="Arial" w:eastAsia="Arial" w:hAnsi="Arial"/>
                <w:sz w:val="16"/>
                <w:szCs w:val="16"/>
                <w:b w:val="1"/>
                <w:bCs w:val="1"/>
                <w:color w:val="auto"/>
              </w:rPr>
              <w:t>Grant Date</w:t>
            </w:r>
          </w:p>
        </w:tc>
      </w:tr>
      <w:tr>
        <w:trPr>
          <w:trHeight w:val="203"/>
        </w:trPr>
        <w:tc>
          <w:tcPr>
            <w:tcW w:w="20" w:type="dxa"/>
            <w:vAlign w:val="bottom"/>
          </w:tcPr>
          <w:p>
            <w:pPr>
              <w:spacing w:after="0"/>
              <w:rPr>
                <w:sz w:val="17"/>
                <w:szCs w:val="17"/>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6"/>
                <w:szCs w:val="16"/>
                <w:b w:val="1"/>
                <w:bCs w:val="1"/>
                <w:color w:val="auto"/>
              </w:rPr>
              <w:t>Shares</w:t>
            </w:r>
          </w:p>
        </w:tc>
        <w:tc>
          <w:tcPr>
            <w:tcW w:w="220" w:type="dxa"/>
            <w:vAlign w:val="bottom"/>
          </w:tcPr>
          <w:p>
            <w:pPr>
              <w:spacing w:after="0"/>
              <w:rPr>
                <w:sz w:val="17"/>
                <w:szCs w:val="17"/>
                <w:color w:val="auto"/>
              </w:rPr>
            </w:pPr>
          </w:p>
        </w:tc>
        <w:tc>
          <w:tcPr>
            <w:tcW w:w="1280" w:type="dxa"/>
            <w:vAlign w:val="bottom"/>
          </w:tcPr>
          <w:p>
            <w:pPr>
              <w:jc w:val="right"/>
              <w:ind w:right="290"/>
              <w:spacing w:after="0"/>
              <w:rPr>
                <w:sz w:val="20"/>
                <w:szCs w:val="20"/>
                <w:color w:val="auto"/>
              </w:rPr>
            </w:pPr>
            <w:r>
              <w:rPr>
                <w:rFonts w:ascii="Arial" w:cs="Arial" w:eastAsia="Arial" w:hAnsi="Arial"/>
                <w:sz w:val="16"/>
                <w:szCs w:val="16"/>
                <w:b w:val="1"/>
                <w:bCs w:val="1"/>
                <w:color w:val="auto"/>
              </w:rPr>
              <w:t>Fair Value</w:t>
            </w:r>
          </w:p>
        </w:tc>
      </w:tr>
      <w:tr>
        <w:trPr>
          <w:trHeight w:val="190"/>
        </w:trPr>
        <w:tc>
          <w:tcPr>
            <w:tcW w:w="20" w:type="dxa"/>
            <w:vAlign w:val="bottom"/>
          </w:tcPr>
          <w:p>
            <w:pPr>
              <w:spacing w:after="0"/>
              <w:rPr>
                <w:sz w:val="16"/>
                <w:szCs w:val="16"/>
                <w:color w:val="auto"/>
              </w:rPr>
            </w:pPr>
          </w:p>
        </w:tc>
        <w:tc>
          <w:tcPr>
            <w:tcW w:w="1300" w:type="dxa"/>
            <w:vAlign w:val="bottom"/>
            <w:tcBorders>
              <w:top w:val="single" w:sz="8" w:color="auto"/>
            </w:tcBorders>
          </w:tcPr>
          <w:p>
            <w:pPr>
              <w:jc w:val="right"/>
              <w:spacing w:after="0" w:line="186" w:lineRule="exact"/>
              <w:rPr>
                <w:sz w:val="20"/>
                <w:szCs w:val="20"/>
                <w:color w:val="auto"/>
              </w:rPr>
            </w:pPr>
            <w:r>
              <w:rPr>
                <w:rFonts w:ascii="Arial" w:cs="Arial" w:eastAsia="Arial" w:hAnsi="Arial"/>
                <w:sz w:val="19"/>
                <w:szCs w:val="19"/>
                <w:color w:val="auto"/>
              </w:rPr>
              <w:t>321,502</w:t>
            </w:r>
          </w:p>
        </w:tc>
        <w:tc>
          <w:tcPr>
            <w:tcW w:w="280" w:type="dxa"/>
            <w:vAlign w:val="bottom"/>
            <w:tcBorders>
              <w:top w:val="single" w:sz="8" w:color="D1EDF4"/>
              <w:bottom w:val="single" w:sz="8" w:color="D1EDF4"/>
            </w:tcBorders>
          </w:tcPr>
          <w:p>
            <w:pPr>
              <w:spacing w:after="0"/>
              <w:rPr>
                <w:sz w:val="16"/>
                <w:szCs w:val="16"/>
                <w:color w:val="auto"/>
              </w:rPr>
            </w:pPr>
          </w:p>
        </w:tc>
        <w:tc>
          <w:tcPr>
            <w:tcW w:w="220" w:type="dxa"/>
            <w:vAlign w:val="bottom"/>
            <w:tcBorders>
              <w:top w:val="single" w:sz="8" w:color="auto"/>
            </w:tcBorders>
          </w:tcPr>
          <w:p>
            <w:pPr>
              <w:jc w:val="right"/>
              <w:ind w:right="25"/>
              <w:spacing w:after="0" w:line="186" w:lineRule="exact"/>
              <w:rPr>
                <w:sz w:val="20"/>
                <w:szCs w:val="20"/>
                <w:color w:val="auto"/>
              </w:rPr>
            </w:pPr>
            <w:r>
              <w:rPr>
                <w:rFonts w:ascii="Arial" w:cs="Arial" w:eastAsia="Arial" w:hAnsi="Arial"/>
                <w:sz w:val="19"/>
                <w:szCs w:val="19"/>
                <w:color w:val="auto"/>
                <w:w w:val="75"/>
              </w:rPr>
              <w:t>$</w:t>
            </w:r>
          </w:p>
        </w:tc>
        <w:tc>
          <w:tcPr>
            <w:tcW w:w="1280" w:type="dxa"/>
            <w:vAlign w:val="bottom"/>
            <w:tcBorders>
              <w:top w:val="single" w:sz="8" w:color="auto"/>
            </w:tcBorders>
          </w:tcPr>
          <w:p>
            <w:pPr>
              <w:jc w:val="right"/>
              <w:spacing w:after="0" w:line="186" w:lineRule="exact"/>
              <w:rPr>
                <w:sz w:val="20"/>
                <w:szCs w:val="20"/>
                <w:color w:val="auto"/>
              </w:rPr>
            </w:pPr>
            <w:r>
              <w:rPr>
                <w:rFonts w:ascii="Arial" w:cs="Arial" w:eastAsia="Arial" w:hAnsi="Arial"/>
                <w:sz w:val="19"/>
                <w:szCs w:val="19"/>
                <w:color w:val="auto"/>
              </w:rPr>
              <w:t>10.45</w:t>
            </w:r>
          </w:p>
        </w:tc>
      </w:tr>
      <w:tr>
        <w:trPr>
          <w:trHeight w:val="202"/>
        </w:trPr>
        <w:tc>
          <w:tcPr>
            <w:tcW w:w="2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9"/>
                <w:szCs w:val="19"/>
                <w:color w:val="auto"/>
              </w:rPr>
              <w:t>—</w:t>
            </w:r>
          </w:p>
        </w:tc>
        <w:tc>
          <w:tcPr>
            <w:tcW w:w="280" w:type="dxa"/>
            <w:vAlign w:val="bottom"/>
          </w:tcPr>
          <w:p>
            <w:pPr>
              <w:spacing w:after="0"/>
              <w:rPr>
                <w:sz w:val="17"/>
                <w:szCs w:val="17"/>
                <w:color w:val="auto"/>
              </w:rPr>
            </w:pPr>
          </w:p>
        </w:tc>
        <w:tc>
          <w:tcPr>
            <w:tcW w:w="220" w:type="dxa"/>
            <w:vAlign w:val="bottom"/>
          </w:tcPr>
          <w:p>
            <w:pPr>
              <w:jc w:val="right"/>
              <w:ind w:right="25"/>
              <w:spacing w:after="0" w:line="202" w:lineRule="exact"/>
              <w:rPr>
                <w:sz w:val="20"/>
                <w:szCs w:val="20"/>
                <w:color w:val="auto"/>
              </w:rPr>
            </w:pPr>
            <w:r>
              <w:rPr>
                <w:rFonts w:ascii="Arial" w:cs="Arial" w:eastAsia="Arial" w:hAnsi="Arial"/>
                <w:sz w:val="19"/>
                <w:szCs w:val="19"/>
                <w:color w:val="auto"/>
                <w:w w:val="75"/>
              </w:rPr>
              <w:t>$</w:t>
            </w:r>
          </w:p>
        </w:tc>
        <w:tc>
          <w:tcPr>
            <w:tcW w:w="1280" w:type="dxa"/>
            <w:vAlign w:val="bottom"/>
          </w:tcPr>
          <w:p>
            <w:pPr>
              <w:jc w:val="right"/>
              <w:spacing w:after="0" w:line="202" w:lineRule="exact"/>
              <w:rPr>
                <w:sz w:val="20"/>
                <w:szCs w:val="20"/>
                <w:color w:val="auto"/>
              </w:rPr>
            </w:pPr>
            <w:r>
              <w:rPr>
                <w:rFonts w:ascii="Arial" w:cs="Arial" w:eastAsia="Arial" w:hAnsi="Arial"/>
                <w:sz w:val="19"/>
                <w:szCs w:val="19"/>
                <w:color w:val="auto"/>
              </w:rPr>
              <w:t>—</w:t>
            </w:r>
          </w:p>
        </w:tc>
      </w:tr>
      <w:tr>
        <w:trPr>
          <w:trHeight w:val="236"/>
        </w:trPr>
        <w:tc>
          <w:tcPr>
            <w:tcW w:w="20" w:type="dxa"/>
            <w:vAlign w:val="bottom"/>
          </w:tcPr>
          <w:p>
            <w:pPr>
              <w:spacing w:after="0"/>
              <w:rPr>
                <w:sz w:val="20"/>
                <w:szCs w:val="20"/>
                <w:color w:val="auto"/>
              </w:rPr>
            </w:pPr>
          </w:p>
        </w:tc>
        <w:tc>
          <w:tcPr>
            <w:tcW w:w="1580" w:type="dxa"/>
            <w:vAlign w:val="bottom"/>
            <w:gridSpan w:val="2"/>
          </w:tcPr>
          <w:p>
            <w:pPr>
              <w:jc w:val="right"/>
              <w:ind w:right="280"/>
              <w:spacing w:after="0" w:line="213" w:lineRule="exact"/>
              <w:rPr>
                <w:sz w:val="20"/>
                <w:szCs w:val="20"/>
                <w:color w:val="auto"/>
              </w:rPr>
            </w:pPr>
            <w:r>
              <w:rPr>
                <w:rFonts w:ascii="Arial" w:cs="Arial" w:eastAsia="Arial" w:hAnsi="Arial"/>
                <w:sz w:val="19"/>
                <w:szCs w:val="19"/>
                <w:color w:val="auto"/>
              </w:rPr>
              <w:t>(52,244)</w:t>
            </w:r>
          </w:p>
        </w:tc>
        <w:tc>
          <w:tcPr>
            <w:tcW w:w="220" w:type="dxa"/>
            <w:vAlign w:val="bottom"/>
          </w:tcPr>
          <w:p>
            <w:pPr>
              <w:jc w:val="right"/>
              <w:ind w:right="25"/>
              <w:spacing w:after="0" w:line="213" w:lineRule="exact"/>
              <w:rPr>
                <w:sz w:val="20"/>
                <w:szCs w:val="20"/>
                <w:color w:val="auto"/>
              </w:rPr>
            </w:pPr>
            <w:r>
              <w:rPr>
                <w:rFonts w:ascii="Arial" w:cs="Arial" w:eastAsia="Arial" w:hAnsi="Arial"/>
                <w:sz w:val="19"/>
                <w:szCs w:val="19"/>
                <w:color w:val="auto"/>
                <w:w w:val="75"/>
              </w:rPr>
              <w:t>$</w:t>
            </w:r>
          </w:p>
        </w:tc>
        <w:tc>
          <w:tcPr>
            <w:tcW w:w="1280" w:type="dxa"/>
            <w:vAlign w:val="bottom"/>
          </w:tcPr>
          <w:p>
            <w:pPr>
              <w:jc w:val="right"/>
              <w:spacing w:after="0" w:line="213" w:lineRule="exact"/>
              <w:rPr>
                <w:sz w:val="20"/>
                <w:szCs w:val="20"/>
                <w:color w:val="auto"/>
              </w:rPr>
            </w:pPr>
            <w:r>
              <w:rPr>
                <w:rFonts w:ascii="Arial" w:cs="Arial" w:eastAsia="Arial" w:hAnsi="Arial"/>
                <w:sz w:val="19"/>
                <w:szCs w:val="19"/>
                <w:color w:val="auto"/>
              </w:rPr>
              <w:t>10.45</w:t>
            </w:r>
          </w:p>
        </w:tc>
      </w:tr>
      <w:tr>
        <w:trPr>
          <w:trHeight w:val="220"/>
        </w:trPr>
        <w:tc>
          <w:tcPr>
            <w:tcW w:w="20" w:type="dxa"/>
            <w:vAlign w:val="bottom"/>
            <w:tcBorders>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line="212" w:lineRule="exact"/>
              <w:rPr>
                <w:sz w:val="20"/>
                <w:szCs w:val="20"/>
                <w:color w:val="auto"/>
              </w:rPr>
            </w:pPr>
            <w:r>
              <w:rPr>
                <w:rFonts w:ascii="Arial" w:cs="Arial" w:eastAsia="Arial" w:hAnsi="Arial"/>
                <w:sz w:val="19"/>
                <w:szCs w:val="19"/>
                <w:color w:val="auto"/>
              </w:rPr>
              <w:t>269,258</w:t>
            </w:r>
          </w:p>
        </w:tc>
        <w:tc>
          <w:tcPr>
            <w:tcW w:w="280" w:type="dxa"/>
            <w:vAlign w:val="bottom"/>
            <w:tcBorders>
              <w:top w:val="single" w:sz="8" w:color="D1EDF4"/>
            </w:tcBorders>
          </w:tcPr>
          <w:p>
            <w:pPr>
              <w:spacing w:after="0"/>
              <w:rPr>
                <w:sz w:val="19"/>
                <w:szCs w:val="19"/>
                <w:color w:val="auto"/>
              </w:rPr>
            </w:pPr>
          </w:p>
        </w:tc>
        <w:tc>
          <w:tcPr>
            <w:tcW w:w="220" w:type="dxa"/>
            <w:vAlign w:val="bottom"/>
          </w:tcPr>
          <w:p>
            <w:pPr>
              <w:jc w:val="right"/>
              <w:ind w:right="25"/>
              <w:spacing w:after="0" w:line="212" w:lineRule="exact"/>
              <w:rPr>
                <w:sz w:val="20"/>
                <w:szCs w:val="20"/>
                <w:color w:val="auto"/>
              </w:rPr>
            </w:pPr>
            <w:r>
              <w:rPr>
                <w:rFonts w:ascii="Arial" w:cs="Arial" w:eastAsia="Arial" w:hAnsi="Arial"/>
                <w:sz w:val="19"/>
                <w:szCs w:val="19"/>
                <w:color w:val="auto"/>
                <w:w w:val="75"/>
              </w:rPr>
              <w:t>$</w:t>
            </w:r>
          </w:p>
        </w:tc>
        <w:tc>
          <w:tcPr>
            <w:tcW w:w="1280" w:type="dxa"/>
            <w:vAlign w:val="bottom"/>
          </w:tcPr>
          <w:p>
            <w:pPr>
              <w:jc w:val="right"/>
              <w:spacing w:after="0" w:line="212" w:lineRule="exact"/>
              <w:rPr>
                <w:sz w:val="20"/>
                <w:szCs w:val="20"/>
                <w:color w:val="auto"/>
              </w:rPr>
            </w:pPr>
            <w:r>
              <w:rPr>
                <w:rFonts w:ascii="Arial" w:cs="Arial" w:eastAsia="Arial" w:hAnsi="Arial"/>
                <w:sz w:val="19"/>
                <w:szCs w:val="19"/>
                <w:color w:val="auto"/>
              </w:rPr>
              <w:t>10.45</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-3867150</wp:posOffset>
                </wp:positionH>
                <wp:positionV relativeFrom="paragraph">
                  <wp:posOffset>-582930</wp:posOffset>
                </wp:positionV>
                <wp:extent cx="5829300" cy="13970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29300" cy="139700"/>
                        </a:xfrm>
                        <a:prstGeom prst="rect">
                          <a:avLst/>
                        </a:prstGeom>
                        <a:solidFill>
                          <a:srgbClr val="D1EDF4"/>
                        </a:solidFill>
                      </wps:spPr>
                      <wps:bodyPr/>
                    </wps:wsp>
                  </a:graphicData>
                </a:graphic>
              </wp:anchor>
            </w:drawing>
          </mc:Choice>
          <mc:Fallback>
            <w:pict>
              <v:rect id="Shape 23" o:spid="_x0000_s1048" style="position:absolute;margin-left:-304.4999pt;margin-top:-45.8999pt;width:459pt;height:1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-3867150</wp:posOffset>
                </wp:positionH>
                <wp:positionV relativeFrom="paragraph">
                  <wp:posOffset>-304800</wp:posOffset>
                </wp:positionV>
                <wp:extent cx="5829300" cy="13970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29300" cy="139700"/>
                        </a:xfrm>
                        <a:prstGeom prst="rect">
                          <a:avLst/>
                        </a:prstGeom>
                        <a:solidFill>
                          <a:srgbClr val="D1EDF4"/>
                        </a:solidFill>
                      </wps:spPr>
                      <wps:bodyPr/>
                    </wps:wsp>
                  </a:graphicData>
                </a:graphic>
              </wp:anchor>
            </w:drawing>
          </mc:Choice>
          <mc:Fallback>
            <w:pict>
              <v:rect id="Shape 24" o:spid="_x0000_s1049" style="position:absolute;margin-left:-304.4999pt;margin-top:-24pt;width:459pt;height:1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w:r>
    </w:p>
    <w:p>
      <w:pPr>
        <w:spacing w:after="0" w:line="188" w:lineRule="exact"/>
        <w:rPr>
          <w:sz w:val="20"/>
          <w:szCs w:val="20"/>
          <w:color w:val="auto"/>
        </w:rPr>
      </w:pPr>
    </w:p>
    <w:p>
      <w:pPr>
        <w:jc w:val="center"/>
        <w:ind w:right="700"/>
        <w:spacing w:after="0"/>
        <w:rPr>
          <w:sz w:val="20"/>
          <w:szCs w:val="20"/>
          <w:color w:val="auto"/>
        </w:rPr>
      </w:pPr>
      <w:r>
        <w:rPr>
          <w:rFonts w:ascii="Arial" w:cs="Arial" w:eastAsia="Arial" w:hAnsi="Arial"/>
          <w:sz w:val="16"/>
          <w:szCs w:val="16"/>
          <w:b w:val="1"/>
          <w:bCs w:val="1"/>
          <w:color w:val="auto"/>
        </w:rPr>
        <w:t>Performance-Based</w:t>
      </w:r>
    </w:p>
    <w:p>
      <w:pPr>
        <w:spacing w:after="0" w:line="19" w:lineRule="exact"/>
        <w:rPr>
          <w:sz w:val="20"/>
          <w:szCs w:val="20"/>
          <w:color w:val="auto"/>
        </w:rPr>
      </w:pPr>
    </w:p>
    <w:p>
      <w:pPr>
        <w:jc w:val="center"/>
        <w:ind w:right="700"/>
        <w:spacing w:after="0"/>
        <w:rPr>
          <w:sz w:val="20"/>
          <w:szCs w:val="20"/>
          <w:color w:val="auto"/>
        </w:rPr>
      </w:pPr>
      <w:r>
        <w:rPr>
          <w:rFonts w:ascii="Arial" w:cs="Arial" w:eastAsia="Arial" w:hAnsi="Arial"/>
          <w:sz w:val="16"/>
          <w:szCs w:val="16"/>
          <w:b w:val="1"/>
          <w:bCs w:val="1"/>
          <w:color w:val="auto"/>
        </w:rPr>
        <w:t>Restricted Stock Units</w:t>
      </w: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gridSpan w:val="2"/>
          </w:tcPr>
          <w:p>
            <w:pPr>
              <w:jc w:val="center"/>
              <w:spacing w:after="0" w:line="158" w:lineRule="exact"/>
              <w:rPr>
                <w:sz w:val="20"/>
                <w:szCs w:val="20"/>
                <w:color w:val="auto"/>
              </w:rPr>
            </w:pPr>
            <w:r>
              <w:rPr>
                <w:rFonts w:ascii="Arial" w:cs="Arial" w:eastAsia="Arial" w:hAnsi="Arial"/>
                <w:sz w:val="16"/>
                <w:szCs w:val="16"/>
                <w:b w:val="1"/>
                <w:bCs w:val="1"/>
                <w:color w:val="auto"/>
              </w:rPr>
              <w:t>Weighted Average</w:t>
            </w:r>
          </w:p>
        </w:tc>
      </w:tr>
      <w:tr>
        <w:trPr>
          <w:trHeight w:val="185"/>
        </w:trPr>
        <w:tc>
          <w:tcPr>
            <w:tcW w:w="2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Nonvested</w:t>
            </w:r>
          </w:p>
        </w:tc>
        <w:tc>
          <w:tcPr>
            <w:tcW w:w="220" w:type="dxa"/>
            <w:vAlign w:val="bottom"/>
          </w:tcPr>
          <w:p>
            <w:pPr>
              <w:spacing w:after="0"/>
              <w:rPr>
                <w:sz w:val="16"/>
                <w:szCs w:val="16"/>
                <w:color w:val="auto"/>
              </w:rPr>
            </w:pPr>
          </w:p>
        </w:tc>
        <w:tc>
          <w:tcPr>
            <w:tcW w:w="1280" w:type="dxa"/>
            <w:vAlign w:val="bottom"/>
          </w:tcPr>
          <w:p>
            <w:pPr>
              <w:jc w:val="center"/>
              <w:ind w:right="129"/>
              <w:spacing w:after="0"/>
              <w:rPr>
                <w:sz w:val="20"/>
                <w:szCs w:val="20"/>
                <w:color w:val="auto"/>
              </w:rPr>
            </w:pPr>
            <w:r>
              <w:rPr>
                <w:rFonts w:ascii="Arial" w:cs="Arial" w:eastAsia="Arial" w:hAnsi="Arial"/>
                <w:sz w:val="16"/>
                <w:szCs w:val="16"/>
                <w:b w:val="1"/>
                <w:bCs w:val="1"/>
                <w:color w:val="auto"/>
              </w:rPr>
              <w:t>Grant Date</w:t>
            </w:r>
          </w:p>
        </w:tc>
      </w:tr>
      <w:tr>
        <w:trPr>
          <w:trHeight w:val="203"/>
        </w:trPr>
        <w:tc>
          <w:tcPr>
            <w:tcW w:w="20" w:type="dxa"/>
            <w:vAlign w:val="bottom"/>
          </w:tcPr>
          <w:p>
            <w:pPr>
              <w:spacing w:after="0"/>
              <w:rPr>
                <w:sz w:val="17"/>
                <w:szCs w:val="17"/>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Units</w:t>
            </w:r>
          </w:p>
        </w:tc>
        <w:tc>
          <w:tcPr>
            <w:tcW w:w="220" w:type="dxa"/>
            <w:vAlign w:val="bottom"/>
          </w:tcPr>
          <w:p>
            <w:pPr>
              <w:spacing w:after="0"/>
              <w:rPr>
                <w:sz w:val="17"/>
                <w:szCs w:val="17"/>
                <w:color w:val="auto"/>
              </w:rPr>
            </w:pPr>
          </w:p>
        </w:tc>
        <w:tc>
          <w:tcPr>
            <w:tcW w:w="1280" w:type="dxa"/>
            <w:vAlign w:val="bottom"/>
          </w:tcPr>
          <w:p>
            <w:pPr>
              <w:jc w:val="center"/>
              <w:ind w:right="149"/>
              <w:spacing w:after="0"/>
              <w:rPr>
                <w:sz w:val="20"/>
                <w:szCs w:val="20"/>
                <w:color w:val="auto"/>
              </w:rPr>
            </w:pPr>
            <w:r>
              <w:rPr>
                <w:rFonts w:ascii="Arial" w:cs="Arial" w:eastAsia="Arial" w:hAnsi="Arial"/>
                <w:sz w:val="16"/>
                <w:szCs w:val="16"/>
                <w:b w:val="1"/>
                <w:bCs w:val="1"/>
                <w:color w:val="auto"/>
                <w:w w:val="99"/>
              </w:rPr>
              <w:t>Fair Value</w:t>
            </w:r>
          </w:p>
        </w:tc>
      </w:tr>
      <w:tr>
        <w:trPr>
          <w:trHeight w:val="189"/>
        </w:trPr>
        <w:tc>
          <w:tcPr>
            <w:tcW w:w="20" w:type="dxa"/>
            <w:vAlign w:val="bottom"/>
          </w:tcPr>
          <w:p>
            <w:pPr>
              <w:spacing w:after="0"/>
              <w:rPr>
                <w:sz w:val="16"/>
                <w:szCs w:val="16"/>
                <w:color w:val="auto"/>
              </w:rPr>
            </w:pPr>
          </w:p>
        </w:tc>
        <w:tc>
          <w:tcPr>
            <w:tcW w:w="1300" w:type="dxa"/>
            <w:vAlign w:val="bottom"/>
            <w:tcBorders>
              <w:top w:val="single" w:sz="8" w:color="auto"/>
            </w:tcBorders>
          </w:tcPr>
          <w:p>
            <w:pPr>
              <w:jc w:val="right"/>
              <w:spacing w:after="0" w:line="185" w:lineRule="exact"/>
              <w:rPr>
                <w:sz w:val="20"/>
                <w:szCs w:val="20"/>
                <w:color w:val="auto"/>
              </w:rPr>
            </w:pPr>
            <w:r>
              <w:rPr>
                <w:rFonts w:ascii="Arial" w:cs="Arial" w:eastAsia="Arial" w:hAnsi="Arial"/>
                <w:sz w:val="19"/>
                <w:szCs w:val="19"/>
                <w:color w:val="auto"/>
              </w:rPr>
              <w:t>89,981</w:t>
            </w:r>
          </w:p>
        </w:tc>
        <w:tc>
          <w:tcPr>
            <w:tcW w:w="280" w:type="dxa"/>
            <w:vAlign w:val="bottom"/>
            <w:tcBorders>
              <w:top w:val="single" w:sz="8" w:color="D1EDF4"/>
              <w:bottom w:val="single" w:sz="8" w:color="D1EDF4"/>
            </w:tcBorders>
          </w:tcPr>
          <w:p>
            <w:pPr>
              <w:spacing w:after="0"/>
              <w:rPr>
                <w:sz w:val="16"/>
                <w:szCs w:val="16"/>
                <w:color w:val="auto"/>
              </w:rPr>
            </w:pPr>
          </w:p>
        </w:tc>
        <w:tc>
          <w:tcPr>
            <w:tcW w:w="220" w:type="dxa"/>
            <w:vAlign w:val="bottom"/>
            <w:tcBorders>
              <w:top w:val="single" w:sz="8" w:color="auto"/>
            </w:tcBorders>
          </w:tcPr>
          <w:p>
            <w:pPr>
              <w:jc w:val="right"/>
              <w:ind w:right="28"/>
              <w:spacing w:after="0" w:line="185" w:lineRule="exact"/>
              <w:rPr>
                <w:sz w:val="20"/>
                <w:szCs w:val="20"/>
                <w:color w:val="auto"/>
              </w:rPr>
            </w:pPr>
            <w:r>
              <w:rPr>
                <w:rFonts w:ascii="Arial" w:cs="Arial" w:eastAsia="Arial" w:hAnsi="Arial"/>
                <w:sz w:val="19"/>
                <w:szCs w:val="19"/>
                <w:color w:val="auto"/>
                <w:w w:val="75"/>
              </w:rPr>
              <w:t>$</w:t>
            </w:r>
          </w:p>
        </w:tc>
        <w:tc>
          <w:tcPr>
            <w:tcW w:w="1280" w:type="dxa"/>
            <w:vAlign w:val="bottom"/>
            <w:tcBorders>
              <w:top w:val="single" w:sz="8" w:color="auto"/>
            </w:tcBorders>
          </w:tcPr>
          <w:p>
            <w:pPr>
              <w:jc w:val="right"/>
              <w:spacing w:after="0" w:line="185" w:lineRule="exact"/>
              <w:rPr>
                <w:sz w:val="20"/>
                <w:szCs w:val="20"/>
                <w:color w:val="auto"/>
              </w:rPr>
            </w:pPr>
            <w:r>
              <w:rPr>
                <w:rFonts w:ascii="Arial" w:cs="Arial" w:eastAsia="Arial" w:hAnsi="Arial"/>
                <w:sz w:val="19"/>
                <w:szCs w:val="19"/>
                <w:color w:val="auto"/>
              </w:rPr>
              <w:t>20.06</w:t>
            </w:r>
          </w:p>
        </w:tc>
      </w:tr>
      <w:tr>
        <w:trPr>
          <w:trHeight w:val="203"/>
        </w:trPr>
        <w:tc>
          <w:tcPr>
            <w:tcW w:w="2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Arial" w:cs="Arial" w:eastAsia="Arial" w:hAnsi="Arial"/>
                <w:sz w:val="19"/>
                <w:szCs w:val="19"/>
                <w:color w:val="auto"/>
              </w:rPr>
              <w:t>189,256</w:t>
            </w:r>
          </w:p>
        </w:tc>
        <w:tc>
          <w:tcPr>
            <w:tcW w:w="280" w:type="dxa"/>
            <w:vAlign w:val="bottom"/>
          </w:tcPr>
          <w:p>
            <w:pPr>
              <w:spacing w:after="0"/>
              <w:rPr>
                <w:sz w:val="17"/>
                <w:szCs w:val="17"/>
                <w:color w:val="auto"/>
              </w:rPr>
            </w:pPr>
          </w:p>
        </w:tc>
        <w:tc>
          <w:tcPr>
            <w:tcW w:w="220" w:type="dxa"/>
            <w:vAlign w:val="bottom"/>
          </w:tcPr>
          <w:p>
            <w:pPr>
              <w:jc w:val="right"/>
              <w:ind w:right="28"/>
              <w:spacing w:after="0" w:line="203" w:lineRule="exact"/>
              <w:rPr>
                <w:sz w:val="20"/>
                <w:szCs w:val="20"/>
                <w:color w:val="auto"/>
              </w:rPr>
            </w:pPr>
            <w:r>
              <w:rPr>
                <w:rFonts w:ascii="Arial" w:cs="Arial" w:eastAsia="Arial" w:hAnsi="Arial"/>
                <w:sz w:val="19"/>
                <w:szCs w:val="19"/>
                <w:color w:val="auto"/>
                <w:w w:val="75"/>
              </w:rPr>
              <w:t>$</w:t>
            </w:r>
          </w:p>
        </w:tc>
        <w:tc>
          <w:tcPr>
            <w:tcW w:w="1280" w:type="dxa"/>
            <w:vAlign w:val="bottom"/>
          </w:tcPr>
          <w:p>
            <w:pPr>
              <w:jc w:val="right"/>
              <w:spacing w:after="0" w:line="203" w:lineRule="exact"/>
              <w:rPr>
                <w:sz w:val="20"/>
                <w:szCs w:val="20"/>
                <w:color w:val="auto"/>
              </w:rPr>
            </w:pPr>
            <w:r>
              <w:rPr>
                <w:rFonts w:ascii="Arial" w:cs="Arial" w:eastAsia="Arial" w:hAnsi="Arial"/>
                <w:sz w:val="19"/>
                <w:szCs w:val="19"/>
                <w:color w:val="auto"/>
              </w:rPr>
              <w:t>24.15</w:t>
            </w:r>
          </w:p>
        </w:tc>
      </w:tr>
      <w:tr>
        <w:trPr>
          <w:trHeight w:val="216"/>
        </w:trPr>
        <w:tc>
          <w:tcPr>
            <w:tcW w:w="20" w:type="dxa"/>
            <w:vAlign w:val="bottom"/>
          </w:tcPr>
          <w:p>
            <w:pPr>
              <w:spacing w:after="0"/>
              <w:rPr>
                <w:sz w:val="18"/>
                <w:szCs w:val="18"/>
                <w:color w:val="auto"/>
              </w:rPr>
            </w:pPr>
          </w:p>
        </w:tc>
        <w:tc>
          <w:tcPr>
            <w:tcW w:w="1580" w:type="dxa"/>
            <w:vAlign w:val="bottom"/>
            <w:gridSpan w:val="2"/>
          </w:tcPr>
          <w:p>
            <w:pPr>
              <w:jc w:val="right"/>
              <w:ind w:right="340"/>
              <w:spacing w:after="0" w:line="213" w:lineRule="exact"/>
              <w:rPr>
                <w:sz w:val="20"/>
                <w:szCs w:val="20"/>
                <w:color w:val="auto"/>
              </w:rPr>
            </w:pPr>
            <w:r>
              <w:rPr>
                <w:rFonts w:ascii="Arial" w:cs="Arial" w:eastAsia="Arial" w:hAnsi="Arial"/>
                <w:sz w:val="19"/>
                <w:szCs w:val="19"/>
                <w:color w:val="auto"/>
              </w:rPr>
              <w:t>—</w:t>
            </w:r>
          </w:p>
        </w:tc>
        <w:tc>
          <w:tcPr>
            <w:tcW w:w="220" w:type="dxa"/>
            <w:vAlign w:val="bottom"/>
          </w:tcPr>
          <w:p>
            <w:pPr>
              <w:jc w:val="right"/>
              <w:ind w:right="28"/>
              <w:spacing w:after="0" w:line="213" w:lineRule="exact"/>
              <w:rPr>
                <w:sz w:val="20"/>
                <w:szCs w:val="20"/>
                <w:color w:val="auto"/>
              </w:rPr>
            </w:pPr>
            <w:r>
              <w:rPr>
                <w:rFonts w:ascii="Arial" w:cs="Arial" w:eastAsia="Arial" w:hAnsi="Arial"/>
                <w:sz w:val="19"/>
                <w:szCs w:val="19"/>
                <w:color w:val="auto"/>
                <w:w w:val="75"/>
              </w:rPr>
              <w:t>$</w:t>
            </w:r>
          </w:p>
        </w:tc>
        <w:tc>
          <w:tcPr>
            <w:tcW w:w="1280" w:type="dxa"/>
            <w:vAlign w:val="bottom"/>
          </w:tcPr>
          <w:p>
            <w:pPr>
              <w:jc w:val="right"/>
              <w:spacing w:after="0" w:line="213" w:lineRule="exact"/>
              <w:rPr>
                <w:sz w:val="20"/>
                <w:szCs w:val="20"/>
                <w:color w:val="auto"/>
              </w:rPr>
            </w:pPr>
            <w:r>
              <w:rPr>
                <w:rFonts w:ascii="Arial" w:cs="Arial" w:eastAsia="Arial" w:hAnsi="Arial"/>
                <w:sz w:val="19"/>
                <w:szCs w:val="19"/>
                <w:color w:val="auto"/>
              </w:rPr>
              <w:t>—</w:t>
            </w:r>
          </w:p>
        </w:tc>
      </w:tr>
      <w:tr>
        <w:trPr>
          <w:trHeight w:val="220"/>
        </w:trPr>
        <w:tc>
          <w:tcPr>
            <w:tcW w:w="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(15,578)</w:t>
            </w:r>
          </w:p>
        </w:tc>
        <w:tc>
          <w:tcPr>
            <w:tcW w:w="280" w:type="dxa"/>
            <w:vAlign w:val="bottom"/>
            <w:tcBorders>
              <w:top w:val="single" w:sz="8" w:color="D1EDF4"/>
              <w:bottom w:val="single" w:sz="8" w:color="D1EDF4"/>
            </w:tcBorders>
          </w:tcPr>
          <w:p>
            <w:pPr>
              <w:spacing w:after="0"/>
              <w:rPr>
                <w:sz w:val="19"/>
                <w:szCs w:val="19"/>
                <w:color w:val="auto"/>
              </w:rPr>
            </w:pPr>
          </w:p>
        </w:tc>
        <w:tc>
          <w:tcPr>
            <w:tcW w:w="220" w:type="dxa"/>
            <w:vAlign w:val="bottom"/>
            <w:tcBorders>
              <w:bottom w:val="single" w:sz="8" w:color="D1EDF4"/>
            </w:tcBorders>
          </w:tcPr>
          <w:p>
            <w:pPr>
              <w:jc w:val="right"/>
              <w:ind w:right="28"/>
              <w:spacing w:after="0"/>
              <w:rPr>
                <w:sz w:val="20"/>
                <w:szCs w:val="20"/>
                <w:color w:val="auto"/>
              </w:rPr>
            </w:pPr>
            <w:r>
              <w:rPr>
                <w:rFonts w:ascii="Arial" w:cs="Arial" w:eastAsia="Arial" w:hAnsi="Arial"/>
                <w:sz w:val="19"/>
                <w:szCs w:val="19"/>
                <w:color w:val="auto"/>
                <w:w w:val="75"/>
              </w:rPr>
              <w:t>$</w:t>
            </w:r>
          </w:p>
        </w:tc>
        <w:tc>
          <w:tcPr>
            <w:tcW w:w="1280" w:type="dxa"/>
            <w:vAlign w:val="bottom"/>
            <w:tcBorders>
              <w:bottom w:val="single" w:sz="8" w:color="D1EDF4"/>
            </w:tcBorders>
          </w:tcPr>
          <w:p>
            <w:pPr>
              <w:jc w:val="right"/>
              <w:spacing w:after="0"/>
              <w:rPr>
                <w:sz w:val="20"/>
                <w:szCs w:val="20"/>
                <w:color w:val="auto"/>
              </w:rPr>
            </w:pPr>
            <w:r>
              <w:rPr>
                <w:rFonts w:ascii="Arial" w:cs="Arial" w:eastAsia="Arial" w:hAnsi="Arial"/>
                <w:sz w:val="19"/>
                <w:szCs w:val="19"/>
                <w:color w:val="auto"/>
              </w:rPr>
              <w:t>21.46</w:t>
            </w:r>
          </w:p>
        </w:tc>
      </w:tr>
      <w:tr>
        <w:trPr>
          <w:trHeight w:val="219"/>
        </w:trPr>
        <w:tc>
          <w:tcPr>
            <w:tcW w:w="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line="185" w:lineRule="exact"/>
              <w:rPr>
                <w:sz w:val="20"/>
                <w:szCs w:val="20"/>
                <w:color w:val="auto"/>
              </w:rPr>
            </w:pPr>
            <w:r>
              <w:rPr>
                <w:rFonts w:ascii="Arial" w:cs="Arial" w:eastAsia="Arial" w:hAnsi="Arial"/>
                <w:sz w:val="19"/>
                <w:szCs w:val="19"/>
                <w:color w:val="auto"/>
              </w:rPr>
              <w:t>263,659</w:t>
            </w:r>
          </w:p>
        </w:tc>
        <w:tc>
          <w:tcPr>
            <w:tcW w:w="280" w:type="dxa"/>
            <w:vAlign w:val="bottom"/>
            <w:tcBorders>
              <w:bottom w:val="single" w:sz="8" w:color="D1EDF4"/>
            </w:tcBorders>
          </w:tcPr>
          <w:p>
            <w:pPr>
              <w:spacing w:after="0"/>
              <w:rPr>
                <w:sz w:val="19"/>
                <w:szCs w:val="19"/>
                <w:color w:val="auto"/>
              </w:rPr>
            </w:pPr>
          </w:p>
        </w:tc>
        <w:tc>
          <w:tcPr>
            <w:tcW w:w="220" w:type="dxa"/>
            <w:vAlign w:val="bottom"/>
          </w:tcPr>
          <w:p>
            <w:pPr>
              <w:jc w:val="right"/>
              <w:ind w:right="28"/>
              <w:spacing w:after="0" w:line="185" w:lineRule="exact"/>
              <w:rPr>
                <w:sz w:val="20"/>
                <w:szCs w:val="20"/>
                <w:color w:val="auto"/>
              </w:rPr>
            </w:pPr>
            <w:r>
              <w:rPr>
                <w:rFonts w:ascii="Arial" w:cs="Arial" w:eastAsia="Arial" w:hAnsi="Arial"/>
                <w:sz w:val="19"/>
                <w:szCs w:val="19"/>
                <w:color w:val="auto"/>
                <w:w w:val="75"/>
              </w:rPr>
              <w:t>$</w:t>
            </w:r>
          </w:p>
        </w:tc>
        <w:tc>
          <w:tcPr>
            <w:tcW w:w="1280" w:type="dxa"/>
            <w:vAlign w:val="bottom"/>
          </w:tcPr>
          <w:p>
            <w:pPr>
              <w:jc w:val="right"/>
              <w:spacing w:after="0" w:line="185" w:lineRule="exact"/>
              <w:rPr>
                <w:sz w:val="20"/>
                <w:szCs w:val="20"/>
                <w:color w:val="auto"/>
              </w:rPr>
            </w:pPr>
            <w:r>
              <w:rPr>
                <w:rFonts w:ascii="Arial" w:cs="Arial" w:eastAsia="Arial" w:hAnsi="Arial"/>
                <w:sz w:val="19"/>
                <w:szCs w:val="19"/>
                <w:color w:val="auto"/>
              </w:rPr>
              <w:t>22.91</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-3867150</wp:posOffset>
                </wp:positionH>
                <wp:positionV relativeFrom="paragraph">
                  <wp:posOffset>-443230</wp:posOffset>
                </wp:positionV>
                <wp:extent cx="5829300" cy="13970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29300" cy="139700"/>
                        </a:xfrm>
                        <a:prstGeom prst="rect">
                          <a:avLst/>
                        </a:prstGeom>
                        <a:solidFill>
                          <a:srgbClr val="D1EDF4"/>
                        </a:solidFill>
                      </wps:spPr>
                      <wps:bodyPr/>
                    </wps:wsp>
                  </a:graphicData>
                </a:graphic>
              </wp:anchor>
            </w:drawing>
          </mc:Choice>
          <mc:Fallback>
            <w:pict>
              <v:rect id="Shape 25" o:spid="_x0000_s1050" style="position:absolute;margin-left:-304.4999pt;margin-top:-34.8999pt;width:459pt;height:1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w:r>
    </w:p>
    <w:p>
      <w:pPr>
        <w:spacing w:after="0" w:line="190" w:lineRule="exact"/>
        <w:rPr>
          <w:sz w:val="20"/>
          <w:szCs w:val="20"/>
          <w:color w:val="auto"/>
        </w:rPr>
      </w:pPr>
    </w:p>
    <w:p>
      <w:pPr>
        <w:sectPr>
          <w:pgSz w:w="11880" w:h="15480" w:orient="portrait"/>
          <w:cols w:equalWidth="0" w:num="2">
            <w:col w:w="6180" w:space="720"/>
            <w:col w:w="3800"/>
          </w:cols>
          <w:pgMar w:left="540" w:top="807" w:right="640" w:bottom="16" w:gutter="0" w:footer="0" w:header="0"/>
          <w:type w:val="continuous"/>
        </w:sectPr>
      </w:pPr>
    </w:p>
    <w:p>
      <w:pPr>
        <w:ind w:right="40"/>
        <w:spacing w:after="0" w:line="280" w:lineRule="auto"/>
        <w:rPr>
          <w:sz w:val="20"/>
          <w:szCs w:val="20"/>
          <w:color w:val="auto"/>
        </w:rPr>
      </w:pPr>
      <w:r>
        <w:rPr>
          <w:rFonts w:ascii="Arial" w:cs="Arial" w:eastAsia="Arial" w:hAnsi="Arial"/>
          <w:sz w:val="19"/>
          <w:szCs w:val="19"/>
          <w:color w:val="auto"/>
        </w:rPr>
        <w:t>At January 31, 2026, there was $4.5 million of unrecognized compensation expense related to restricted stock, and $3.3 million of unrecognized compensation expense related to our PSUs.</w:t>
      </w:r>
    </w:p>
    <w:p>
      <w:pPr>
        <w:sectPr>
          <w:pgSz w:w="11880" w:h="15480" w:orient="portrait"/>
          <w:cols w:equalWidth="0" w:num="1">
            <w:col w:w="10700"/>
          </w:cols>
          <w:pgMar w:left="540" w:top="807" w:right="640" w:bottom="1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45</w:t>
      </w:r>
    </w:p>
    <w:p>
      <w:pPr>
        <w:sectPr>
          <w:pgSz w:w="11880" w:h="15480" w:orient="portrait"/>
          <w:cols w:equalWidth="0" w:num="1">
            <w:col w:w="10700"/>
          </w:cols>
          <w:pgMar w:left="540" w:top="807" w:right="640" w:bottom="16" w:gutter="0" w:footer="0" w:header="0"/>
          <w:type w:val="continuous"/>
        </w:sectPr>
      </w:pPr>
    </w:p>
    <w:bookmarkStart w:id="45" w:name="page46"/>
    <w:bookmarkEnd w:id="45"/>
    <w:p>
      <w:pPr>
        <w:spacing w:after="0"/>
        <w:rPr>
          <w:sz w:val="20"/>
          <w:szCs w:val="20"/>
          <w:color w:val="auto"/>
        </w:rPr>
      </w:pPr>
      <w:r>
        <w:rPr>
          <w:rFonts w:ascii="Arial" w:cs="Arial" w:eastAsia="Arial" w:hAnsi="Arial"/>
          <w:sz w:val="19"/>
          <w:szCs w:val="19"/>
          <w:b w:val="1"/>
          <w:bCs w:val="1"/>
          <w:color w:val="auto"/>
        </w:rPr>
        <w:t>7. Commitments and Contingencies</w:t>
      </w:r>
    </w:p>
    <w:p>
      <w:pPr>
        <w:spacing w:after="0" w:line="162" w:lineRule="exact"/>
        <w:rPr>
          <w:sz w:val="20"/>
          <w:szCs w:val="20"/>
          <w:color w:val="auto"/>
        </w:rPr>
      </w:pPr>
    </w:p>
    <w:p>
      <w:pPr>
        <w:ind w:right="40"/>
        <w:spacing w:after="0" w:line="254" w:lineRule="auto"/>
        <w:rPr>
          <w:sz w:val="20"/>
          <w:szCs w:val="20"/>
          <w:color w:val="auto"/>
        </w:rPr>
      </w:pPr>
      <w:r>
        <w:rPr>
          <w:rFonts w:ascii="Arial" w:cs="Arial" w:eastAsia="Arial" w:hAnsi="Arial"/>
          <w:sz w:val="19"/>
          <w:szCs w:val="19"/>
          <w:color w:val="auto"/>
        </w:rPr>
        <w:t>The Company is, from time to time, involved in legal proceedings arising in the ordinary course of business, including claims by customers, employees, or former employees and matters relating to real estate and contractual disputes. Once it becomes probable that the Company will incur costs in connection with a legal proceeding and such costs can be reasonably estimated, it establishes appropriate reserves.</w:t>
      </w:r>
    </w:p>
    <w:p>
      <w:pPr>
        <w:spacing w:after="0" w:line="109"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In connection with the January 2023 cyber disruption previously disclosed in the Company’s Form 8- K filed on February 23, 2023, four putative class action lawsuits were filed against the Company in the United States District Court for the Southern District of Georgia (the “Court”). These matters, Matousek et al v. Citi Trends, Inc.; Sienna Thomas v. Citi Trends, Inc.; Yeimy Sambrano v. Citi Trends, Inc.; Sabrina Green-Fogg v. Citi Trends, Inc. were filed in the second half of 2023, and consolidated into one case by the Court on November 8, 2023. The plaintiffs allege harm in connection with the January 2023 cyber disruption and assert a variety of claims seeking unspecified monetary damages and other related relief. A consolidated class action complaint was filed on February 15, 2024, adding an additional plaintiff, Shykira Scott. The Company has successfully settled these class actions without any admission of liability. In addition, the Attorneys General of Alabama, Connecticut, Indiana and Texas sent inquiry letters to the Company regarding the January 2023 cyber disruption, which the Company has answered.</w:t>
      </w:r>
    </w:p>
    <w:p>
      <w:pPr>
        <w:spacing w:after="0" w:line="108" w:lineRule="exact"/>
        <w:rPr>
          <w:sz w:val="20"/>
          <w:szCs w:val="20"/>
          <w:color w:val="auto"/>
        </w:rPr>
      </w:pPr>
    </w:p>
    <w:p>
      <w:pPr>
        <w:ind w:right="80"/>
        <w:spacing w:after="0" w:line="281" w:lineRule="auto"/>
        <w:rPr>
          <w:sz w:val="20"/>
          <w:szCs w:val="20"/>
          <w:color w:val="auto"/>
        </w:rPr>
      </w:pPr>
      <w:r>
        <w:rPr>
          <w:rFonts w:ascii="Arial" w:cs="Arial" w:eastAsia="Arial" w:hAnsi="Arial"/>
          <w:sz w:val="19"/>
          <w:szCs w:val="19"/>
          <w:color w:val="auto"/>
        </w:rPr>
        <w:t>These class actions were resolved in fiscal 2025. The Company is unable to predict whether it may be subject to other lawsuits, claims or inquiries.</w:t>
      </w:r>
    </w:p>
    <w:p>
      <w:pPr>
        <w:spacing w:after="0" w:line="85" w:lineRule="exact"/>
        <w:rPr>
          <w:sz w:val="20"/>
          <w:szCs w:val="20"/>
          <w:color w:val="auto"/>
        </w:rPr>
      </w:pPr>
    </w:p>
    <w:p>
      <w:pPr>
        <w:spacing w:after="0" w:line="254" w:lineRule="auto"/>
        <w:rPr>
          <w:sz w:val="20"/>
          <w:szCs w:val="20"/>
          <w:color w:val="auto"/>
        </w:rPr>
      </w:pPr>
      <w:r>
        <w:rPr>
          <w:rFonts w:ascii="Arial" w:cs="Arial" w:eastAsia="Arial" w:hAnsi="Arial"/>
          <w:sz w:val="19"/>
          <w:szCs w:val="19"/>
          <w:color w:val="auto"/>
        </w:rPr>
        <w:t>While legal proceedings are subject to inherent uncertainties and the outcomes cannot be predicted. Based on currently available information, the Company does not believe that the resolution of any pending or threatened legal matters is reasonably likely to have a material adverse effect on its financial condition, results of operations, or liquidity. However, it is possible that future developments could result in losses that are material in a particular period.</w:t>
      </w:r>
    </w:p>
    <w:p>
      <w:pPr>
        <w:spacing w:after="0" w:line="111" w:lineRule="exact"/>
        <w:rPr>
          <w:sz w:val="20"/>
          <w:szCs w:val="20"/>
          <w:color w:val="auto"/>
        </w:rPr>
      </w:pPr>
    </w:p>
    <w:p>
      <w:pPr>
        <w:spacing w:after="0"/>
        <w:rPr>
          <w:sz w:val="20"/>
          <w:szCs w:val="20"/>
          <w:color w:val="auto"/>
        </w:rPr>
      </w:pPr>
      <w:r>
        <w:rPr>
          <w:rFonts w:ascii="Arial" w:cs="Arial" w:eastAsia="Arial" w:hAnsi="Arial"/>
          <w:sz w:val="19"/>
          <w:szCs w:val="19"/>
          <w:color w:val="auto"/>
        </w:rPr>
        <w:t>The Company is also party to purchase obligations for open merchandise orders of $161.7 million that is due within 12 months.</w:t>
      </w: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8. Leases</w:t>
      </w:r>
    </w:p>
    <w:p>
      <w:pPr>
        <w:spacing w:after="0" w:line="162" w:lineRule="exact"/>
        <w:rPr>
          <w:sz w:val="20"/>
          <w:szCs w:val="20"/>
          <w:color w:val="auto"/>
        </w:rPr>
      </w:pPr>
    </w:p>
    <w:p>
      <w:pPr>
        <w:ind w:right="220"/>
        <w:spacing w:after="0" w:line="281" w:lineRule="auto"/>
        <w:rPr>
          <w:sz w:val="20"/>
          <w:szCs w:val="20"/>
          <w:color w:val="auto"/>
        </w:rPr>
      </w:pPr>
      <w:r>
        <w:rPr>
          <w:rFonts w:ascii="Arial" w:cs="Arial" w:eastAsia="Arial" w:hAnsi="Arial"/>
          <w:sz w:val="19"/>
          <w:szCs w:val="19"/>
          <w:color w:val="auto"/>
        </w:rPr>
        <w:t>The Company leases its retail store locations, its distribution centers and certain office space and equipment. Leases for store locations are typically for a term of five years with options to extend for one or more five-year periods.</w:t>
      </w:r>
    </w:p>
    <w:p>
      <w:pPr>
        <w:spacing w:after="0" w:line="86" w:lineRule="exact"/>
        <w:rPr>
          <w:sz w:val="20"/>
          <w:szCs w:val="20"/>
          <w:color w:val="auto"/>
        </w:rPr>
      </w:pPr>
    </w:p>
    <w:p>
      <w:pPr>
        <w:ind w:right="60"/>
        <w:spacing w:after="0" w:line="253" w:lineRule="auto"/>
        <w:rPr>
          <w:sz w:val="20"/>
          <w:szCs w:val="20"/>
          <w:color w:val="auto"/>
        </w:rPr>
      </w:pPr>
      <w:r>
        <w:rPr>
          <w:rFonts w:ascii="Arial" w:cs="Arial" w:eastAsia="Arial" w:hAnsi="Arial"/>
          <w:sz w:val="19"/>
          <w:szCs w:val="19"/>
          <w:color w:val="auto"/>
        </w:rPr>
        <w:t>The Company analyzes all leases at inception to determine if a right-of- use asset and lease liability should be recognized. Leases with an initial term of 12 months or less and leases with mutual termination clauses are not included on the consolidated balance sheets. The lease liability is measured at the present value of future lease payments as of the lease commencement date.</w:t>
      </w:r>
    </w:p>
    <w:p>
      <w:pPr>
        <w:spacing w:after="0" w:line="112" w:lineRule="exact"/>
        <w:rPr>
          <w:sz w:val="20"/>
          <w:szCs w:val="20"/>
          <w:color w:val="auto"/>
        </w:rPr>
      </w:pPr>
    </w:p>
    <w:p>
      <w:pPr>
        <w:ind w:right="160"/>
        <w:spacing w:after="0" w:line="261" w:lineRule="auto"/>
        <w:rPr>
          <w:sz w:val="20"/>
          <w:szCs w:val="20"/>
          <w:color w:val="auto"/>
        </w:rPr>
      </w:pPr>
      <w:r>
        <w:rPr>
          <w:rFonts w:ascii="Arial" w:cs="Arial" w:eastAsia="Arial" w:hAnsi="Arial"/>
          <w:sz w:val="19"/>
          <w:szCs w:val="19"/>
          <w:color w:val="auto"/>
        </w:rPr>
        <w:t>Total lease cost is comprised of operating lease costs, short-term lease costs and variable lease costs, which include rent paid as a percentage of sales, common area maintenance, real estate taxes and insurance for the Company’s real estate leases. Lease costs consisted of the following (in thousands):</w:t>
      </w:r>
    </w:p>
    <w:p>
      <w:pPr>
        <w:spacing w:after="0" w:line="123" w:lineRule="exact"/>
        <w:rPr>
          <w:sz w:val="20"/>
          <w:szCs w:val="20"/>
          <w:color w:val="auto"/>
        </w:rPr>
      </w:pPr>
    </w:p>
    <w:tbl>
      <w:tblPr>
        <w:tblLayout w:type="fixed"/>
        <w:tblInd w:w="820" w:type="dxa"/>
        <w:tblCellMar>
          <w:top w:w="0" w:type="dxa"/>
          <w:left w:w="0" w:type="dxa"/>
          <w:bottom w:w="0" w:type="dxa"/>
          <w:right w:w="0" w:type="dxa"/>
        </w:tblCellMar>
      </w:tblPr>
      <w:tr>
        <w:trPr>
          <w:trHeight w:val="203"/>
        </w:trPr>
        <w:tc>
          <w:tcPr>
            <w:tcW w:w="4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33"/>
              <w:spacing w:after="0"/>
              <w:rPr>
                <w:sz w:val="20"/>
                <w:szCs w:val="20"/>
                <w:color w:val="auto"/>
              </w:rPr>
            </w:pPr>
            <w:r>
              <w:rPr>
                <w:rFonts w:ascii="Arial" w:cs="Arial" w:eastAsia="Arial" w:hAnsi="Arial"/>
                <w:sz w:val="16"/>
                <w:szCs w:val="16"/>
                <w:b w:val="1"/>
                <w:bCs w:val="1"/>
                <w:color w:val="auto"/>
              </w:rPr>
              <w:t>Fiscal Year</w:t>
            </w:r>
          </w:p>
        </w:tc>
        <w:tc>
          <w:tcPr>
            <w:tcW w:w="2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r>
      <w:tr>
        <w:trPr>
          <w:trHeight w:val="174"/>
        </w:trPr>
        <w:tc>
          <w:tcPr>
            <w:tcW w:w="4900" w:type="dxa"/>
            <w:vAlign w:val="bottom"/>
            <w:tcBorders>
              <w:bottom w:val="single" w:sz="8" w:color="D1EDF4"/>
            </w:tcBorders>
          </w:tcPr>
          <w:p>
            <w:pPr>
              <w:spacing w:after="0"/>
              <w:rPr>
                <w:sz w:val="15"/>
                <w:szCs w:val="15"/>
                <w:color w:val="auto"/>
              </w:rPr>
            </w:pPr>
          </w:p>
        </w:tc>
        <w:tc>
          <w:tcPr>
            <w:tcW w:w="20" w:type="dxa"/>
            <w:vAlign w:val="bottom"/>
            <w:tcBorders>
              <w:bottom w:val="single" w:sz="8" w:color="D1EDF4"/>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72"/>
              <w:spacing w:after="0" w:line="175" w:lineRule="exact"/>
              <w:rPr>
                <w:sz w:val="20"/>
                <w:szCs w:val="20"/>
                <w:color w:val="auto"/>
              </w:rPr>
            </w:pPr>
            <w:r>
              <w:rPr>
                <w:rFonts w:ascii="Arial" w:cs="Arial" w:eastAsia="Arial" w:hAnsi="Arial"/>
                <w:sz w:val="16"/>
                <w:szCs w:val="16"/>
                <w:b w:val="1"/>
                <w:bCs w:val="1"/>
                <w:color w:val="auto"/>
              </w:rPr>
              <w:t>2025</w:t>
            </w:r>
          </w:p>
        </w:tc>
        <w:tc>
          <w:tcPr>
            <w:tcW w:w="200" w:type="dxa"/>
            <w:vAlign w:val="bottom"/>
            <w:tcBorders>
              <w:bottom w:val="single" w:sz="8" w:color="D1EDF4"/>
            </w:tcBorders>
          </w:tcPr>
          <w:p>
            <w:pPr>
              <w:spacing w:after="0"/>
              <w:rPr>
                <w:sz w:val="15"/>
                <w:szCs w:val="15"/>
                <w:color w:val="auto"/>
              </w:rPr>
            </w:pPr>
          </w:p>
        </w:tc>
        <w:tc>
          <w:tcPr>
            <w:tcW w:w="20" w:type="dxa"/>
            <w:vAlign w:val="bottom"/>
            <w:tcBorders>
              <w:bottom w:val="single" w:sz="8" w:color="D1EDF4"/>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73"/>
              <w:spacing w:after="0" w:line="175" w:lineRule="exact"/>
              <w:rPr>
                <w:sz w:val="20"/>
                <w:szCs w:val="20"/>
                <w:color w:val="auto"/>
              </w:rPr>
            </w:pPr>
            <w:r>
              <w:rPr>
                <w:rFonts w:ascii="Arial" w:cs="Arial" w:eastAsia="Arial" w:hAnsi="Arial"/>
                <w:sz w:val="16"/>
                <w:szCs w:val="16"/>
                <w:b w:val="1"/>
                <w:bCs w:val="1"/>
                <w:color w:val="auto"/>
              </w:rPr>
              <w:t>2024</w:t>
            </w:r>
          </w:p>
        </w:tc>
        <w:tc>
          <w:tcPr>
            <w:tcW w:w="200" w:type="dxa"/>
            <w:vAlign w:val="bottom"/>
            <w:tcBorders>
              <w:bottom w:val="single" w:sz="8" w:color="D1EDF4"/>
            </w:tcBorders>
          </w:tcPr>
          <w:p>
            <w:pPr>
              <w:spacing w:after="0"/>
              <w:rPr>
                <w:sz w:val="15"/>
                <w:szCs w:val="15"/>
                <w:color w:val="auto"/>
              </w:rPr>
            </w:pPr>
          </w:p>
        </w:tc>
        <w:tc>
          <w:tcPr>
            <w:tcW w:w="20" w:type="dxa"/>
            <w:vAlign w:val="bottom"/>
            <w:tcBorders>
              <w:bottom w:val="single" w:sz="8" w:color="D1EDF4"/>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72"/>
              <w:spacing w:after="0" w:line="175" w:lineRule="exact"/>
              <w:rPr>
                <w:sz w:val="20"/>
                <w:szCs w:val="20"/>
                <w:color w:val="auto"/>
              </w:rPr>
            </w:pPr>
            <w:r>
              <w:rPr>
                <w:rFonts w:ascii="Arial" w:cs="Arial" w:eastAsia="Arial" w:hAnsi="Arial"/>
                <w:sz w:val="16"/>
                <w:szCs w:val="16"/>
                <w:b w:val="1"/>
                <w:bCs w:val="1"/>
                <w:color w:val="auto"/>
              </w:rPr>
              <w:t>2023</w:t>
            </w:r>
          </w:p>
        </w:tc>
      </w:tr>
      <w:tr>
        <w:trPr>
          <w:trHeight w:val="198"/>
        </w:trPr>
        <w:tc>
          <w:tcPr>
            <w:tcW w:w="4920" w:type="dxa"/>
            <w:vAlign w:val="bottom"/>
            <w:gridSpan w:val="2"/>
            <w:shd w:val="clear" w:color="auto" w:fill="D1EDF4"/>
          </w:tcPr>
          <w:p>
            <w:pPr>
              <w:spacing w:after="0" w:line="199" w:lineRule="exact"/>
              <w:rPr>
                <w:sz w:val="20"/>
                <w:szCs w:val="20"/>
                <w:color w:val="auto"/>
              </w:rPr>
            </w:pPr>
            <w:r>
              <w:rPr>
                <w:rFonts w:ascii="Arial" w:cs="Arial" w:eastAsia="Arial" w:hAnsi="Arial"/>
                <w:sz w:val="18"/>
                <w:szCs w:val="18"/>
                <w:color w:val="auto"/>
              </w:rPr>
              <w:t>Operating lease cost</w:t>
            </w:r>
          </w:p>
        </w:tc>
        <w:tc>
          <w:tcPr>
            <w:tcW w:w="260" w:type="dxa"/>
            <w:vAlign w:val="bottom"/>
            <w:shd w:val="clear" w:color="auto" w:fill="D1EDF4"/>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D1EDF4"/>
          </w:tcPr>
          <w:p>
            <w:pPr>
              <w:jc w:val="right"/>
              <w:spacing w:after="0" w:line="199" w:lineRule="exact"/>
              <w:rPr>
                <w:sz w:val="20"/>
                <w:szCs w:val="20"/>
                <w:color w:val="auto"/>
              </w:rPr>
            </w:pPr>
            <w:r>
              <w:rPr>
                <w:rFonts w:ascii="Arial" w:cs="Arial" w:eastAsia="Arial" w:hAnsi="Arial"/>
                <w:sz w:val="18"/>
                <w:szCs w:val="18"/>
                <w:color w:val="auto"/>
              </w:rPr>
              <w:t>61,640</w:t>
            </w:r>
          </w:p>
        </w:tc>
        <w:tc>
          <w:tcPr>
            <w:tcW w:w="380" w:type="dxa"/>
            <w:vAlign w:val="bottom"/>
            <w:gridSpan w:val="3"/>
            <w:shd w:val="clear" w:color="auto" w:fill="D1EDF4"/>
          </w:tcPr>
          <w:p>
            <w:pPr>
              <w:jc w:val="right"/>
              <w:spacing w:after="0" w:line="199" w:lineRule="exact"/>
              <w:rPr>
                <w:sz w:val="20"/>
                <w:szCs w:val="20"/>
                <w:color w:val="auto"/>
              </w:rPr>
            </w:pPr>
            <w:r>
              <w:rPr>
                <w:rFonts w:ascii="Arial" w:cs="Arial" w:eastAsia="Arial" w:hAnsi="Arial"/>
                <w:sz w:val="18"/>
                <w:szCs w:val="18"/>
                <w:color w:val="auto"/>
              </w:rPr>
              <w:t>$</w:t>
            </w:r>
          </w:p>
        </w:tc>
        <w:tc>
          <w:tcPr>
            <w:tcW w:w="1120" w:type="dxa"/>
            <w:vAlign w:val="bottom"/>
            <w:shd w:val="clear" w:color="auto" w:fill="D1EDF4"/>
          </w:tcPr>
          <w:p>
            <w:pPr>
              <w:jc w:val="right"/>
              <w:spacing w:after="0" w:line="199" w:lineRule="exact"/>
              <w:rPr>
                <w:sz w:val="20"/>
                <w:szCs w:val="20"/>
                <w:color w:val="auto"/>
              </w:rPr>
            </w:pPr>
            <w:r>
              <w:rPr>
                <w:rFonts w:ascii="Arial" w:cs="Arial" w:eastAsia="Arial" w:hAnsi="Arial"/>
                <w:sz w:val="18"/>
                <w:szCs w:val="18"/>
                <w:color w:val="auto"/>
              </w:rPr>
              <w:t>61,227</w:t>
            </w:r>
          </w:p>
        </w:tc>
        <w:tc>
          <w:tcPr>
            <w:tcW w:w="500" w:type="dxa"/>
            <w:vAlign w:val="bottom"/>
            <w:gridSpan w:val="3"/>
            <w:shd w:val="clear" w:color="auto" w:fill="D1EDF4"/>
          </w:tcPr>
          <w:p>
            <w:pPr>
              <w:jc w:val="right"/>
              <w:ind w:right="90"/>
              <w:spacing w:after="0" w:line="199" w:lineRule="exact"/>
              <w:rPr>
                <w:sz w:val="20"/>
                <w:szCs w:val="20"/>
                <w:color w:val="auto"/>
              </w:rPr>
            </w:pPr>
            <w:r>
              <w:rPr>
                <w:rFonts w:ascii="Arial" w:cs="Arial" w:eastAsia="Arial" w:hAnsi="Arial"/>
                <w:sz w:val="18"/>
                <w:szCs w:val="18"/>
                <w:color w:val="auto"/>
              </w:rPr>
              <w:t>$</w:t>
            </w:r>
          </w:p>
        </w:tc>
        <w:tc>
          <w:tcPr>
            <w:tcW w:w="1000" w:type="dxa"/>
            <w:vAlign w:val="bottom"/>
            <w:shd w:val="clear" w:color="auto" w:fill="D1EDF4"/>
          </w:tcPr>
          <w:p>
            <w:pPr>
              <w:jc w:val="right"/>
              <w:spacing w:after="0" w:line="199" w:lineRule="exact"/>
              <w:rPr>
                <w:sz w:val="20"/>
                <w:szCs w:val="20"/>
                <w:color w:val="auto"/>
              </w:rPr>
            </w:pPr>
            <w:r>
              <w:rPr>
                <w:rFonts w:ascii="Arial" w:cs="Arial" w:eastAsia="Arial" w:hAnsi="Arial"/>
                <w:sz w:val="18"/>
                <w:szCs w:val="18"/>
                <w:color w:val="auto"/>
              </w:rPr>
              <w:t>62,163</w:t>
            </w:r>
          </w:p>
        </w:tc>
      </w:tr>
      <w:tr>
        <w:trPr>
          <w:trHeight w:val="208"/>
        </w:trPr>
        <w:tc>
          <w:tcPr>
            <w:tcW w:w="4920" w:type="dxa"/>
            <w:vAlign w:val="bottom"/>
            <w:gridSpan w:val="2"/>
          </w:tcPr>
          <w:p>
            <w:pPr>
              <w:spacing w:after="0"/>
              <w:rPr>
                <w:sz w:val="20"/>
                <w:szCs w:val="20"/>
                <w:color w:val="auto"/>
              </w:rPr>
            </w:pPr>
            <w:r>
              <w:rPr>
                <w:rFonts w:ascii="Arial" w:cs="Arial" w:eastAsia="Arial" w:hAnsi="Arial"/>
                <w:sz w:val="18"/>
                <w:szCs w:val="18"/>
                <w:color w:val="auto"/>
              </w:rPr>
              <w:t>Variable lease cost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12,719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11,061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11,070</w:t>
            </w:r>
          </w:p>
        </w:tc>
      </w:tr>
      <w:tr>
        <w:trPr>
          <w:trHeight w:val="249"/>
        </w:trPr>
        <w:tc>
          <w:tcPr>
            <w:tcW w:w="4920" w:type="dxa"/>
            <w:vAlign w:val="bottom"/>
            <w:tcBorders>
              <w:bottom w:val="single" w:sz="8" w:color="D1EDF4"/>
            </w:tcBorders>
            <w:gridSpan w:val="2"/>
            <w:shd w:val="clear" w:color="auto" w:fill="D1EDF4"/>
          </w:tcPr>
          <w:p>
            <w:pPr>
              <w:spacing w:after="0"/>
              <w:rPr>
                <w:sz w:val="20"/>
                <w:szCs w:val="20"/>
                <w:color w:val="auto"/>
              </w:rPr>
            </w:pPr>
            <w:r>
              <w:rPr>
                <w:rFonts w:ascii="Arial" w:cs="Arial" w:eastAsia="Arial" w:hAnsi="Arial"/>
                <w:sz w:val="18"/>
                <w:szCs w:val="18"/>
                <w:color w:val="auto"/>
              </w:rPr>
              <w:t>Short term lease cost</w:t>
            </w:r>
          </w:p>
        </w:tc>
        <w:tc>
          <w:tcPr>
            <w:tcW w:w="260" w:type="dxa"/>
            <w:vAlign w:val="bottom"/>
            <w:tcBorders>
              <w:bottom w:val="single" w:sz="8" w:color="auto"/>
            </w:tcBorders>
            <w:shd w:val="clear" w:color="auto" w:fill="D1EDF4"/>
          </w:tcPr>
          <w:p>
            <w:pPr>
              <w:spacing w:after="0"/>
              <w:rPr>
                <w:sz w:val="21"/>
                <w:szCs w:val="21"/>
                <w:color w:val="auto"/>
              </w:rPr>
            </w:pPr>
          </w:p>
        </w:tc>
        <w:tc>
          <w:tcPr>
            <w:tcW w:w="1000" w:type="dxa"/>
            <w:vAlign w:val="bottom"/>
            <w:tcBorders>
              <w:bottom w:val="single" w:sz="8" w:color="auto"/>
            </w:tcBorders>
            <w:shd w:val="clear" w:color="auto" w:fill="D1EDF4"/>
          </w:tcPr>
          <w:p>
            <w:pPr>
              <w:jc w:val="right"/>
              <w:spacing w:after="0"/>
              <w:rPr>
                <w:sz w:val="20"/>
                <w:szCs w:val="20"/>
                <w:color w:val="auto"/>
              </w:rPr>
            </w:pPr>
            <w:r>
              <w:rPr>
                <w:rFonts w:ascii="Arial" w:cs="Arial" w:eastAsia="Arial" w:hAnsi="Arial"/>
                <w:sz w:val="18"/>
                <w:szCs w:val="18"/>
                <w:color w:val="auto"/>
              </w:rPr>
              <w:t>1,635</w:t>
            </w:r>
          </w:p>
        </w:tc>
        <w:tc>
          <w:tcPr>
            <w:tcW w:w="200" w:type="dxa"/>
            <w:vAlign w:val="bottom"/>
            <w:tcBorders>
              <w:bottom w:val="single" w:sz="8" w:color="D1EDF4"/>
            </w:tcBorders>
            <w:shd w:val="clear" w:color="auto" w:fill="D1EDF4"/>
          </w:tcPr>
          <w:p>
            <w:pPr>
              <w:spacing w:after="0"/>
              <w:rPr>
                <w:sz w:val="21"/>
                <w:szCs w:val="21"/>
                <w:color w:val="auto"/>
              </w:rPr>
            </w:pPr>
          </w:p>
        </w:tc>
        <w:tc>
          <w:tcPr>
            <w:tcW w:w="20" w:type="dxa"/>
            <w:vAlign w:val="bottom"/>
            <w:tcBorders>
              <w:bottom w:val="single" w:sz="8" w:color="D1EDF4"/>
            </w:tcBorders>
            <w:shd w:val="clear" w:color="auto" w:fill="D1EDF4"/>
          </w:tcPr>
          <w:p>
            <w:pPr>
              <w:spacing w:after="0"/>
              <w:rPr>
                <w:sz w:val="21"/>
                <w:szCs w:val="21"/>
                <w:color w:val="auto"/>
              </w:rPr>
            </w:pPr>
          </w:p>
        </w:tc>
        <w:tc>
          <w:tcPr>
            <w:tcW w:w="160" w:type="dxa"/>
            <w:vAlign w:val="bottom"/>
            <w:tcBorders>
              <w:bottom w:val="single" w:sz="8" w:color="auto"/>
            </w:tcBorders>
            <w:shd w:val="clear" w:color="auto" w:fill="D1EDF4"/>
          </w:tcPr>
          <w:p>
            <w:pPr>
              <w:spacing w:after="0"/>
              <w:rPr>
                <w:sz w:val="21"/>
                <w:szCs w:val="21"/>
                <w:color w:val="auto"/>
              </w:rPr>
            </w:pPr>
          </w:p>
        </w:tc>
        <w:tc>
          <w:tcPr>
            <w:tcW w:w="1120" w:type="dxa"/>
            <w:vAlign w:val="bottom"/>
            <w:tcBorders>
              <w:bottom w:val="single" w:sz="8" w:color="auto"/>
            </w:tcBorders>
            <w:shd w:val="clear" w:color="auto" w:fill="D1EDF4"/>
          </w:tcPr>
          <w:p>
            <w:pPr>
              <w:jc w:val="right"/>
              <w:spacing w:after="0"/>
              <w:rPr>
                <w:sz w:val="20"/>
                <w:szCs w:val="20"/>
                <w:color w:val="auto"/>
              </w:rPr>
            </w:pPr>
            <w:r>
              <w:rPr>
                <w:rFonts w:ascii="Arial" w:cs="Arial" w:eastAsia="Arial" w:hAnsi="Arial"/>
                <w:sz w:val="18"/>
                <w:szCs w:val="18"/>
                <w:color w:val="auto"/>
              </w:rPr>
              <w:t>2,241</w:t>
            </w:r>
          </w:p>
        </w:tc>
        <w:tc>
          <w:tcPr>
            <w:tcW w:w="200" w:type="dxa"/>
            <w:vAlign w:val="bottom"/>
            <w:tcBorders>
              <w:bottom w:val="single" w:sz="8" w:color="D1EDF4"/>
            </w:tcBorders>
            <w:shd w:val="clear" w:color="auto" w:fill="D1EDF4"/>
          </w:tcPr>
          <w:p>
            <w:pPr>
              <w:spacing w:after="0"/>
              <w:rPr>
                <w:sz w:val="21"/>
                <w:szCs w:val="21"/>
                <w:color w:val="auto"/>
              </w:rPr>
            </w:pPr>
          </w:p>
        </w:tc>
        <w:tc>
          <w:tcPr>
            <w:tcW w:w="20" w:type="dxa"/>
            <w:vAlign w:val="bottom"/>
            <w:tcBorders>
              <w:bottom w:val="single" w:sz="8" w:color="D1EDF4"/>
            </w:tcBorders>
            <w:shd w:val="clear" w:color="auto" w:fill="D1EDF4"/>
          </w:tcPr>
          <w:p>
            <w:pPr>
              <w:spacing w:after="0"/>
              <w:rPr>
                <w:sz w:val="21"/>
                <w:szCs w:val="21"/>
                <w:color w:val="auto"/>
              </w:rPr>
            </w:pPr>
          </w:p>
        </w:tc>
        <w:tc>
          <w:tcPr>
            <w:tcW w:w="280" w:type="dxa"/>
            <w:vAlign w:val="bottom"/>
            <w:tcBorders>
              <w:bottom w:val="single" w:sz="8" w:color="auto"/>
            </w:tcBorders>
            <w:shd w:val="clear" w:color="auto" w:fill="D1EDF4"/>
          </w:tcPr>
          <w:p>
            <w:pPr>
              <w:spacing w:after="0"/>
              <w:rPr>
                <w:sz w:val="21"/>
                <w:szCs w:val="21"/>
                <w:color w:val="auto"/>
              </w:rPr>
            </w:pPr>
          </w:p>
        </w:tc>
        <w:tc>
          <w:tcPr>
            <w:tcW w:w="1000" w:type="dxa"/>
            <w:vAlign w:val="bottom"/>
            <w:tcBorders>
              <w:bottom w:val="single" w:sz="8" w:color="auto"/>
            </w:tcBorders>
            <w:shd w:val="clear" w:color="auto" w:fill="D1EDF4"/>
          </w:tcPr>
          <w:p>
            <w:pPr>
              <w:jc w:val="right"/>
              <w:spacing w:after="0"/>
              <w:rPr>
                <w:sz w:val="20"/>
                <w:szCs w:val="20"/>
                <w:color w:val="auto"/>
              </w:rPr>
            </w:pPr>
            <w:r>
              <w:rPr>
                <w:rFonts w:ascii="Arial" w:cs="Arial" w:eastAsia="Arial" w:hAnsi="Arial"/>
                <w:sz w:val="18"/>
                <w:szCs w:val="18"/>
                <w:color w:val="auto"/>
              </w:rPr>
              <w:t>1,598</w:t>
            </w:r>
          </w:p>
        </w:tc>
      </w:tr>
      <w:tr>
        <w:trPr>
          <w:trHeight w:val="167"/>
        </w:trPr>
        <w:tc>
          <w:tcPr>
            <w:tcW w:w="4900" w:type="dxa"/>
            <w:vAlign w:val="bottom"/>
          </w:tcPr>
          <w:p>
            <w:pPr>
              <w:spacing w:after="0" w:line="158" w:lineRule="exact"/>
              <w:rPr>
                <w:sz w:val="20"/>
                <w:szCs w:val="20"/>
                <w:color w:val="auto"/>
              </w:rPr>
            </w:pPr>
            <w:r>
              <w:rPr>
                <w:rFonts w:ascii="Arial" w:cs="Arial" w:eastAsia="Arial" w:hAnsi="Arial"/>
                <w:sz w:val="18"/>
                <w:szCs w:val="18"/>
                <w:color w:val="auto"/>
              </w:rPr>
              <w:t>Total lease cost</w:t>
            </w: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jc w:val="right"/>
              <w:ind w:right="105"/>
              <w:spacing w:after="0" w:line="159" w:lineRule="exact"/>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8"/>
                <w:szCs w:val="18"/>
                <w:color w:val="auto"/>
              </w:rPr>
              <w:t>75,994</w:t>
            </w:r>
          </w:p>
        </w:tc>
        <w:tc>
          <w:tcPr>
            <w:tcW w:w="2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8"/>
                <w:szCs w:val="18"/>
                <w:color w:val="auto"/>
              </w:rPr>
              <w:t>74,529</w:t>
            </w:r>
          </w:p>
        </w:tc>
        <w:tc>
          <w:tcPr>
            <w:tcW w:w="2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jc w:val="right"/>
              <w:ind w:right="90"/>
              <w:spacing w:after="0" w:line="158"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8"/>
                <w:szCs w:val="18"/>
                <w:color w:val="auto"/>
              </w:rPr>
              <w:t>74,831</w:t>
            </w:r>
          </w:p>
        </w:tc>
      </w:tr>
    </w:tbl>
    <w:p>
      <w:pPr>
        <w:spacing w:after="0" w:line="200" w:lineRule="exact"/>
        <w:rPr>
          <w:sz w:val="20"/>
          <w:szCs w:val="20"/>
          <w:color w:val="auto"/>
        </w:rPr>
      </w:pPr>
    </w:p>
    <w:p>
      <w:pPr>
        <w:sectPr>
          <w:pgSz w:w="11880" w:h="15480" w:orient="portrait"/>
          <w:cols w:equalWidth="0" w:num="1">
            <w:col w:w="10780"/>
          </w:cols>
          <w:pgMar w:left="540" w:top="804" w:right="560" w:bottom="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ectPr>
          <w:pgSz w:w="11880" w:h="15480" w:orient="portrait"/>
          <w:cols w:equalWidth="0" w:num="1">
            <w:col w:w="10780"/>
          </w:cols>
          <w:pgMar w:left="540" w:top="804" w:right="560" w:bottom="16" w:gutter="0" w:footer="0" w:header="0"/>
          <w:type w:val="continuous"/>
        </w:sectPr>
      </w:pPr>
    </w:p>
    <w:bookmarkStart w:id="46" w:name="page47"/>
    <w:bookmarkEnd w:id="46"/>
    <w:p>
      <w:pPr>
        <w:spacing w:after="0"/>
        <w:rPr>
          <w:sz w:val="20"/>
          <w:szCs w:val="20"/>
          <w:color w:val="auto"/>
        </w:rPr>
      </w:pPr>
      <w:r>
        <w:rPr>
          <w:rFonts w:ascii="Arial" w:cs="Arial" w:eastAsia="Arial" w:hAnsi="Arial"/>
          <w:sz w:val="19"/>
          <w:szCs w:val="19"/>
          <w:color w:val="auto"/>
        </w:rPr>
        <w:t>Future minimum lease payments as of January 31, 2026 are as follows (in thousands):</w:t>
      </w:r>
    </w:p>
    <w:p>
      <w:pPr>
        <w:spacing w:after="0" w:line="247" w:lineRule="exact"/>
        <w:rPr>
          <w:sz w:val="20"/>
          <w:szCs w:val="20"/>
          <w:color w:val="auto"/>
        </w:rPr>
      </w:pPr>
    </w:p>
    <w:tbl>
      <w:tblPr>
        <w:tblLayout w:type="fixed"/>
        <w:tblInd w:w="940" w:type="dxa"/>
        <w:tblCellMar>
          <w:top w:w="0" w:type="dxa"/>
          <w:left w:w="0" w:type="dxa"/>
          <w:bottom w:w="0" w:type="dxa"/>
          <w:right w:w="0" w:type="dxa"/>
        </w:tblCellMar>
      </w:tblPr>
      <w:tr>
        <w:trPr>
          <w:trHeight w:val="204"/>
        </w:trPr>
        <w:tc>
          <w:tcPr>
            <w:tcW w:w="64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Fiscal Year</w:t>
            </w:r>
          </w:p>
        </w:tc>
        <w:tc>
          <w:tcPr>
            <w:tcW w:w="280" w:type="dxa"/>
            <w:vAlign w:val="bottom"/>
            <w:tcBorders>
              <w:bottom w:val="single" w:sz="8" w:color="D1EDF4"/>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Lease Costs</w:t>
            </w:r>
          </w:p>
        </w:tc>
        <w:tc>
          <w:tcPr>
            <w:tcW w:w="520" w:type="dxa"/>
            <w:vAlign w:val="bottom"/>
            <w:tcBorders>
              <w:bottom w:val="single" w:sz="8" w:color="D1EDF4"/>
            </w:tcBorders>
          </w:tcPr>
          <w:p>
            <w:pPr>
              <w:spacing w:after="0"/>
              <w:rPr>
                <w:sz w:val="17"/>
                <w:szCs w:val="17"/>
                <w:color w:val="auto"/>
              </w:rPr>
            </w:pPr>
          </w:p>
        </w:tc>
      </w:tr>
      <w:tr>
        <w:trPr>
          <w:trHeight w:val="197"/>
        </w:trPr>
        <w:tc>
          <w:tcPr>
            <w:tcW w:w="6420" w:type="dxa"/>
            <w:vAlign w:val="bottom"/>
            <w:shd w:val="clear" w:color="auto" w:fill="D1EDF4"/>
          </w:tcPr>
          <w:p>
            <w:pPr>
              <w:spacing w:after="0" w:line="197" w:lineRule="exact"/>
              <w:rPr>
                <w:sz w:val="20"/>
                <w:szCs w:val="20"/>
                <w:color w:val="auto"/>
              </w:rPr>
            </w:pPr>
            <w:r>
              <w:rPr>
                <w:rFonts w:ascii="Arial" w:cs="Arial" w:eastAsia="Arial" w:hAnsi="Arial"/>
                <w:sz w:val="18"/>
                <w:szCs w:val="18"/>
                <w:color w:val="auto"/>
              </w:rPr>
              <w:t>2026</w:t>
            </w:r>
          </w:p>
        </w:tc>
        <w:tc>
          <w:tcPr>
            <w:tcW w:w="520" w:type="dxa"/>
            <w:vAlign w:val="bottom"/>
            <w:gridSpan w:val="2"/>
            <w:shd w:val="clear" w:color="auto" w:fill="D1EDF4"/>
          </w:tcPr>
          <w:p>
            <w:pPr>
              <w:jc w:val="right"/>
              <w:ind w:right="50"/>
              <w:spacing w:after="0" w:line="197" w:lineRule="exact"/>
              <w:rPr>
                <w:sz w:val="20"/>
                <w:szCs w:val="20"/>
                <w:color w:val="auto"/>
              </w:rPr>
            </w:pPr>
            <w:r>
              <w:rPr>
                <w:rFonts w:ascii="Arial" w:cs="Arial" w:eastAsia="Arial" w:hAnsi="Arial"/>
                <w:sz w:val="18"/>
                <w:szCs w:val="18"/>
                <w:color w:val="auto"/>
              </w:rPr>
              <w:t>$</w:t>
            </w:r>
          </w:p>
        </w:tc>
        <w:tc>
          <w:tcPr>
            <w:tcW w:w="1460" w:type="dxa"/>
            <w:vAlign w:val="bottom"/>
            <w:shd w:val="clear" w:color="auto" w:fill="D1EDF4"/>
          </w:tcPr>
          <w:p>
            <w:pPr>
              <w:jc w:val="right"/>
              <w:spacing w:after="0" w:line="197" w:lineRule="exact"/>
              <w:rPr>
                <w:sz w:val="20"/>
                <w:szCs w:val="20"/>
                <w:color w:val="auto"/>
              </w:rPr>
            </w:pPr>
            <w:r>
              <w:rPr>
                <w:rFonts w:ascii="Arial" w:cs="Arial" w:eastAsia="Arial" w:hAnsi="Arial"/>
                <w:sz w:val="18"/>
                <w:szCs w:val="18"/>
                <w:color w:val="auto"/>
              </w:rPr>
              <w:t>63,477</w:t>
            </w:r>
          </w:p>
        </w:tc>
        <w:tc>
          <w:tcPr>
            <w:tcW w:w="520" w:type="dxa"/>
            <w:vAlign w:val="bottom"/>
            <w:shd w:val="clear" w:color="auto" w:fill="D1EDF4"/>
          </w:tcPr>
          <w:p>
            <w:pPr>
              <w:spacing w:after="0"/>
              <w:rPr>
                <w:sz w:val="17"/>
                <w:szCs w:val="17"/>
                <w:color w:val="auto"/>
              </w:rPr>
            </w:pPr>
          </w:p>
        </w:tc>
      </w:tr>
      <w:tr>
        <w:trPr>
          <w:trHeight w:val="209"/>
        </w:trPr>
        <w:tc>
          <w:tcPr>
            <w:tcW w:w="6420" w:type="dxa"/>
            <w:vAlign w:val="bottom"/>
          </w:tcPr>
          <w:p>
            <w:pPr>
              <w:spacing w:after="0"/>
              <w:rPr>
                <w:sz w:val="20"/>
                <w:szCs w:val="20"/>
                <w:color w:val="auto"/>
              </w:rPr>
            </w:pPr>
            <w:r>
              <w:rPr>
                <w:rFonts w:ascii="Arial" w:cs="Arial" w:eastAsia="Arial" w:hAnsi="Arial"/>
                <w:sz w:val="18"/>
                <w:szCs w:val="18"/>
                <w:color w:val="auto"/>
              </w:rPr>
              <w:t>2027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51,588</w:t>
            </w:r>
          </w:p>
        </w:tc>
        <w:tc>
          <w:tcPr>
            <w:tcW w:w="520" w:type="dxa"/>
            <w:vAlign w:val="bottom"/>
          </w:tcPr>
          <w:p>
            <w:pPr>
              <w:spacing w:after="0"/>
              <w:rPr>
                <w:sz w:val="18"/>
                <w:szCs w:val="18"/>
                <w:color w:val="auto"/>
              </w:rPr>
            </w:pPr>
          </w:p>
        </w:tc>
      </w:tr>
      <w:tr>
        <w:trPr>
          <w:trHeight w:val="208"/>
        </w:trPr>
        <w:tc>
          <w:tcPr>
            <w:tcW w:w="6420" w:type="dxa"/>
            <w:vAlign w:val="bottom"/>
            <w:shd w:val="clear" w:color="auto" w:fill="D1EDF4"/>
          </w:tcPr>
          <w:p>
            <w:pPr>
              <w:spacing w:after="0"/>
              <w:rPr>
                <w:sz w:val="20"/>
                <w:szCs w:val="20"/>
                <w:color w:val="auto"/>
              </w:rPr>
            </w:pPr>
            <w:r>
              <w:rPr>
                <w:rFonts w:ascii="Arial" w:cs="Arial" w:eastAsia="Arial" w:hAnsi="Arial"/>
                <w:sz w:val="18"/>
                <w:szCs w:val="18"/>
                <w:color w:val="auto"/>
              </w:rPr>
              <w:t>2028</w:t>
            </w:r>
          </w:p>
        </w:tc>
        <w:tc>
          <w:tcPr>
            <w:tcW w:w="280" w:type="dxa"/>
            <w:vAlign w:val="bottom"/>
            <w:tcBorders>
              <w:right w:val="single" w:sz="8" w:color="D1EDF4"/>
            </w:tcBorders>
            <w:shd w:val="clear" w:color="auto" w:fill="D1EDF4"/>
          </w:tcPr>
          <w:p>
            <w:pPr>
              <w:spacing w:after="0"/>
              <w:rPr>
                <w:sz w:val="18"/>
                <w:szCs w:val="18"/>
                <w:color w:val="auto"/>
              </w:rPr>
            </w:pPr>
          </w:p>
        </w:tc>
        <w:tc>
          <w:tcPr>
            <w:tcW w:w="240" w:type="dxa"/>
            <w:vAlign w:val="bottom"/>
            <w:shd w:val="clear" w:color="auto" w:fill="D1EDF4"/>
          </w:tcPr>
          <w:p>
            <w:pPr>
              <w:spacing w:after="0"/>
              <w:rPr>
                <w:sz w:val="18"/>
                <w:szCs w:val="18"/>
                <w:color w:val="auto"/>
              </w:rPr>
            </w:pPr>
          </w:p>
        </w:tc>
        <w:tc>
          <w:tcPr>
            <w:tcW w:w="1460" w:type="dxa"/>
            <w:vAlign w:val="bottom"/>
            <w:shd w:val="clear" w:color="auto" w:fill="D1EDF4"/>
          </w:tcPr>
          <w:p>
            <w:pPr>
              <w:jc w:val="right"/>
              <w:spacing w:after="0"/>
              <w:rPr>
                <w:sz w:val="20"/>
                <w:szCs w:val="20"/>
                <w:color w:val="auto"/>
              </w:rPr>
            </w:pPr>
            <w:r>
              <w:rPr>
                <w:rFonts w:ascii="Arial" w:cs="Arial" w:eastAsia="Arial" w:hAnsi="Arial"/>
                <w:sz w:val="18"/>
                <w:szCs w:val="18"/>
                <w:color w:val="auto"/>
              </w:rPr>
              <w:t>42,083</w:t>
            </w:r>
          </w:p>
        </w:tc>
        <w:tc>
          <w:tcPr>
            <w:tcW w:w="520" w:type="dxa"/>
            <w:vAlign w:val="bottom"/>
            <w:shd w:val="clear" w:color="auto" w:fill="D1EDF4"/>
          </w:tcPr>
          <w:p>
            <w:pPr>
              <w:spacing w:after="0"/>
              <w:rPr>
                <w:sz w:val="18"/>
                <w:szCs w:val="18"/>
                <w:color w:val="auto"/>
              </w:rPr>
            </w:pPr>
          </w:p>
        </w:tc>
      </w:tr>
      <w:tr>
        <w:trPr>
          <w:trHeight w:val="208"/>
        </w:trPr>
        <w:tc>
          <w:tcPr>
            <w:tcW w:w="6420" w:type="dxa"/>
            <w:vAlign w:val="bottom"/>
          </w:tcPr>
          <w:p>
            <w:pPr>
              <w:spacing w:after="0"/>
              <w:rPr>
                <w:sz w:val="20"/>
                <w:szCs w:val="20"/>
                <w:color w:val="auto"/>
              </w:rPr>
            </w:pPr>
            <w:r>
              <w:rPr>
                <w:rFonts w:ascii="Arial" w:cs="Arial" w:eastAsia="Arial" w:hAnsi="Arial"/>
                <w:sz w:val="18"/>
                <w:szCs w:val="18"/>
                <w:color w:val="auto"/>
              </w:rPr>
              <w:t>2029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32,612</w:t>
            </w:r>
          </w:p>
        </w:tc>
        <w:tc>
          <w:tcPr>
            <w:tcW w:w="520" w:type="dxa"/>
            <w:vAlign w:val="bottom"/>
          </w:tcPr>
          <w:p>
            <w:pPr>
              <w:spacing w:after="0"/>
              <w:rPr>
                <w:sz w:val="18"/>
                <w:szCs w:val="18"/>
                <w:color w:val="auto"/>
              </w:rPr>
            </w:pPr>
          </w:p>
        </w:tc>
      </w:tr>
      <w:tr>
        <w:trPr>
          <w:trHeight w:val="209"/>
        </w:trPr>
        <w:tc>
          <w:tcPr>
            <w:tcW w:w="6420" w:type="dxa"/>
            <w:vAlign w:val="bottom"/>
            <w:shd w:val="clear" w:color="auto" w:fill="D1EDF4"/>
          </w:tcPr>
          <w:p>
            <w:pPr>
              <w:spacing w:after="0"/>
              <w:rPr>
                <w:sz w:val="20"/>
                <w:szCs w:val="20"/>
                <w:color w:val="auto"/>
              </w:rPr>
            </w:pPr>
            <w:r>
              <w:rPr>
                <w:rFonts w:ascii="Arial" w:cs="Arial" w:eastAsia="Arial" w:hAnsi="Arial"/>
                <w:sz w:val="18"/>
                <w:szCs w:val="18"/>
                <w:color w:val="auto"/>
              </w:rPr>
              <w:t>2030</w:t>
            </w:r>
          </w:p>
        </w:tc>
        <w:tc>
          <w:tcPr>
            <w:tcW w:w="280" w:type="dxa"/>
            <w:vAlign w:val="bottom"/>
            <w:tcBorders>
              <w:right w:val="single" w:sz="8" w:color="D1EDF4"/>
            </w:tcBorders>
            <w:shd w:val="clear" w:color="auto" w:fill="D1EDF4"/>
          </w:tcPr>
          <w:p>
            <w:pPr>
              <w:spacing w:after="0"/>
              <w:rPr>
                <w:sz w:val="18"/>
                <w:szCs w:val="18"/>
                <w:color w:val="auto"/>
              </w:rPr>
            </w:pPr>
          </w:p>
        </w:tc>
        <w:tc>
          <w:tcPr>
            <w:tcW w:w="240" w:type="dxa"/>
            <w:vAlign w:val="bottom"/>
            <w:shd w:val="clear" w:color="auto" w:fill="D1EDF4"/>
          </w:tcPr>
          <w:p>
            <w:pPr>
              <w:spacing w:after="0"/>
              <w:rPr>
                <w:sz w:val="18"/>
                <w:szCs w:val="18"/>
                <w:color w:val="auto"/>
              </w:rPr>
            </w:pPr>
          </w:p>
        </w:tc>
        <w:tc>
          <w:tcPr>
            <w:tcW w:w="1460" w:type="dxa"/>
            <w:vAlign w:val="bottom"/>
            <w:shd w:val="clear" w:color="auto" w:fill="D1EDF4"/>
          </w:tcPr>
          <w:p>
            <w:pPr>
              <w:jc w:val="right"/>
              <w:spacing w:after="0"/>
              <w:rPr>
                <w:sz w:val="20"/>
                <w:szCs w:val="20"/>
                <w:color w:val="auto"/>
              </w:rPr>
            </w:pPr>
            <w:r>
              <w:rPr>
                <w:rFonts w:ascii="Arial" w:cs="Arial" w:eastAsia="Arial" w:hAnsi="Arial"/>
                <w:sz w:val="18"/>
                <w:szCs w:val="18"/>
                <w:color w:val="auto"/>
              </w:rPr>
              <w:t>22,216</w:t>
            </w:r>
          </w:p>
        </w:tc>
        <w:tc>
          <w:tcPr>
            <w:tcW w:w="520" w:type="dxa"/>
            <w:vAlign w:val="bottom"/>
            <w:shd w:val="clear" w:color="auto" w:fill="D1EDF4"/>
          </w:tcPr>
          <w:p>
            <w:pPr>
              <w:spacing w:after="0"/>
              <w:rPr>
                <w:sz w:val="18"/>
                <w:szCs w:val="18"/>
                <w:color w:val="auto"/>
              </w:rPr>
            </w:pPr>
          </w:p>
        </w:tc>
      </w:tr>
      <w:tr>
        <w:trPr>
          <w:trHeight w:val="208"/>
        </w:trPr>
        <w:tc>
          <w:tcPr>
            <w:tcW w:w="6420" w:type="dxa"/>
            <w:vAlign w:val="bottom"/>
            <w:tcBorders>
              <w:bottom w:val="single" w:sz="8" w:color="D1EDF4"/>
            </w:tcBorders>
          </w:tcPr>
          <w:p>
            <w:pPr>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D1EDF4"/>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97,927</w:t>
            </w:r>
          </w:p>
        </w:tc>
        <w:tc>
          <w:tcPr>
            <w:tcW w:w="520" w:type="dxa"/>
            <w:vAlign w:val="bottom"/>
            <w:tcBorders>
              <w:bottom w:val="single" w:sz="8" w:color="D1EDF4"/>
            </w:tcBorders>
          </w:tcPr>
          <w:p>
            <w:pPr>
              <w:spacing w:after="0"/>
              <w:rPr>
                <w:sz w:val="18"/>
                <w:szCs w:val="18"/>
                <w:color w:val="auto"/>
              </w:rPr>
            </w:pPr>
          </w:p>
        </w:tc>
      </w:tr>
      <w:tr>
        <w:trPr>
          <w:trHeight w:val="198"/>
        </w:trPr>
        <w:tc>
          <w:tcPr>
            <w:tcW w:w="6420" w:type="dxa"/>
            <w:vAlign w:val="bottom"/>
            <w:shd w:val="clear" w:color="auto" w:fill="D1EDF4"/>
          </w:tcPr>
          <w:p>
            <w:pPr>
              <w:spacing w:after="0" w:line="199" w:lineRule="exact"/>
              <w:rPr>
                <w:sz w:val="20"/>
                <w:szCs w:val="20"/>
                <w:color w:val="auto"/>
              </w:rPr>
            </w:pPr>
            <w:r>
              <w:rPr>
                <w:rFonts w:ascii="Arial" w:cs="Arial" w:eastAsia="Arial" w:hAnsi="Arial"/>
                <w:sz w:val="18"/>
                <w:szCs w:val="18"/>
                <w:color w:val="auto"/>
              </w:rPr>
              <w:t>Total future minimum lease payments</w:t>
            </w:r>
          </w:p>
        </w:tc>
        <w:tc>
          <w:tcPr>
            <w:tcW w:w="280" w:type="dxa"/>
            <w:vAlign w:val="bottom"/>
            <w:tcBorders>
              <w:right w:val="single" w:sz="8" w:color="D1EDF4"/>
            </w:tcBorders>
            <w:shd w:val="clear" w:color="auto" w:fill="D1EDF4"/>
          </w:tcPr>
          <w:p>
            <w:pPr>
              <w:spacing w:after="0"/>
              <w:rPr>
                <w:sz w:val="17"/>
                <w:szCs w:val="17"/>
                <w:color w:val="auto"/>
              </w:rPr>
            </w:pPr>
          </w:p>
        </w:tc>
        <w:tc>
          <w:tcPr>
            <w:tcW w:w="240" w:type="dxa"/>
            <w:vAlign w:val="bottom"/>
            <w:shd w:val="clear" w:color="auto" w:fill="D1EDF4"/>
          </w:tcPr>
          <w:p>
            <w:pPr>
              <w:spacing w:after="0"/>
              <w:rPr>
                <w:sz w:val="17"/>
                <w:szCs w:val="17"/>
                <w:color w:val="auto"/>
              </w:rPr>
            </w:pPr>
          </w:p>
        </w:tc>
        <w:tc>
          <w:tcPr>
            <w:tcW w:w="1460" w:type="dxa"/>
            <w:vAlign w:val="bottom"/>
            <w:shd w:val="clear" w:color="auto" w:fill="D1EDF4"/>
          </w:tcPr>
          <w:p>
            <w:pPr>
              <w:jc w:val="right"/>
              <w:spacing w:after="0" w:line="199" w:lineRule="exact"/>
              <w:rPr>
                <w:sz w:val="20"/>
                <w:szCs w:val="20"/>
                <w:color w:val="auto"/>
              </w:rPr>
            </w:pPr>
            <w:r>
              <w:rPr>
                <w:rFonts w:ascii="Arial" w:cs="Arial" w:eastAsia="Arial" w:hAnsi="Arial"/>
                <w:sz w:val="18"/>
                <w:szCs w:val="18"/>
                <w:color w:val="auto"/>
              </w:rPr>
              <w:t>309,903</w:t>
            </w:r>
          </w:p>
        </w:tc>
        <w:tc>
          <w:tcPr>
            <w:tcW w:w="520" w:type="dxa"/>
            <w:vAlign w:val="bottom"/>
            <w:shd w:val="clear" w:color="auto" w:fill="D1EDF4"/>
          </w:tcPr>
          <w:p>
            <w:pPr>
              <w:spacing w:after="0"/>
              <w:rPr>
                <w:sz w:val="17"/>
                <w:szCs w:val="17"/>
                <w:color w:val="auto"/>
              </w:rPr>
            </w:pPr>
          </w:p>
        </w:tc>
      </w:tr>
      <w:tr>
        <w:trPr>
          <w:trHeight w:val="208"/>
        </w:trPr>
        <w:tc>
          <w:tcPr>
            <w:tcW w:w="6420" w:type="dxa"/>
            <w:vAlign w:val="bottom"/>
          </w:tcPr>
          <w:p>
            <w:pPr>
              <w:spacing w:after="0"/>
              <w:rPr>
                <w:sz w:val="20"/>
                <w:szCs w:val="20"/>
                <w:color w:val="auto"/>
              </w:rPr>
            </w:pPr>
            <w:r>
              <w:rPr>
                <w:rFonts w:ascii="Arial" w:cs="Arial" w:eastAsia="Arial" w:hAnsi="Arial"/>
                <w:sz w:val="18"/>
                <w:szCs w:val="18"/>
                <w:color w:val="auto"/>
              </w:rPr>
              <w:t>Less: imputed interest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80" w:type="dxa"/>
            <w:vAlign w:val="bottom"/>
            <w:gridSpan w:val="2"/>
          </w:tcPr>
          <w:p>
            <w:pPr>
              <w:jc w:val="right"/>
              <w:ind w:right="190"/>
              <w:spacing w:after="0"/>
              <w:rPr>
                <w:sz w:val="20"/>
                <w:szCs w:val="20"/>
                <w:color w:val="auto"/>
              </w:rPr>
            </w:pPr>
            <w:r>
              <w:rPr>
                <w:rFonts w:ascii="Arial" w:cs="Arial" w:eastAsia="Arial" w:hAnsi="Arial"/>
                <w:sz w:val="18"/>
                <w:szCs w:val="18"/>
                <w:color w:val="auto"/>
              </w:rPr>
              <w:t xml:space="preserve">(86,585) </w:t>
            </w:r>
            <w:r>
              <w:rPr>
                <w:rFonts w:ascii="Arial" w:cs="Arial" w:eastAsia="Arial" w:hAnsi="Arial"/>
                <w:sz w:val="14"/>
                <w:szCs w:val="14"/>
                <w:color w:val="auto"/>
              </w:rPr>
              <w:t>(1)</w:t>
            </w:r>
          </w:p>
        </w:tc>
      </w:tr>
      <w:tr>
        <w:trPr>
          <w:trHeight w:val="178"/>
        </w:trPr>
        <w:tc>
          <w:tcPr>
            <w:tcW w:w="6420" w:type="dxa"/>
            <w:vAlign w:val="bottom"/>
            <w:tcBorders>
              <w:top w:val="single" w:sz="8" w:color="D1EDF4"/>
              <w:bottom w:val="single" w:sz="8" w:color="D1EDF4"/>
            </w:tcBorders>
            <w:shd w:val="clear" w:color="auto" w:fill="D1EDF4"/>
          </w:tcPr>
          <w:p>
            <w:pPr>
              <w:spacing w:after="0" w:line="175" w:lineRule="exact"/>
              <w:rPr>
                <w:sz w:val="20"/>
                <w:szCs w:val="20"/>
                <w:color w:val="auto"/>
              </w:rPr>
            </w:pPr>
            <w:r>
              <w:rPr>
                <w:rFonts w:ascii="Arial" w:cs="Arial" w:eastAsia="Arial" w:hAnsi="Arial"/>
                <w:sz w:val="18"/>
                <w:szCs w:val="18"/>
                <w:color w:val="auto"/>
              </w:rPr>
              <w:t>Total present value of lease liabilities</w:t>
            </w:r>
          </w:p>
        </w:tc>
        <w:tc>
          <w:tcPr>
            <w:tcW w:w="280" w:type="dxa"/>
            <w:vAlign w:val="bottom"/>
            <w:tcBorders>
              <w:top w:val="single" w:sz="8" w:color="D1EDF4"/>
              <w:bottom w:val="single" w:sz="8" w:color="D1EDF4"/>
              <w:right w:val="single" w:sz="8" w:color="D1EDF4"/>
            </w:tcBorders>
            <w:shd w:val="clear" w:color="auto" w:fill="D1EDF4"/>
          </w:tcPr>
          <w:p>
            <w:pPr>
              <w:spacing w:after="0"/>
              <w:rPr>
                <w:sz w:val="15"/>
                <w:szCs w:val="15"/>
                <w:color w:val="auto"/>
              </w:rPr>
            </w:pPr>
          </w:p>
        </w:tc>
        <w:tc>
          <w:tcPr>
            <w:tcW w:w="240" w:type="dxa"/>
            <w:vAlign w:val="bottom"/>
            <w:tcBorders>
              <w:top w:val="single" w:sz="8" w:color="auto"/>
              <w:bottom w:val="single" w:sz="8" w:color="D1EDF4"/>
            </w:tcBorders>
            <w:shd w:val="clear" w:color="auto" w:fill="D1EDF4"/>
          </w:tcPr>
          <w:p>
            <w:pPr>
              <w:jc w:val="right"/>
              <w:ind w:right="50"/>
              <w:spacing w:after="0" w:line="175" w:lineRule="exact"/>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D1EDF4"/>
            </w:tcBorders>
            <w:shd w:val="clear" w:color="auto" w:fill="D1EDF4"/>
          </w:tcPr>
          <w:p>
            <w:pPr>
              <w:jc w:val="right"/>
              <w:spacing w:after="0" w:line="175" w:lineRule="exact"/>
              <w:rPr>
                <w:sz w:val="20"/>
                <w:szCs w:val="20"/>
                <w:color w:val="auto"/>
              </w:rPr>
            </w:pPr>
            <w:r>
              <w:rPr>
                <w:rFonts w:ascii="Arial" w:cs="Arial" w:eastAsia="Arial" w:hAnsi="Arial"/>
                <w:sz w:val="18"/>
                <w:szCs w:val="18"/>
                <w:color w:val="auto"/>
              </w:rPr>
              <w:t>223,318</w:t>
            </w:r>
          </w:p>
        </w:tc>
        <w:tc>
          <w:tcPr>
            <w:tcW w:w="520" w:type="dxa"/>
            <w:vAlign w:val="bottom"/>
            <w:tcBorders>
              <w:top w:val="single" w:sz="8" w:color="D1EDF4"/>
              <w:bottom w:val="single" w:sz="8" w:color="D1EDF4"/>
            </w:tcBorders>
            <w:shd w:val="clear" w:color="auto" w:fill="D1EDF4"/>
          </w:tcPr>
          <w:p>
            <w:pPr>
              <w:jc w:val="right"/>
              <w:ind w:right="190"/>
              <w:spacing w:after="0"/>
              <w:rPr>
                <w:sz w:val="20"/>
                <w:szCs w:val="20"/>
                <w:color w:val="auto"/>
              </w:rPr>
            </w:pPr>
            <w:r>
              <w:rPr>
                <w:rFonts w:ascii="Arial" w:cs="Arial" w:eastAsia="Arial" w:hAnsi="Arial"/>
                <w:sz w:val="14"/>
                <w:szCs w:val="14"/>
                <w:color w:val="auto"/>
              </w:rPr>
              <w:t>(2)</w:t>
            </w:r>
          </w:p>
        </w:tc>
      </w:tr>
      <w:tr>
        <w:trPr>
          <w:trHeight w:val="29"/>
        </w:trPr>
        <w:tc>
          <w:tcPr>
            <w:tcW w:w="642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r>
    </w:tbl>
    <w:p>
      <w:pPr>
        <w:spacing w:after="0" w:line="198" w:lineRule="exact"/>
        <w:rPr>
          <w:sz w:val="20"/>
          <w:szCs w:val="20"/>
          <w:color w:val="auto"/>
        </w:rPr>
      </w:pPr>
    </w:p>
    <w:p>
      <w:pPr>
        <w:ind w:left="1520" w:hanging="368"/>
        <w:spacing w:after="0"/>
        <w:tabs>
          <w:tab w:leader="none" w:pos="15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Calculated using the incremental borrowing rate for each lease.</w:t>
      </w:r>
    </w:p>
    <w:p>
      <w:pPr>
        <w:spacing w:after="0" w:line="147" w:lineRule="exact"/>
        <w:rPr>
          <w:rFonts w:ascii="Arial" w:cs="Arial" w:eastAsia="Arial" w:hAnsi="Arial"/>
          <w:sz w:val="16"/>
          <w:szCs w:val="16"/>
          <w:color w:val="auto"/>
        </w:rPr>
      </w:pPr>
    </w:p>
    <w:p>
      <w:pPr>
        <w:ind w:left="1520" w:hanging="368"/>
        <w:spacing w:after="0"/>
        <w:tabs>
          <w:tab w:leader="none" w:pos="15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Includes short-term and long-term portions of operating leases.</w:t>
      </w:r>
    </w:p>
    <w:p>
      <w:pPr>
        <w:spacing w:after="0" w:line="236"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Certain operating leases provide for fixed monthly rents, while others provide for contingent rents computed as a percentage of net sales and others provide for a combination of both fixed monthly rents and contingent rents computed as a percentage of net sales.</w:t>
      </w:r>
    </w:p>
    <w:p>
      <w:pPr>
        <w:spacing w:after="0" w:line="105" w:lineRule="exact"/>
        <w:rPr>
          <w:sz w:val="20"/>
          <w:szCs w:val="20"/>
          <w:color w:val="auto"/>
        </w:rPr>
      </w:pPr>
    </w:p>
    <w:p>
      <w:pPr>
        <w:ind w:right="480"/>
        <w:spacing w:after="0" w:line="281" w:lineRule="auto"/>
        <w:rPr>
          <w:sz w:val="20"/>
          <w:szCs w:val="20"/>
          <w:color w:val="auto"/>
        </w:rPr>
      </w:pPr>
      <w:r>
        <w:rPr>
          <w:rFonts w:ascii="Arial" w:cs="Arial" w:eastAsia="Arial" w:hAnsi="Arial"/>
          <w:sz w:val="19"/>
          <w:szCs w:val="19"/>
          <w:color w:val="auto"/>
        </w:rPr>
        <w:t>Supplemental cash flow and other information related to operating leases are as follows (in thousands, except for weighted average amounts):</w:t>
      </w:r>
    </w:p>
    <w:p>
      <w:pPr>
        <w:spacing w:after="0" w:line="105" w:lineRule="exact"/>
        <w:rPr>
          <w:sz w:val="20"/>
          <w:szCs w:val="20"/>
          <w:color w:val="auto"/>
        </w:rPr>
      </w:pPr>
    </w:p>
    <w:tbl>
      <w:tblPr>
        <w:tblLayout w:type="fixed"/>
        <w:tblInd w:w="580" w:type="dxa"/>
        <w:tblCellMar>
          <w:top w:w="0" w:type="dxa"/>
          <w:left w:w="0" w:type="dxa"/>
          <w:bottom w:w="0" w:type="dxa"/>
          <w:right w:w="0" w:type="dxa"/>
        </w:tblCellMar>
      </w:tblPr>
      <w:tr>
        <w:trPr>
          <w:trHeight w:val="204"/>
        </w:trPr>
        <w:tc>
          <w:tcPr>
            <w:tcW w:w="6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Fiscal Year</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174"/>
        </w:trPr>
        <w:tc>
          <w:tcPr>
            <w:tcW w:w="6160" w:type="dxa"/>
            <w:vAlign w:val="bottom"/>
            <w:tcBorders>
              <w:bottom w:val="single" w:sz="8" w:color="D1EDF4"/>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52"/>
              <w:spacing w:after="0" w:line="175" w:lineRule="exact"/>
              <w:rPr>
                <w:sz w:val="20"/>
                <w:szCs w:val="20"/>
                <w:color w:val="auto"/>
              </w:rPr>
            </w:pPr>
            <w:r>
              <w:rPr>
                <w:rFonts w:ascii="Arial" w:cs="Arial" w:eastAsia="Arial" w:hAnsi="Arial"/>
                <w:sz w:val="16"/>
                <w:szCs w:val="16"/>
                <w:b w:val="1"/>
                <w:bCs w:val="1"/>
                <w:color w:val="auto"/>
              </w:rPr>
              <w:t>2025</w:t>
            </w:r>
          </w:p>
        </w:tc>
        <w:tc>
          <w:tcPr>
            <w:tcW w:w="120" w:type="dxa"/>
            <w:vAlign w:val="bottom"/>
            <w:tcBorders>
              <w:bottom w:val="single" w:sz="8" w:color="D1EDF4"/>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93"/>
              <w:spacing w:after="0" w:line="175" w:lineRule="exact"/>
              <w:rPr>
                <w:sz w:val="20"/>
                <w:szCs w:val="20"/>
                <w:color w:val="auto"/>
              </w:rPr>
            </w:pPr>
            <w:r>
              <w:rPr>
                <w:rFonts w:ascii="Arial" w:cs="Arial" w:eastAsia="Arial" w:hAnsi="Arial"/>
                <w:sz w:val="16"/>
                <w:szCs w:val="16"/>
                <w:b w:val="1"/>
                <w:bCs w:val="1"/>
                <w:color w:val="auto"/>
              </w:rPr>
              <w:t>2024</w:t>
            </w:r>
          </w:p>
        </w:tc>
        <w:tc>
          <w:tcPr>
            <w:tcW w:w="120" w:type="dxa"/>
            <w:vAlign w:val="bottom"/>
            <w:tcBorders>
              <w:bottom w:val="single" w:sz="8" w:color="D1EDF4"/>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92"/>
              <w:spacing w:after="0" w:line="175" w:lineRule="exact"/>
              <w:rPr>
                <w:sz w:val="20"/>
                <w:szCs w:val="20"/>
                <w:color w:val="auto"/>
              </w:rPr>
            </w:pPr>
            <w:r>
              <w:rPr>
                <w:rFonts w:ascii="Arial" w:cs="Arial" w:eastAsia="Arial" w:hAnsi="Arial"/>
                <w:sz w:val="16"/>
                <w:szCs w:val="16"/>
                <w:b w:val="1"/>
                <w:bCs w:val="1"/>
                <w:color w:val="auto"/>
              </w:rPr>
              <w:t>2023</w:t>
            </w:r>
          </w:p>
        </w:tc>
      </w:tr>
      <w:tr>
        <w:trPr>
          <w:trHeight w:val="198"/>
        </w:trPr>
        <w:tc>
          <w:tcPr>
            <w:tcW w:w="6160" w:type="dxa"/>
            <w:vAlign w:val="bottom"/>
            <w:shd w:val="clear" w:color="auto" w:fill="D1EDF4"/>
          </w:tcPr>
          <w:p>
            <w:pPr>
              <w:spacing w:after="0" w:line="199" w:lineRule="exact"/>
              <w:rPr>
                <w:sz w:val="20"/>
                <w:szCs w:val="20"/>
                <w:color w:val="auto"/>
              </w:rPr>
            </w:pPr>
            <w:r>
              <w:rPr>
                <w:rFonts w:ascii="Arial" w:cs="Arial" w:eastAsia="Arial" w:hAnsi="Arial"/>
                <w:sz w:val="18"/>
                <w:szCs w:val="18"/>
                <w:color w:val="auto"/>
              </w:rPr>
              <w:t>Cash paid for operating leases</w:t>
            </w:r>
          </w:p>
        </w:tc>
        <w:tc>
          <w:tcPr>
            <w:tcW w:w="200" w:type="dxa"/>
            <w:vAlign w:val="bottom"/>
            <w:shd w:val="clear" w:color="auto" w:fill="D1EDF4"/>
          </w:tcPr>
          <w:p>
            <w:pPr>
              <w:jc w:val="right"/>
              <w:ind w:right="10"/>
              <w:spacing w:after="0" w:line="199"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D1EDF4"/>
          </w:tcPr>
          <w:p>
            <w:pPr>
              <w:jc w:val="right"/>
              <w:spacing w:after="0" w:line="199" w:lineRule="exact"/>
              <w:rPr>
                <w:sz w:val="20"/>
                <w:szCs w:val="20"/>
                <w:color w:val="auto"/>
              </w:rPr>
            </w:pPr>
            <w:r>
              <w:rPr>
                <w:rFonts w:ascii="Arial" w:cs="Arial" w:eastAsia="Arial" w:hAnsi="Arial"/>
                <w:sz w:val="18"/>
                <w:szCs w:val="18"/>
                <w:color w:val="auto"/>
              </w:rPr>
              <w:t>63,261</w:t>
            </w:r>
          </w:p>
        </w:tc>
        <w:tc>
          <w:tcPr>
            <w:tcW w:w="260" w:type="dxa"/>
            <w:vAlign w:val="bottom"/>
            <w:gridSpan w:val="2"/>
            <w:shd w:val="clear" w:color="auto" w:fill="D1EDF4"/>
          </w:tcPr>
          <w:p>
            <w:pPr>
              <w:jc w:val="right"/>
              <w:ind w:right="40"/>
              <w:spacing w:after="0" w:line="199" w:lineRule="exact"/>
              <w:rPr>
                <w:sz w:val="20"/>
                <w:szCs w:val="20"/>
                <w:color w:val="auto"/>
              </w:rPr>
            </w:pPr>
            <w:r>
              <w:rPr>
                <w:rFonts w:ascii="Arial" w:cs="Arial" w:eastAsia="Arial" w:hAnsi="Arial"/>
                <w:sz w:val="18"/>
                <w:szCs w:val="18"/>
                <w:color w:val="auto"/>
              </w:rPr>
              <w:t>$</w:t>
            </w:r>
          </w:p>
        </w:tc>
        <w:tc>
          <w:tcPr>
            <w:tcW w:w="980" w:type="dxa"/>
            <w:vAlign w:val="bottom"/>
            <w:shd w:val="clear" w:color="auto" w:fill="D1EDF4"/>
          </w:tcPr>
          <w:p>
            <w:pPr>
              <w:jc w:val="right"/>
              <w:spacing w:after="0" w:line="199" w:lineRule="exact"/>
              <w:rPr>
                <w:sz w:val="20"/>
                <w:szCs w:val="20"/>
                <w:color w:val="auto"/>
              </w:rPr>
            </w:pPr>
            <w:r>
              <w:rPr>
                <w:rFonts w:ascii="Arial" w:cs="Arial" w:eastAsia="Arial" w:hAnsi="Arial"/>
                <w:sz w:val="18"/>
                <w:szCs w:val="18"/>
                <w:color w:val="auto"/>
              </w:rPr>
              <w:t>62,582</w:t>
            </w:r>
          </w:p>
        </w:tc>
        <w:tc>
          <w:tcPr>
            <w:tcW w:w="360" w:type="dxa"/>
            <w:vAlign w:val="bottom"/>
            <w:gridSpan w:val="2"/>
            <w:shd w:val="clear" w:color="auto" w:fill="D1EDF4"/>
          </w:tcPr>
          <w:p>
            <w:pPr>
              <w:jc w:val="right"/>
              <w:ind w:right="140"/>
              <w:spacing w:after="0" w:line="199" w:lineRule="exact"/>
              <w:rPr>
                <w:sz w:val="20"/>
                <w:szCs w:val="20"/>
                <w:color w:val="auto"/>
              </w:rPr>
            </w:pPr>
            <w:r>
              <w:rPr>
                <w:rFonts w:ascii="Arial" w:cs="Arial" w:eastAsia="Arial" w:hAnsi="Arial"/>
                <w:sz w:val="18"/>
                <w:szCs w:val="18"/>
                <w:color w:val="auto"/>
              </w:rPr>
              <w:t>$</w:t>
            </w:r>
          </w:p>
        </w:tc>
        <w:tc>
          <w:tcPr>
            <w:tcW w:w="880" w:type="dxa"/>
            <w:vAlign w:val="bottom"/>
            <w:shd w:val="clear" w:color="auto" w:fill="D1EDF4"/>
          </w:tcPr>
          <w:p>
            <w:pPr>
              <w:jc w:val="right"/>
              <w:spacing w:after="0" w:line="199" w:lineRule="exact"/>
              <w:rPr>
                <w:sz w:val="20"/>
                <w:szCs w:val="20"/>
                <w:color w:val="auto"/>
              </w:rPr>
            </w:pPr>
            <w:r>
              <w:rPr>
                <w:rFonts w:ascii="Arial" w:cs="Arial" w:eastAsia="Arial" w:hAnsi="Arial"/>
                <w:sz w:val="18"/>
                <w:szCs w:val="18"/>
                <w:color w:val="auto"/>
              </w:rPr>
              <w:t>68,371</w:t>
            </w:r>
          </w:p>
        </w:tc>
      </w:tr>
      <w:tr>
        <w:trPr>
          <w:trHeight w:val="208"/>
        </w:trPr>
        <w:tc>
          <w:tcPr>
            <w:tcW w:w="6160" w:type="dxa"/>
            <w:vAlign w:val="bottom"/>
          </w:tcPr>
          <w:p>
            <w:pPr>
              <w:spacing w:after="0"/>
              <w:rPr>
                <w:sz w:val="20"/>
                <w:szCs w:val="20"/>
                <w:color w:val="auto"/>
              </w:rPr>
            </w:pPr>
            <w:r>
              <w:rPr>
                <w:rFonts w:ascii="Arial" w:cs="Arial" w:eastAsia="Arial" w:hAnsi="Arial"/>
                <w:sz w:val="18"/>
                <w:szCs w:val="18"/>
                <w:color w:val="auto"/>
              </w:rPr>
              <w:t>Right of use assets obtained in exchange for new operating lease liabilities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55,634</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33,183</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27,836</w:t>
            </w:r>
          </w:p>
        </w:tc>
      </w:tr>
      <w:tr>
        <w:trPr>
          <w:trHeight w:val="208"/>
        </w:trPr>
        <w:tc>
          <w:tcPr>
            <w:tcW w:w="6160" w:type="dxa"/>
            <w:vAlign w:val="bottom"/>
            <w:shd w:val="clear" w:color="auto" w:fill="D1EDF4"/>
          </w:tcPr>
          <w:p>
            <w:pPr>
              <w:spacing w:after="0"/>
              <w:rPr>
                <w:sz w:val="18"/>
                <w:szCs w:val="18"/>
                <w:color w:val="auto"/>
              </w:rPr>
            </w:pPr>
          </w:p>
        </w:tc>
        <w:tc>
          <w:tcPr>
            <w:tcW w:w="200" w:type="dxa"/>
            <w:vAlign w:val="bottom"/>
            <w:shd w:val="clear" w:color="auto" w:fill="D1EDF4"/>
          </w:tcPr>
          <w:p>
            <w:pPr>
              <w:spacing w:after="0"/>
              <w:rPr>
                <w:sz w:val="18"/>
                <w:szCs w:val="18"/>
                <w:color w:val="auto"/>
              </w:rPr>
            </w:pPr>
          </w:p>
        </w:tc>
        <w:tc>
          <w:tcPr>
            <w:tcW w:w="800" w:type="dxa"/>
            <w:vAlign w:val="bottom"/>
            <w:shd w:val="clear" w:color="auto" w:fill="D1EDF4"/>
          </w:tcPr>
          <w:p>
            <w:pPr>
              <w:spacing w:after="0"/>
              <w:rPr>
                <w:sz w:val="18"/>
                <w:szCs w:val="18"/>
                <w:color w:val="auto"/>
              </w:rPr>
            </w:pPr>
          </w:p>
        </w:tc>
        <w:tc>
          <w:tcPr>
            <w:tcW w:w="120" w:type="dxa"/>
            <w:vAlign w:val="bottom"/>
            <w:shd w:val="clear" w:color="auto" w:fill="D1EDF4"/>
          </w:tcPr>
          <w:p>
            <w:pPr>
              <w:spacing w:after="0"/>
              <w:rPr>
                <w:sz w:val="18"/>
                <w:szCs w:val="18"/>
                <w:color w:val="auto"/>
              </w:rPr>
            </w:pPr>
          </w:p>
        </w:tc>
        <w:tc>
          <w:tcPr>
            <w:tcW w:w="140" w:type="dxa"/>
            <w:vAlign w:val="bottom"/>
            <w:shd w:val="clear" w:color="auto" w:fill="D1EDF4"/>
          </w:tcPr>
          <w:p>
            <w:pPr>
              <w:spacing w:after="0"/>
              <w:rPr>
                <w:sz w:val="18"/>
                <w:szCs w:val="18"/>
                <w:color w:val="auto"/>
              </w:rPr>
            </w:pPr>
          </w:p>
        </w:tc>
        <w:tc>
          <w:tcPr>
            <w:tcW w:w="980" w:type="dxa"/>
            <w:vAlign w:val="bottom"/>
            <w:shd w:val="clear" w:color="auto" w:fill="D1EDF4"/>
          </w:tcPr>
          <w:p>
            <w:pPr>
              <w:spacing w:after="0"/>
              <w:rPr>
                <w:sz w:val="18"/>
                <w:szCs w:val="18"/>
                <w:color w:val="auto"/>
              </w:rPr>
            </w:pPr>
          </w:p>
        </w:tc>
        <w:tc>
          <w:tcPr>
            <w:tcW w:w="120" w:type="dxa"/>
            <w:vAlign w:val="bottom"/>
            <w:shd w:val="clear" w:color="auto" w:fill="D1EDF4"/>
          </w:tcPr>
          <w:p>
            <w:pPr>
              <w:spacing w:after="0"/>
              <w:rPr>
                <w:sz w:val="18"/>
                <w:szCs w:val="18"/>
                <w:color w:val="auto"/>
              </w:rPr>
            </w:pPr>
          </w:p>
        </w:tc>
        <w:tc>
          <w:tcPr>
            <w:tcW w:w="240" w:type="dxa"/>
            <w:vAlign w:val="bottom"/>
            <w:shd w:val="clear" w:color="auto" w:fill="D1EDF4"/>
          </w:tcPr>
          <w:p>
            <w:pPr>
              <w:spacing w:after="0"/>
              <w:rPr>
                <w:sz w:val="18"/>
                <w:szCs w:val="18"/>
                <w:color w:val="auto"/>
              </w:rPr>
            </w:pPr>
          </w:p>
        </w:tc>
        <w:tc>
          <w:tcPr>
            <w:tcW w:w="880" w:type="dxa"/>
            <w:vAlign w:val="bottom"/>
            <w:shd w:val="clear" w:color="auto" w:fill="D1EDF4"/>
          </w:tcPr>
          <w:p>
            <w:pPr>
              <w:spacing w:after="0"/>
              <w:rPr>
                <w:sz w:val="18"/>
                <w:szCs w:val="18"/>
                <w:color w:val="auto"/>
              </w:rPr>
            </w:pPr>
          </w:p>
        </w:tc>
      </w:tr>
      <w:tr>
        <w:trPr>
          <w:trHeight w:val="209"/>
        </w:trPr>
        <w:tc>
          <w:tcPr>
            <w:tcW w:w="6160" w:type="dxa"/>
            <w:vAlign w:val="bottom"/>
          </w:tcPr>
          <w:p>
            <w:pPr>
              <w:spacing w:after="0"/>
              <w:rPr>
                <w:sz w:val="20"/>
                <w:szCs w:val="20"/>
                <w:color w:val="auto"/>
              </w:rPr>
            </w:pPr>
            <w:r>
              <w:rPr>
                <w:rFonts w:ascii="Arial" w:cs="Arial" w:eastAsia="Arial" w:hAnsi="Arial"/>
                <w:sz w:val="18"/>
                <w:szCs w:val="18"/>
                <w:color w:val="auto"/>
              </w:rPr>
              <w:t>Weighted average remaining lease term (years) - operating leases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7.54</w:t>
            </w:r>
          </w:p>
        </w:tc>
      </w:tr>
      <w:tr>
        <w:trPr>
          <w:trHeight w:val="208"/>
        </w:trPr>
        <w:tc>
          <w:tcPr>
            <w:tcW w:w="6160" w:type="dxa"/>
            <w:vAlign w:val="bottom"/>
            <w:shd w:val="clear" w:color="auto" w:fill="D1EDF4"/>
          </w:tcPr>
          <w:p>
            <w:pPr>
              <w:spacing w:after="0"/>
              <w:rPr>
                <w:sz w:val="20"/>
                <w:szCs w:val="20"/>
                <w:color w:val="auto"/>
              </w:rPr>
            </w:pPr>
            <w:r>
              <w:rPr>
                <w:rFonts w:ascii="Arial" w:cs="Arial" w:eastAsia="Arial" w:hAnsi="Arial"/>
                <w:sz w:val="18"/>
                <w:szCs w:val="18"/>
                <w:color w:val="auto"/>
              </w:rPr>
              <w:t>Weighted average discount rate - operating leases</w:t>
            </w:r>
          </w:p>
        </w:tc>
        <w:tc>
          <w:tcPr>
            <w:tcW w:w="200" w:type="dxa"/>
            <w:vAlign w:val="bottom"/>
            <w:shd w:val="clear" w:color="auto" w:fill="D1EDF4"/>
          </w:tcPr>
          <w:p>
            <w:pPr>
              <w:spacing w:after="0"/>
              <w:rPr>
                <w:sz w:val="18"/>
                <w:szCs w:val="18"/>
                <w:color w:val="auto"/>
              </w:rPr>
            </w:pPr>
          </w:p>
        </w:tc>
        <w:tc>
          <w:tcPr>
            <w:tcW w:w="800" w:type="dxa"/>
            <w:vAlign w:val="bottom"/>
            <w:shd w:val="clear" w:color="auto" w:fill="D1EDF4"/>
          </w:tcPr>
          <w:p>
            <w:pPr>
              <w:jc w:val="right"/>
              <w:spacing w:after="0"/>
              <w:rPr>
                <w:sz w:val="20"/>
                <w:szCs w:val="20"/>
                <w:color w:val="auto"/>
              </w:rPr>
            </w:pPr>
            <w:r>
              <w:rPr>
                <w:rFonts w:ascii="Arial" w:cs="Arial" w:eastAsia="Arial" w:hAnsi="Arial"/>
                <w:sz w:val="18"/>
                <w:szCs w:val="18"/>
                <w:color w:val="auto"/>
              </w:rPr>
              <w:t>6.12%</w:t>
            </w:r>
          </w:p>
        </w:tc>
        <w:tc>
          <w:tcPr>
            <w:tcW w:w="120" w:type="dxa"/>
            <w:vAlign w:val="bottom"/>
            <w:shd w:val="clear" w:color="auto" w:fill="D1EDF4"/>
          </w:tcPr>
          <w:p>
            <w:pPr>
              <w:spacing w:after="0"/>
              <w:rPr>
                <w:sz w:val="18"/>
                <w:szCs w:val="18"/>
                <w:color w:val="auto"/>
              </w:rPr>
            </w:pPr>
          </w:p>
        </w:tc>
        <w:tc>
          <w:tcPr>
            <w:tcW w:w="140" w:type="dxa"/>
            <w:vAlign w:val="bottom"/>
            <w:shd w:val="clear" w:color="auto" w:fill="D1EDF4"/>
          </w:tcPr>
          <w:p>
            <w:pPr>
              <w:spacing w:after="0"/>
              <w:rPr>
                <w:sz w:val="18"/>
                <w:szCs w:val="18"/>
                <w:color w:val="auto"/>
              </w:rPr>
            </w:pPr>
          </w:p>
        </w:tc>
        <w:tc>
          <w:tcPr>
            <w:tcW w:w="980" w:type="dxa"/>
            <w:vAlign w:val="bottom"/>
            <w:shd w:val="clear" w:color="auto" w:fill="D1EDF4"/>
          </w:tcPr>
          <w:p>
            <w:pPr>
              <w:jc w:val="right"/>
              <w:spacing w:after="0"/>
              <w:rPr>
                <w:sz w:val="20"/>
                <w:szCs w:val="20"/>
                <w:color w:val="auto"/>
              </w:rPr>
            </w:pPr>
            <w:r>
              <w:rPr>
                <w:rFonts w:ascii="Arial" w:cs="Arial" w:eastAsia="Arial" w:hAnsi="Arial"/>
                <w:sz w:val="18"/>
                <w:szCs w:val="18"/>
                <w:color w:val="auto"/>
              </w:rPr>
              <w:t>5.61%</w:t>
            </w:r>
          </w:p>
        </w:tc>
        <w:tc>
          <w:tcPr>
            <w:tcW w:w="120" w:type="dxa"/>
            <w:vAlign w:val="bottom"/>
            <w:shd w:val="clear" w:color="auto" w:fill="D1EDF4"/>
          </w:tcPr>
          <w:p>
            <w:pPr>
              <w:spacing w:after="0"/>
              <w:rPr>
                <w:sz w:val="18"/>
                <w:szCs w:val="18"/>
                <w:color w:val="auto"/>
              </w:rPr>
            </w:pPr>
          </w:p>
        </w:tc>
        <w:tc>
          <w:tcPr>
            <w:tcW w:w="240" w:type="dxa"/>
            <w:vAlign w:val="bottom"/>
            <w:shd w:val="clear" w:color="auto" w:fill="D1EDF4"/>
          </w:tcPr>
          <w:p>
            <w:pPr>
              <w:spacing w:after="0"/>
              <w:rPr>
                <w:sz w:val="18"/>
                <w:szCs w:val="18"/>
                <w:color w:val="auto"/>
              </w:rPr>
            </w:pPr>
          </w:p>
        </w:tc>
        <w:tc>
          <w:tcPr>
            <w:tcW w:w="880" w:type="dxa"/>
            <w:vAlign w:val="bottom"/>
            <w:shd w:val="clear" w:color="auto" w:fill="D1EDF4"/>
          </w:tcPr>
          <w:p>
            <w:pPr>
              <w:jc w:val="right"/>
              <w:spacing w:after="0"/>
              <w:rPr>
                <w:sz w:val="20"/>
                <w:szCs w:val="20"/>
                <w:color w:val="auto"/>
              </w:rPr>
            </w:pPr>
            <w:r>
              <w:rPr>
                <w:rFonts w:ascii="Arial" w:cs="Arial" w:eastAsia="Arial" w:hAnsi="Arial"/>
                <w:sz w:val="18"/>
                <w:szCs w:val="18"/>
                <w:color w:val="auto"/>
              </w:rPr>
              <w:t>5.04%</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9. Segment Reporting</w:t>
      </w:r>
    </w:p>
    <w:p>
      <w:pPr>
        <w:spacing w:after="0" w:line="164" w:lineRule="exact"/>
        <w:rPr>
          <w:sz w:val="20"/>
          <w:szCs w:val="20"/>
          <w:color w:val="auto"/>
        </w:rPr>
      </w:pPr>
    </w:p>
    <w:p>
      <w:pPr>
        <w:ind w:right="140"/>
        <w:spacing w:after="0" w:line="244" w:lineRule="auto"/>
        <w:rPr>
          <w:sz w:val="20"/>
          <w:szCs w:val="20"/>
          <w:color w:val="auto"/>
        </w:rPr>
      </w:pPr>
      <w:r>
        <w:rPr>
          <w:rFonts w:ascii="Arial" w:cs="Arial" w:eastAsia="Arial" w:hAnsi="Arial"/>
          <w:sz w:val="19"/>
          <w:szCs w:val="19"/>
          <w:color w:val="auto"/>
        </w:rPr>
        <w:t>The Company is the leading off-price value retailer of fashion apparel, accessories and home trends primarily for Black families. The retail operations represent a single operating segment based on the way the Company manages its business. The Company’s Chief Executive Officer, as our chief operating decision maker (“CODM”), manages and allocates resources to the operations of the Company on a consolidated basis. This enables the Chief Executive Officer to assess the Company’s overall level of available resources and determine how best to deploy these resources across retail stores that are in line with the Company’s long-term company-wide strategic goals. The Company’s retail stores sell similar products, use similar processes to sell those products, and sell their products to similar classes of customers. All sales and assets are located within the United States. The CODM assesses performance based on consolidated net (loss) income that is reported on the statement of operations as part of the annual budgeting and forecasting process. The CODM considers budget -to- actual variances on a monthly basis when making decisions about allocating capital and personnel. The CODM does not review assets in evaluating results, therefore such information is not provided.</w:t>
      </w:r>
    </w:p>
    <w:p>
      <w:pPr>
        <w:sectPr>
          <w:pgSz w:w="11880" w:h="15480" w:orient="portrait"/>
          <w:cols w:equalWidth="0" w:num="1">
            <w:col w:w="10780"/>
          </w:cols>
          <w:pgMar w:left="540" w:top="808" w:right="560" w:bottom="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ectPr>
          <w:pgSz w:w="11880" w:h="15480" w:orient="portrait"/>
          <w:cols w:equalWidth="0" w:num="1">
            <w:col w:w="10780"/>
          </w:cols>
          <w:pgMar w:left="540" w:top="808" w:right="560" w:bottom="16" w:gutter="0" w:footer="0" w:header="0"/>
          <w:type w:val="continuous"/>
        </w:sectPr>
      </w:pPr>
    </w:p>
    <w:bookmarkStart w:id="47" w:name="page48"/>
    <w:bookmarkEnd w:id="47"/>
    <w:p>
      <w:pPr>
        <w:ind w:right="220"/>
        <w:spacing w:after="0" w:line="280" w:lineRule="auto"/>
        <w:rPr>
          <w:sz w:val="20"/>
          <w:szCs w:val="20"/>
          <w:color w:val="auto"/>
        </w:rPr>
      </w:pPr>
      <w:r>
        <w:rPr>
          <w:rFonts w:ascii="Arial" w:cs="Arial" w:eastAsia="Arial" w:hAnsi="Arial"/>
          <w:sz w:val="19"/>
          <w:szCs w:val="19"/>
          <w:color w:val="auto"/>
        </w:rPr>
        <w:t>The following table summarizes the Company’s one reportable segment profit or loss, including significant segment expenses, and includes the reconciliation to consolidated net income (loss)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165"/>
              <w:spacing w:after="0"/>
              <w:rPr>
                <w:sz w:val="20"/>
                <w:szCs w:val="20"/>
                <w:color w:val="auto"/>
              </w:rPr>
            </w:pPr>
            <w:r>
              <w:rPr>
                <w:rFonts w:ascii="Arial" w:cs="Arial" w:eastAsia="Arial" w:hAnsi="Arial"/>
                <w:sz w:val="19"/>
                <w:szCs w:val="19"/>
                <w:b w:val="1"/>
                <w:bCs w:val="1"/>
                <w:color w:val="auto"/>
              </w:rPr>
              <w:t>Fiscal Year</w:t>
            </w:r>
          </w:p>
        </w:tc>
        <w:tc>
          <w:tcPr>
            <w:tcW w:w="4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09"/>
        </w:trPr>
        <w:tc>
          <w:tcPr>
            <w:tcW w:w="5940" w:type="dxa"/>
            <w:vAlign w:val="bottom"/>
            <w:tcBorders>
              <w:bottom w:val="single" w:sz="8" w:color="D1EDF4"/>
            </w:tcBorders>
          </w:tcPr>
          <w:p>
            <w:pPr>
              <w:spacing w:after="0"/>
              <w:rPr>
                <w:sz w:val="18"/>
                <w:szCs w:val="18"/>
                <w:color w:val="auto"/>
              </w:rPr>
            </w:pPr>
          </w:p>
        </w:tc>
        <w:tc>
          <w:tcPr>
            <w:tcW w:w="20" w:type="dxa"/>
            <w:vAlign w:val="bottom"/>
            <w:tcBorders>
              <w:bottom w:val="single" w:sz="8" w:color="D1EDF4"/>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85"/>
              <w:spacing w:after="0" w:line="209" w:lineRule="exact"/>
              <w:rPr>
                <w:sz w:val="20"/>
                <w:szCs w:val="20"/>
                <w:color w:val="auto"/>
              </w:rPr>
            </w:pPr>
            <w:r>
              <w:rPr>
                <w:rFonts w:ascii="Arial" w:cs="Arial" w:eastAsia="Arial" w:hAnsi="Arial"/>
                <w:sz w:val="19"/>
                <w:szCs w:val="19"/>
                <w:b w:val="1"/>
                <w:bCs w:val="1"/>
                <w:color w:val="auto"/>
              </w:rPr>
              <w:t>2025</w:t>
            </w:r>
          </w:p>
        </w:tc>
        <w:tc>
          <w:tcPr>
            <w:tcW w:w="180" w:type="dxa"/>
            <w:vAlign w:val="bottom"/>
            <w:tcBorders>
              <w:bottom w:val="single" w:sz="8" w:color="D1EDF4"/>
            </w:tcBorders>
          </w:tcPr>
          <w:p>
            <w:pPr>
              <w:spacing w:after="0"/>
              <w:rPr>
                <w:sz w:val="18"/>
                <w:szCs w:val="18"/>
                <w:color w:val="auto"/>
              </w:rPr>
            </w:pPr>
          </w:p>
        </w:tc>
        <w:tc>
          <w:tcPr>
            <w:tcW w:w="200" w:type="dxa"/>
            <w:vAlign w:val="bottom"/>
            <w:tcBorders>
              <w:bottom w:val="single" w:sz="8" w:color="D1EDF4"/>
            </w:tcBorders>
          </w:tcPr>
          <w:p>
            <w:pPr>
              <w:spacing w:after="0"/>
              <w:rPr>
                <w:sz w:val="18"/>
                <w:szCs w:val="18"/>
                <w:color w:val="auto"/>
              </w:rPr>
            </w:pPr>
          </w:p>
        </w:tc>
        <w:tc>
          <w:tcPr>
            <w:tcW w:w="20" w:type="dxa"/>
            <w:vAlign w:val="bottom"/>
            <w:tcBorders>
              <w:bottom w:val="single" w:sz="8" w:color="D1EDF4"/>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05"/>
              <w:spacing w:after="0" w:line="209" w:lineRule="exact"/>
              <w:rPr>
                <w:sz w:val="20"/>
                <w:szCs w:val="20"/>
                <w:color w:val="auto"/>
              </w:rPr>
            </w:pPr>
            <w:r>
              <w:rPr>
                <w:rFonts w:ascii="Arial" w:cs="Arial" w:eastAsia="Arial" w:hAnsi="Arial"/>
                <w:sz w:val="19"/>
                <w:szCs w:val="19"/>
                <w:b w:val="1"/>
                <w:bCs w:val="1"/>
                <w:color w:val="auto"/>
              </w:rPr>
              <w:t>2024</w:t>
            </w:r>
          </w:p>
        </w:tc>
        <w:tc>
          <w:tcPr>
            <w:tcW w:w="400" w:type="dxa"/>
            <w:vAlign w:val="bottom"/>
            <w:tcBorders>
              <w:bottom w:val="single" w:sz="8" w:color="D1EDF4"/>
            </w:tcBorders>
          </w:tcPr>
          <w:p>
            <w:pPr>
              <w:spacing w:after="0"/>
              <w:rPr>
                <w:sz w:val="18"/>
                <w:szCs w:val="18"/>
                <w:color w:val="auto"/>
              </w:rPr>
            </w:pPr>
          </w:p>
        </w:tc>
        <w:tc>
          <w:tcPr>
            <w:tcW w:w="20" w:type="dxa"/>
            <w:vAlign w:val="bottom"/>
            <w:tcBorders>
              <w:bottom w:val="single" w:sz="8" w:color="D1EDF4"/>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25"/>
              <w:spacing w:after="0" w:line="209" w:lineRule="exact"/>
              <w:rPr>
                <w:sz w:val="20"/>
                <w:szCs w:val="20"/>
                <w:color w:val="auto"/>
              </w:rPr>
            </w:pPr>
            <w:r>
              <w:rPr>
                <w:rFonts w:ascii="Arial" w:cs="Arial" w:eastAsia="Arial" w:hAnsi="Arial"/>
                <w:sz w:val="19"/>
                <w:szCs w:val="19"/>
                <w:b w:val="1"/>
                <w:bCs w:val="1"/>
                <w:color w:val="auto"/>
              </w:rPr>
              <w:t>2023</w:t>
            </w:r>
          </w:p>
        </w:tc>
      </w:tr>
      <w:tr>
        <w:trPr>
          <w:trHeight w:val="210"/>
        </w:trPr>
        <w:tc>
          <w:tcPr>
            <w:tcW w:w="5960" w:type="dxa"/>
            <w:vAlign w:val="bottom"/>
            <w:gridSpan w:val="2"/>
            <w:shd w:val="clear" w:color="auto" w:fill="D1EDF4"/>
          </w:tcPr>
          <w:p>
            <w:pPr>
              <w:spacing w:after="0" w:line="211" w:lineRule="exact"/>
              <w:rPr>
                <w:sz w:val="20"/>
                <w:szCs w:val="20"/>
                <w:color w:val="auto"/>
              </w:rPr>
            </w:pPr>
            <w:r>
              <w:rPr>
                <w:rFonts w:ascii="Arial" w:cs="Arial" w:eastAsia="Arial" w:hAnsi="Arial"/>
                <w:sz w:val="19"/>
                <w:szCs w:val="19"/>
                <w:color w:val="auto"/>
              </w:rPr>
              <w:t>Net sales</w:t>
            </w:r>
          </w:p>
        </w:tc>
        <w:tc>
          <w:tcPr>
            <w:tcW w:w="420" w:type="dxa"/>
            <w:vAlign w:val="bottom"/>
            <w:shd w:val="clear" w:color="auto" w:fill="D1EDF4"/>
          </w:tcPr>
          <w:p>
            <w:pPr>
              <w:jc w:val="right"/>
              <w:ind w:right="145"/>
              <w:spacing w:after="0" w:line="211" w:lineRule="exact"/>
              <w:rPr>
                <w:sz w:val="20"/>
                <w:szCs w:val="20"/>
                <w:color w:val="auto"/>
              </w:rPr>
            </w:pPr>
            <w:r>
              <w:rPr>
                <w:rFonts w:ascii="Arial" w:cs="Arial" w:eastAsia="Arial" w:hAnsi="Arial"/>
                <w:sz w:val="19"/>
                <w:szCs w:val="19"/>
                <w:color w:val="auto"/>
              </w:rPr>
              <w:t>$</w:t>
            </w:r>
          </w:p>
        </w:tc>
        <w:tc>
          <w:tcPr>
            <w:tcW w:w="1140" w:type="dxa"/>
            <w:vAlign w:val="bottom"/>
            <w:shd w:val="clear" w:color="auto" w:fill="D1EDF4"/>
          </w:tcPr>
          <w:p>
            <w:pPr>
              <w:jc w:val="right"/>
              <w:spacing w:after="0" w:line="211" w:lineRule="exact"/>
              <w:rPr>
                <w:sz w:val="20"/>
                <w:szCs w:val="20"/>
                <w:color w:val="auto"/>
              </w:rPr>
            </w:pPr>
            <w:r>
              <w:rPr>
                <w:rFonts w:ascii="Arial" w:cs="Arial" w:eastAsia="Arial" w:hAnsi="Arial"/>
                <w:sz w:val="19"/>
                <w:szCs w:val="19"/>
                <w:color w:val="auto"/>
              </w:rPr>
              <w:t>819,962</w:t>
            </w:r>
          </w:p>
        </w:tc>
        <w:tc>
          <w:tcPr>
            <w:tcW w:w="180" w:type="dxa"/>
            <w:vAlign w:val="bottom"/>
            <w:shd w:val="clear" w:color="auto" w:fill="D1EDF4"/>
          </w:tcPr>
          <w:p>
            <w:pPr>
              <w:spacing w:after="0"/>
              <w:rPr>
                <w:sz w:val="18"/>
                <w:szCs w:val="18"/>
                <w:color w:val="auto"/>
              </w:rPr>
            </w:pPr>
          </w:p>
        </w:tc>
        <w:tc>
          <w:tcPr>
            <w:tcW w:w="520" w:type="dxa"/>
            <w:vAlign w:val="bottom"/>
            <w:gridSpan w:val="3"/>
            <w:shd w:val="clear" w:color="auto" w:fill="D1EDF4"/>
          </w:tcPr>
          <w:p>
            <w:pPr>
              <w:jc w:val="right"/>
              <w:ind w:right="25"/>
              <w:spacing w:after="0" w:line="211" w:lineRule="exact"/>
              <w:rPr>
                <w:sz w:val="20"/>
                <w:szCs w:val="20"/>
                <w:color w:val="auto"/>
              </w:rPr>
            </w:pPr>
            <w:r>
              <w:rPr>
                <w:rFonts w:ascii="Arial" w:cs="Arial" w:eastAsia="Arial" w:hAnsi="Arial"/>
                <w:sz w:val="19"/>
                <w:szCs w:val="19"/>
                <w:color w:val="auto"/>
              </w:rPr>
              <w:t>$</w:t>
            </w:r>
          </w:p>
        </w:tc>
        <w:tc>
          <w:tcPr>
            <w:tcW w:w="920" w:type="dxa"/>
            <w:vAlign w:val="bottom"/>
            <w:shd w:val="clear" w:color="auto" w:fill="D1EDF4"/>
          </w:tcPr>
          <w:p>
            <w:pPr>
              <w:jc w:val="right"/>
              <w:spacing w:after="0" w:line="211" w:lineRule="exact"/>
              <w:rPr>
                <w:sz w:val="20"/>
                <w:szCs w:val="20"/>
                <w:color w:val="auto"/>
              </w:rPr>
            </w:pPr>
            <w:r>
              <w:rPr>
                <w:rFonts w:ascii="Arial" w:cs="Arial" w:eastAsia="Arial" w:hAnsi="Arial"/>
                <w:sz w:val="19"/>
                <w:szCs w:val="19"/>
                <w:color w:val="auto"/>
              </w:rPr>
              <w:t>753,079</w:t>
            </w:r>
          </w:p>
        </w:tc>
        <w:tc>
          <w:tcPr>
            <w:tcW w:w="720" w:type="dxa"/>
            <w:vAlign w:val="bottom"/>
            <w:gridSpan w:val="3"/>
            <w:shd w:val="clear" w:color="auto" w:fill="D1EDF4"/>
          </w:tcPr>
          <w:p>
            <w:pPr>
              <w:jc w:val="right"/>
              <w:ind w:right="25"/>
              <w:spacing w:after="0" w:line="211" w:lineRule="exact"/>
              <w:rPr>
                <w:sz w:val="20"/>
                <w:szCs w:val="20"/>
                <w:color w:val="auto"/>
              </w:rPr>
            </w:pPr>
            <w:r>
              <w:rPr>
                <w:rFonts w:ascii="Arial" w:cs="Arial" w:eastAsia="Arial" w:hAnsi="Arial"/>
                <w:sz w:val="19"/>
                <w:szCs w:val="19"/>
                <w:color w:val="auto"/>
              </w:rPr>
              <w:t>$</w:t>
            </w:r>
          </w:p>
        </w:tc>
        <w:tc>
          <w:tcPr>
            <w:tcW w:w="940" w:type="dxa"/>
            <w:vAlign w:val="bottom"/>
            <w:shd w:val="clear" w:color="auto" w:fill="D1EDF4"/>
          </w:tcPr>
          <w:p>
            <w:pPr>
              <w:jc w:val="right"/>
              <w:spacing w:after="0" w:line="211" w:lineRule="exact"/>
              <w:rPr>
                <w:sz w:val="20"/>
                <w:szCs w:val="20"/>
                <w:color w:val="auto"/>
              </w:rPr>
            </w:pPr>
            <w:r>
              <w:rPr>
                <w:rFonts w:ascii="Arial" w:cs="Arial" w:eastAsia="Arial" w:hAnsi="Arial"/>
                <w:sz w:val="19"/>
                <w:szCs w:val="19"/>
                <w:color w:val="auto"/>
              </w:rPr>
              <w:t>747,941</w:t>
            </w:r>
          </w:p>
        </w:tc>
      </w:tr>
      <w:tr>
        <w:trPr>
          <w:trHeight w:val="220"/>
        </w:trPr>
        <w:tc>
          <w:tcPr>
            <w:tcW w:w="5960" w:type="dxa"/>
            <w:vAlign w:val="bottom"/>
            <w:gridSpan w:val="2"/>
          </w:tcPr>
          <w:p>
            <w:pPr>
              <w:spacing w:after="0"/>
              <w:rPr>
                <w:sz w:val="20"/>
                <w:szCs w:val="20"/>
                <w:color w:val="auto"/>
              </w:rPr>
            </w:pPr>
            <w:r>
              <w:rPr>
                <w:rFonts w:ascii="Arial" w:cs="Arial" w:eastAsia="Arial" w:hAnsi="Arial"/>
                <w:sz w:val="19"/>
                <w:szCs w:val="19"/>
                <w:color w:val="auto"/>
              </w:rPr>
              <w:t>Cost of sales (exclusive of depreciation shown separately below)</w:t>
            </w: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0"/>
        </w:trPr>
        <w:tc>
          <w:tcPr>
            <w:tcW w:w="5960" w:type="dxa"/>
            <w:vAlign w:val="bottom"/>
            <w:gridSpan w:val="2"/>
            <w:shd w:val="clear" w:color="auto" w:fill="D1EDF4"/>
          </w:tcPr>
          <w:p>
            <w:pPr>
              <w:ind w:left="120"/>
              <w:spacing w:after="0"/>
              <w:rPr>
                <w:sz w:val="20"/>
                <w:szCs w:val="20"/>
                <w:color w:val="auto"/>
              </w:rPr>
            </w:pPr>
            <w:r>
              <w:rPr>
                <w:rFonts w:ascii="Arial" w:cs="Arial" w:eastAsia="Arial" w:hAnsi="Arial"/>
                <w:sz w:val="19"/>
                <w:szCs w:val="19"/>
                <w:color w:val="auto"/>
              </w:rPr>
              <w:t>Merchandising and other</w:t>
            </w:r>
          </w:p>
        </w:tc>
        <w:tc>
          <w:tcPr>
            <w:tcW w:w="420" w:type="dxa"/>
            <w:vAlign w:val="bottom"/>
            <w:shd w:val="clear" w:color="auto" w:fill="D1EDF4"/>
          </w:tcPr>
          <w:p>
            <w:pPr>
              <w:spacing w:after="0"/>
              <w:rPr>
                <w:sz w:val="19"/>
                <w:szCs w:val="19"/>
                <w:color w:val="auto"/>
              </w:rPr>
            </w:pPr>
          </w:p>
        </w:tc>
        <w:tc>
          <w:tcPr>
            <w:tcW w:w="1320" w:type="dxa"/>
            <w:vAlign w:val="bottom"/>
            <w:gridSpan w:val="2"/>
            <w:shd w:val="clear" w:color="auto" w:fill="D1EDF4"/>
          </w:tcPr>
          <w:p>
            <w:pPr>
              <w:jc w:val="right"/>
              <w:ind w:right="180"/>
              <w:spacing w:after="0"/>
              <w:rPr>
                <w:sz w:val="20"/>
                <w:szCs w:val="20"/>
                <w:color w:val="auto"/>
              </w:rPr>
            </w:pPr>
            <w:r>
              <w:rPr>
                <w:rFonts w:ascii="Arial" w:cs="Arial" w:eastAsia="Arial" w:hAnsi="Arial"/>
                <w:sz w:val="19"/>
                <w:szCs w:val="19"/>
                <w:color w:val="auto"/>
              </w:rPr>
              <w:t>(452,734)</w:t>
            </w:r>
          </w:p>
        </w:tc>
        <w:tc>
          <w:tcPr>
            <w:tcW w:w="20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300" w:type="dxa"/>
            <w:vAlign w:val="bottom"/>
            <w:shd w:val="clear" w:color="auto" w:fill="D1EDF4"/>
          </w:tcPr>
          <w:p>
            <w:pPr>
              <w:spacing w:after="0"/>
              <w:rPr>
                <w:sz w:val="19"/>
                <w:szCs w:val="19"/>
                <w:color w:val="auto"/>
              </w:rPr>
            </w:pPr>
          </w:p>
        </w:tc>
        <w:tc>
          <w:tcPr>
            <w:tcW w:w="920" w:type="dxa"/>
            <w:vAlign w:val="bottom"/>
            <w:shd w:val="clear" w:color="auto" w:fill="D1EDF4"/>
          </w:tcPr>
          <w:p>
            <w:pPr>
              <w:jc w:val="right"/>
              <w:spacing w:after="0"/>
              <w:rPr>
                <w:sz w:val="20"/>
                <w:szCs w:val="20"/>
                <w:color w:val="auto"/>
              </w:rPr>
            </w:pPr>
            <w:r>
              <w:rPr>
                <w:rFonts w:ascii="Arial" w:cs="Arial" w:eastAsia="Arial" w:hAnsi="Arial"/>
                <w:sz w:val="19"/>
                <w:szCs w:val="19"/>
                <w:color w:val="auto"/>
              </w:rPr>
              <w:t>(430,300)</w:t>
            </w:r>
          </w:p>
        </w:tc>
        <w:tc>
          <w:tcPr>
            <w:tcW w:w="40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300" w:type="dxa"/>
            <w:vAlign w:val="bottom"/>
            <w:shd w:val="clear" w:color="auto" w:fill="D1EDF4"/>
          </w:tcPr>
          <w:p>
            <w:pPr>
              <w:spacing w:after="0"/>
              <w:rPr>
                <w:sz w:val="19"/>
                <w:szCs w:val="19"/>
                <w:color w:val="auto"/>
              </w:rPr>
            </w:pPr>
          </w:p>
        </w:tc>
        <w:tc>
          <w:tcPr>
            <w:tcW w:w="940" w:type="dxa"/>
            <w:vAlign w:val="bottom"/>
            <w:shd w:val="clear" w:color="auto" w:fill="D1EDF4"/>
          </w:tcPr>
          <w:p>
            <w:pPr>
              <w:jc w:val="right"/>
              <w:spacing w:after="0"/>
              <w:rPr>
                <w:sz w:val="20"/>
                <w:szCs w:val="20"/>
                <w:color w:val="auto"/>
              </w:rPr>
            </w:pPr>
            <w:r>
              <w:rPr>
                <w:rFonts w:ascii="Arial" w:cs="Arial" w:eastAsia="Arial" w:hAnsi="Arial"/>
                <w:sz w:val="19"/>
                <w:szCs w:val="19"/>
                <w:color w:val="auto"/>
              </w:rPr>
              <w:t>(418,103)</w:t>
            </w:r>
          </w:p>
        </w:tc>
      </w:tr>
      <w:tr>
        <w:trPr>
          <w:trHeight w:val="218"/>
        </w:trPr>
        <w:tc>
          <w:tcPr>
            <w:tcW w:w="5960" w:type="dxa"/>
            <w:vAlign w:val="bottom"/>
            <w:gridSpan w:val="2"/>
          </w:tcPr>
          <w:p>
            <w:pPr>
              <w:ind w:left="120"/>
              <w:spacing w:after="0"/>
              <w:rPr>
                <w:sz w:val="20"/>
                <w:szCs w:val="20"/>
                <w:color w:val="auto"/>
              </w:rPr>
            </w:pPr>
            <w:r>
              <w:rPr>
                <w:rFonts w:ascii="Arial" w:cs="Arial" w:eastAsia="Arial" w:hAnsi="Arial"/>
                <w:sz w:val="19"/>
                <w:szCs w:val="19"/>
                <w:color w:val="auto"/>
              </w:rPr>
              <w:t>Freight in and out</w:t>
            </w:r>
          </w:p>
        </w:tc>
        <w:tc>
          <w:tcPr>
            <w:tcW w:w="4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9"/>
                <w:szCs w:val="19"/>
                <w:color w:val="auto"/>
              </w:rPr>
              <w:t>(42,586)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(40,736)</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(44,721)</w:t>
            </w:r>
          </w:p>
        </w:tc>
      </w:tr>
      <w:tr>
        <w:trPr>
          <w:trHeight w:val="220"/>
        </w:trPr>
        <w:tc>
          <w:tcPr>
            <w:tcW w:w="5960" w:type="dxa"/>
            <w:vAlign w:val="bottom"/>
            <w:gridSpan w:val="2"/>
            <w:shd w:val="clear" w:color="auto" w:fill="D1EDF4"/>
          </w:tcPr>
          <w:p>
            <w:pPr>
              <w:spacing w:after="0"/>
              <w:rPr>
                <w:sz w:val="20"/>
                <w:szCs w:val="20"/>
                <w:color w:val="auto"/>
              </w:rPr>
            </w:pPr>
            <w:r>
              <w:rPr>
                <w:rFonts w:ascii="Arial" w:cs="Arial" w:eastAsia="Arial" w:hAnsi="Arial"/>
                <w:sz w:val="19"/>
                <w:szCs w:val="19"/>
                <w:color w:val="auto"/>
              </w:rPr>
              <w:t>Selling, general, and administrative expenses</w:t>
            </w:r>
          </w:p>
        </w:tc>
        <w:tc>
          <w:tcPr>
            <w:tcW w:w="420" w:type="dxa"/>
            <w:vAlign w:val="bottom"/>
            <w:shd w:val="clear" w:color="auto" w:fill="D1EDF4"/>
          </w:tcPr>
          <w:p>
            <w:pPr>
              <w:spacing w:after="0"/>
              <w:rPr>
                <w:sz w:val="19"/>
                <w:szCs w:val="19"/>
                <w:color w:val="auto"/>
              </w:rPr>
            </w:pPr>
          </w:p>
        </w:tc>
        <w:tc>
          <w:tcPr>
            <w:tcW w:w="1140" w:type="dxa"/>
            <w:vAlign w:val="bottom"/>
            <w:shd w:val="clear" w:color="auto" w:fill="D1EDF4"/>
          </w:tcPr>
          <w:p>
            <w:pPr>
              <w:spacing w:after="0"/>
              <w:rPr>
                <w:sz w:val="19"/>
                <w:szCs w:val="19"/>
                <w:color w:val="auto"/>
              </w:rPr>
            </w:pPr>
          </w:p>
        </w:tc>
        <w:tc>
          <w:tcPr>
            <w:tcW w:w="180" w:type="dxa"/>
            <w:vAlign w:val="bottom"/>
            <w:shd w:val="clear" w:color="auto" w:fill="D1EDF4"/>
          </w:tcPr>
          <w:p>
            <w:pPr>
              <w:spacing w:after="0"/>
              <w:rPr>
                <w:sz w:val="19"/>
                <w:szCs w:val="19"/>
                <w:color w:val="auto"/>
              </w:rPr>
            </w:pPr>
          </w:p>
        </w:tc>
        <w:tc>
          <w:tcPr>
            <w:tcW w:w="20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300" w:type="dxa"/>
            <w:vAlign w:val="bottom"/>
            <w:shd w:val="clear" w:color="auto" w:fill="D1EDF4"/>
          </w:tcPr>
          <w:p>
            <w:pPr>
              <w:spacing w:after="0"/>
              <w:rPr>
                <w:sz w:val="19"/>
                <w:szCs w:val="19"/>
                <w:color w:val="auto"/>
              </w:rPr>
            </w:pPr>
          </w:p>
        </w:tc>
        <w:tc>
          <w:tcPr>
            <w:tcW w:w="920" w:type="dxa"/>
            <w:vAlign w:val="bottom"/>
            <w:shd w:val="clear" w:color="auto" w:fill="D1EDF4"/>
          </w:tcPr>
          <w:p>
            <w:pPr>
              <w:spacing w:after="0"/>
              <w:rPr>
                <w:sz w:val="19"/>
                <w:szCs w:val="19"/>
                <w:color w:val="auto"/>
              </w:rPr>
            </w:pPr>
          </w:p>
        </w:tc>
        <w:tc>
          <w:tcPr>
            <w:tcW w:w="40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300" w:type="dxa"/>
            <w:vAlign w:val="bottom"/>
            <w:shd w:val="clear" w:color="auto" w:fill="D1EDF4"/>
          </w:tcPr>
          <w:p>
            <w:pPr>
              <w:spacing w:after="0"/>
              <w:rPr>
                <w:sz w:val="19"/>
                <w:szCs w:val="19"/>
                <w:color w:val="auto"/>
              </w:rPr>
            </w:pPr>
          </w:p>
        </w:tc>
        <w:tc>
          <w:tcPr>
            <w:tcW w:w="940" w:type="dxa"/>
            <w:vAlign w:val="bottom"/>
            <w:shd w:val="clear" w:color="auto" w:fill="D1EDF4"/>
          </w:tcPr>
          <w:p>
            <w:pPr>
              <w:spacing w:after="0"/>
              <w:rPr>
                <w:sz w:val="19"/>
                <w:szCs w:val="19"/>
                <w:color w:val="auto"/>
              </w:rPr>
            </w:pPr>
          </w:p>
        </w:tc>
      </w:tr>
      <w:tr>
        <w:trPr>
          <w:trHeight w:val="220"/>
        </w:trPr>
        <w:tc>
          <w:tcPr>
            <w:tcW w:w="5960" w:type="dxa"/>
            <w:vAlign w:val="bottom"/>
            <w:gridSpan w:val="2"/>
          </w:tcPr>
          <w:p>
            <w:pPr>
              <w:ind w:left="120"/>
              <w:spacing w:after="0"/>
              <w:rPr>
                <w:sz w:val="20"/>
                <w:szCs w:val="20"/>
                <w:color w:val="auto"/>
              </w:rPr>
            </w:pPr>
            <w:r>
              <w:rPr>
                <w:rFonts w:ascii="Arial" w:cs="Arial" w:eastAsia="Arial" w:hAnsi="Arial"/>
                <w:sz w:val="19"/>
                <w:szCs w:val="19"/>
                <w:color w:val="auto"/>
              </w:rPr>
              <w:t>Store expenses - payroll and related expenses</w:t>
            </w:r>
          </w:p>
        </w:tc>
        <w:tc>
          <w:tcPr>
            <w:tcW w:w="4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9"/>
                <w:szCs w:val="19"/>
                <w:color w:val="auto"/>
              </w:rPr>
              <w:t>(94,579)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(91,558)</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(90,405)</w:t>
            </w:r>
          </w:p>
        </w:tc>
      </w:tr>
      <w:tr>
        <w:trPr>
          <w:trHeight w:val="220"/>
        </w:trPr>
        <w:tc>
          <w:tcPr>
            <w:tcW w:w="5960" w:type="dxa"/>
            <w:vAlign w:val="bottom"/>
            <w:gridSpan w:val="2"/>
            <w:shd w:val="clear" w:color="auto" w:fill="D1EDF4"/>
          </w:tcPr>
          <w:p>
            <w:pPr>
              <w:ind w:left="120"/>
              <w:spacing w:after="0"/>
              <w:rPr>
                <w:sz w:val="20"/>
                <w:szCs w:val="20"/>
                <w:color w:val="auto"/>
              </w:rPr>
            </w:pPr>
            <w:r>
              <w:rPr>
                <w:rFonts w:ascii="Arial" w:cs="Arial" w:eastAsia="Arial" w:hAnsi="Arial"/>
                <w:sz w:val="19"/>
                <w:szCs w:val="19"/>
                <w:color w:val="auto"/>
              </w:rPr>
              <w:t>Store expenses - rent</w:t>
            </w:r>
          </w:p>
        </w:tc>
        <w:tc>
          <w:tcPr>
            <w:tcW w:w="420" w:type="dxa"/>
            <w:vAlign w:val="bottom"/>
            <w:shd w:val="clear" w:color="auto" w:fill="D1EDF4"/>
          </w:tcPr>
          <w:p>
            <w:pPr>
              <w:spacing w:after="0"/>
              <w:rPr>
                <w:sz w:val="19"/>
                <w:szCs w:val="19"/>
                <w:color w:val="auto"/>
              </w:rPr>
            </w:pPr>
          </w:p>
        </w:tc>
        <w:tc>
          <w:tcPr>
            <w:tcW w:w="1320" w:type="dxa"/>
            <w:vAlign w:val="bottom"/>
            <w:gridSpan w:val="2"/>
            <w:shd w:val="clear" w:color="auto" w:fill="D1EDF4"/>
          </w:tcPr>
          <w:p>
            <w:pPr>
              <w:jc w:val="right"/>
              <w:ind w:right="180"/>
              <w:spacing w:after="0"/>
              <w:rPr>
                <w:sz w:val="20"/>
                <w:szCs w:val="20"/>
                <w:color w:val="auto"/>
              </w:rPr>
            </w:pPr>
            <w:r>
              <w:rPr>
                <w:rFonts w:ascii="Arial" w:cs="Arial" w:eastAsia="Arial" w:hAnsi="Arial"/>
                <w:sz w:val="19"/>
                <w:szCs w:val="19"/>
                <w:color w:val="auto"/>
              </w:rPr>
              <w:t>(67,648)</w:t>
            </w:r>
          </w:p>
        </w:tc>
        <w:tc>
          <w:tcPr>
            <w:tcW w:w="20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300" w:type="dxa"/>
            <w:vAlign w:val="bottom"/>
            <w:shd w:val="clear" w:color="auto" w:fill="D1EDF4"/>
          </w:tcPr>
          <w:p>
            <w:pPr>
              <w:spacing w:after="0"/>
              <w:rPr>
                <w:sz w:val="19"/>
                <w:szCs w:val="19"/>
                <w:color w:val="auto"/>
              </w:rPr>
            </w:pPr>
          </w:p>
        </w:tc>
        <w:tc>
          <w:tcPr>
            <w:tcW w:w="920" w:type="dxa"/>
            <w:vAlign w:val="bottom"/>
            <w:shd w:val="clear" w:color="auto" w:fill="D1EDF4"/>
          </w:tcPr>
          <w:p>
            <w:pPr>
              <w:jc w:val="right"/>
              <w:spacing w:after="0"/>
              <w:rPr>
                <w:sz w:val="20"/>
                <w:szCs w:val="20"/>
                <w:color w:val="auto"/>
              </w:rPr>
            </w:pPr>
            <w:r>
              <w:rPr>
                <w:rFonts w:ascii="Arial" w:cs="Arial" w:eastAsia="Arial" w:hAnsi="Arial"/>
                <w:sz w:val="19"/>
                <w:szCs w:val="19"/>
                <w:color w:val="auto"/>
              </w:rPr>
              <w:t>(66,660)</w:t>
            </w:r>
          </w:p>
        </w:tc>
        <w:tc>
          <w:tcPr>
            <w:tcW w:w="40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300" w:type="dxa"/>
            <w:vAlign w:val="bottom"/>
            <w:shd w:val="clear" w:color="auto" w:fill="D1EDF4"/>
          </w:tcPr>
          <w:p>
            <w:pPr>
              <w:spacing w:after="0"/>
              <w:rPr>
                <w:sz w:val="19"/>
                <w:szCs w:val="19"/>
                <w:color w:val="auto"/>
              </w:rPr>
            </w:pPr>
          </w:p>
        </w:tc>
        <w:tc>
          <w:tcPr>
            <w:tcW w:w="940" w:type="dxa"/>
            <w:vAlign w:val="bottom"/>
            <w:shd w:val="clear" w:color="auto" w:fill="D1EDF4"/>
          </w:tcPr>
          <w:p>
            <w:pPr>
              <w:jc w:val="right"/>
              <w:spacing w:after="0"/>
              <w:rPr>
                <w:sz w:val="20"/>
                <w:szCs w:val="20"/>
                <w:color w:val="auto"/>
              </w:rPr>
            </w:pPr>
            <w:r>
              <w:rPr>
                <w:rFonts w:ascii="Arial" w:cs="Arial" w:eastAsia="Arial" w:hAnsi="Arial"/>
                <w:sz w:val="19"/>
                <w:szCs w:val="19"/>
                <w:color w:val="auto"/>
              </w:rPr>
              <w:t>(67,110)</w:t>
            </w:r>
          </w:p>
        </w:tc>
      </w:tr>
      <w:tr>
        <w:trPr>
          <w:trHeight w:val="220"/>
        </w:trPr>
        <w:tc>
          <w:tcPr>
            <w:tcW w:w="5960" w:type="dxa"/>
            <w:vAlign w:val="bottom"/>
            <w:gridSpan w:val="2"/>
          </w:tcPr>
          <w:p>
            <w:pPr>
              <w:ind w:left="120"/>
              <w:spacing w:after="0"/>
              <w:rPr>
                <w:sz w:val="20"/>
                <w:szCs w:val="20"/>
                <w:color w:val="auto"/>
              </w:rPr>
            </w:pPr>
            <w:r>
              <w:rPr>
                <w:rFonts w:ascii="Arial" w:cs="Arial" w:eastAsia="Arial" w:hAnsi="Arial"/>
                <w:sz w:val="19"/>
                <w:szCs w:val="19"/>
                <w:color w:val="auto"/>
              </w:rPr>
              <w:t>Corporate expenses - payroll and related expenses</w:t>
            </w:r>
          </w:p>
        </w:tc>
        <w:tc>
          <w:tcPr>
            <w:tcW w:w="4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9"/>
                <w:szCs w:val="19"/>
                <w:color w:val="auto"/>
              </w:rPr>
              <w:t>(28,808)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(29,614)</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(26,189)</w:t>
            </w:r>
          </w:p>
        </w:tc>
      </w:tr>
      <w:tr>
        <w:trPr>
          <w:trHeight w:val="220"/>
        </w:trPr>
        <w:tc>
          <w:tcPr>
            <w:tcW w:w="5960" w:type="dxa"/>
            <w:vAlign w:val="bottom"/>
            <w:gridSpan w:val="2"/>
            <w:shd w:val="clear" w:color="auto" w:fill="D1EDF4"/>
          </w:tcPr>
          <w:p>
            <w:pPr>
              <w:ind w:left="120"/>
              <w:spacing w:after="0"/>
              <w:rPr>
                <w:sz w:val="20"/>
                <w:szCs w:val="20"/>
                <w:color w:val="auto"/>
              </w:rPr>
            </w:pPr>
            <w:r>
              <w:rPr>
                <w:rFonts w:ascii="Arial" w:cs="Arial" w:eastAsia="Arial" w:hAnsi="Arial"/>
                <w:sz w:val="19"/>
                <w:szCs w:val="19"/>
                <w:color w:val="auto"/>
              </w:rPr>
              <w:t>Distribution center expenses - payroll and related expenses</w:t>
            </w:r>
          </w:p>
        </w:tc>
        <w:tc>
          <w:tcPr>
            <w:tcW w:w="420" w:type="dxa"/>
            <w:vAlign w:val="bottom"/>
            <w:shd w:val="clear" w:color="auto" w:fill="D1EDF4"/>
          </w:tcPr>
          <w:p>
            <w:pPr>
              <w:spacing w:after="0"/>
              <w:rPr>
                <w:sz w:val="19"/>
                <w:szCs w:val="19"/>
                <w:color w:val="auto"/>
              </w:rPr>
            </w:pPr>
          </w:p>
        </w:tc>
        <w:tc>
          <w:tcPr>
            <w:tcW w:w="1320" w:type="dxa"/>
            <w:vAlign w:val="bottom"/>
            <w:gridSpan w:val="2"/>
            <w:shd w:val="clear" w:color="auto" w:fill="D1EDF4"/>
          </w:tcPr>
          <w:p>
            <w:pPr>
              <w:jc w:val="right"/>
              <w:ind w:right="180"/>
              <w:spacing w:after="0"/>
              <w:rPr>
                <w:sz w:val="20"/>
                <w:szCs w:val="20"/>
                <w:color w:val="auto"/>
              </w:rPr>
            </w:pPr>
            <w:r>
              <w:rPr>
                <w:rFonts w:ascii="Arial" w:cs="Arial" w:eastAsia="Arial" w:hAnsi="Arial"/>
                <w:sz w:val="19"/>
                <w:szCs w:val="19"/>
                <w:color w:val="auto"/>
              </w:rPr>
              <w:t>(17,787)</w:t>
            </w:r>
          </w:p>
        </w:tc>
        <w:tc>
          <w:tcPr>
            <w:tcW w:w="20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300" w:type="dxa"/>
            <w:vAlign w:val="bottom"/>
            <w:shd w:val="clear" w:color="auto" w:fill="D1EDF4"/>
          </w:tcPr>
          <w:p>
            <w:pPr>
              <w:spacing w:after="0"/>
              <w:rPr>
                <w:sz w:val="19"/>
                <w:szCs w:val="19"/>
                <w:color w:val="auto"/>
              </w:rPr>
            </w:pPr>
          </w:p>
        </w:tc>
        <w:tc>
          <w:tcPr>
            <w:tcW w:w="920" w:type="dxa"/>
            <w:vAlign w:val="bottom"/>
            <w:shd w:val="clear" w:color="auto" w:fill="D1EDF4"/>
          </w:tcPr>
          <w:p>
            <w:pPr>
              <w:jc w:val="right"/>
              <w:spacing w:after="0"/>
              <w:rPr>
                <w:sz w:val="20"/>
                <w:szCs w:val="20"/>
                <w:color w:val="auto"/>
              </w:rPr>
            </w:pPr>
            <w:r>
              <w:rPr>
                <w:rFonts w:ascii="Arial" w:cs="Arial" w:eastAsia="Arial" w:hAnsi="Arial"/>
                <w:sz w:val="19"/>
                <w:szCs w:val="19"/>
                <w:color w:val="auto"/>
              </w:rPr>
              <w:t>(16,686)</w:t>
            </w:r>
          </w:p>
        </w:tc>
        <w:tc>
          <w:tcPr>
            <w:tcW w:w="40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300" w:type="dxa"/>
            <w:vAlign w:val="bottom"/>
            <w:shd w:val="clear" w:color="auto" w:fill="D1EDF4"/>
          </w:tcPr>
          <w:p>
            <w:pPr>
              <w:spacing w:after="0"/>
              <w:rPr>
                <w:sz w:val="19"/>
                <w:szCs w:val="19"/>
                <w:color w:val="auto"/>
              </w:rPr>
            </w:pPr>
          </w:p>
        </w:tc>
        <w:tc>
          <w:tcPr>
            <w:tcW w:w="940" w:type="dxa"/>
            <w:vAlign w:val="bottom"/>
            <w:shd w:val="clear" w:color="auto" w:fill="D1EDF4"/>
          </w:tcPr>
          <w:p>
            <w:pPr>
              <w:jc w:val="right"/>
              <w:spacing w:after="0"/>
              <w:rPr>
                <w:sz w:val="20"/>
                <w:szCs w:val="20"/>
                <w:color w:val="auto"/>
              </w:rPr>
            </w:pPr>
            <w:r>
              <w:rPr>
                <w:rFonts w:ascii="Arial" w:cs="Arial" w:eastAsia="Arial" w:hAnsi="Arial"/>
                <w:sz w:val="19"/>
                <w:szCs w:val="19"/>
                <w:color w:val="auto"/>
              </w:rPr>
              <w:t>(17,412)</w:t>
            </w:r>
          </w:p>
        </w:tc>
      </w:tr>
      <w:tr>
        <w:trPr>
          <w:trHeight w:val="220"/>
        </w:trPr>
        <w:tc>
          <w:tcPr>
            <w:tcW w:w="5960" w:type="dxa"/>
            <w:vAlign w:val="bottom"/>
            <w:gridSpan w:val="2"/>
          </w:tcPr>
          <w:p>
            <w:pPr>
              <w:ind w:left="120"/>
              <w:spacing w:after="0" w:line="219" w:lineRule="exact"/>
              <w:rPr>
                <w:sz w:val="20"/>
                <w:szCs w:val="20"/>
                <w:color w:val="auto"/>
              </w:rPr>
            </w:pPr>
            <w:r>
              <w:rPr>
                <w:rFonts w:ascii="Arial" w:cs="Arial" w:eastAsia="Arial" w:hAnsi="Arial"/>
                <w:sz w:val="19"/>
                <w:szCs w:val="19"/>
                <w:color w:val="auto"/>
              </w:rPr>
              <w:t xml:space="preserve">Other segment expenses </w:t>
            </w:r>
            <w:r>
              <w:rPr>
                <w:rFonts w:ascii="Arial" w:cs="Arial" w:eastAsia="Arial" w:hAnsi="Arial"/>
                <w:sz w:val="24"/>
                <w:szCs w:val="24"/>
                <w:color w:val="auto"/>
                <w:vertAlign w:val="superscript"/>
              </w:rPr>
              <w:t>(1)</w:t>
            </w:r>
          </w:p>
        </w:tc>
        <w:tc>
          <w:tcPr>
            <w:tcW w:w="4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9"/>
                <w:szCs w:val="19"/>
                <w:color w:val="auto"/>
              </w:rPr>
              <w:t>(104,349)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(95,655)</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(83,414)</w:t>
            </w:r>
          </w:p>
        </w:tc>
      </w:tr>
      <w:tr>
        <w:trPr>
          <w:trHeight w:val="220"/>
        </w:trPr>
        <w:tc>
          <w:tcPr>
            <w:tcW w:w="5960" w:type="dxa"/>
            <w:vAlign w:val="bottom"/>
            <w:gridSpan w:val="2"/>
            <w:shd w:val="clear" w:color="auto" w:fill="D1EDF4"/>
          </w:tcPr>
          <w:p>
            <w:pPr>
              <w:spacing w:after="0"/>
              <w:rPr>
                <w:sz w:val="20"/>
                <w:szCs w:val="20"/>
                <w:color w:val="auto"/>
              </w:rPr>
            </w:pPr>
            <w:r>
              <w:rPr>
                <w:rFonts w:ascii="Arial" w:cs="Arial" w:eastAsia="Arial" w:hAnsi="Arial"/>
                <w:sz w:val="19"/>
                <w:szCs w:val="19"/>
                <w:color w:val="auto"/>
              </w:rPr>
              <w:t>Depreciation</w:t>
            </w:r>
          </w:p>
        </w:tc>
        <w:tc>
          <w:tcPr>
            <w:tcW w:w="420" w:type="dxa"/>
            <w:vAlign w:val="bottom"/>
            <w:shd w:val="clear" w:color="auto" w:fill="D1EDF4"/>
          </w:tcPr>
          <w:p>
            <w:pPr>
              <w:spacing w:after="0"/>
              <w:rPr>
                <w:sz w:val="19"/>
                <w:szCs w:val="19"/>
                <w:color w:val="auto"/>
              </w:rPr>
            </w:pPr>
          </w:p>
        </w:tc>
        <w:tc>
          <w:tcPr>
            <w:tcW w:w="1320" w:type="dxa"/>
            <w:vAlign w:val="bottom"/>
            <w:gridSpan w:val="2"/>
            <w:shd w:val="clear" w:color="auto" w:fill="D1EDF4"/>
          </w:tcPr>
          <w:p>
            <w:pPr>
              <w:jc w:val="right"/>
              <w:ind w:right="180"/>
              <w:spacing w:after="0"/>
              <w:rPr>
                <w:sz w:val="20"/>
                <w:szCs w:val="20"/>
                <w:color w:val="auto"/>
              </w:rPr>
            </w:pPr>
            <w:r>
              <w:rPr>
                <w:rFonts w:ascii="Arial" w:cs="Arial" w:eastAsia="Arial" w:hAnsi="Arial"/>
                <w:sz w:val="19"/>
                <w:szCs w:val="19"/>
                <w:color w:val="auto"/>
              </w:rPr>
              <w:t>(18,482)</w:t>
            </w:r>
          </w:p>
        </w:tc>
        <w:tc>
          <w:tcPr>
            <w:tcW w:w="20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300" w:type="dxa"/>
            <w:vAlign w:val="bottom"/>
            <w:shd w:val="clear" w:color="auto" w:fill="D1EDF4"/>
          </w:tcPr>
          <w:p>
            <w:pPr>
              <w:spacing w:after="0"/>
              <w:rPr>
                <w:sz w:val="19"/>
                <w:szCs w:val="19"/>
                <w:color w:val="auto"/>
              </w:rPr>
            </w:pPr>
          </w:p>
        </w:tc>
        <w:tc>
          <w:tcPr>
            <w:tcW w:w="920" w:type="dxa"/>
            <w:vAlign w:val="bottom"/>
            <w:shd w:val="clear" w:color="auto" w:fill="D1EDF4"/>
          </w:tcPr>
          <w:p>
            <w:pPr>
              <w:jc w:val="right"/>
              <w:spacing w:after="0"/>
              <w:rPr>
                <w:sz w:val="20"/>
                <w:szCs w:val="20"/>
                <w:color w:val="auto"/>
              </w:rPr>
            </w:pPr>
            <w:r>
              <w:rPr>
                <w:rFonts w:ascii="Arial" w:cs="Arial" w:eastAsia="Arial" w:hAnsi="Arial"/>
                <w:sz w:val="19"/>
                <w:szCs w:val="19"/>
                <w:color w:val="auto"/>
              </w:rPr>
              <w:t>(18,822)</w:t>
            </w:r>
          </w:p>
        </w:tc>
        <w:tc>
          <w:tcPr>
            <w:tcW w:w="40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300" w:type="dxa"/>
            <w:vAlign w:val="bottom"/>
            <w:shd w:val="clear" w:color="auto" w:fill="D1EDF4"/>
          </w:tcPr>
          <w:p>
            <w:pPr>
              <w:spacing w:after="0"/>
              <w:rPr>
                <w:sz w:val="19"/>
                <w:szCs w:val="19"/>
                <w:color w:val="auto"/>
              </w:rPr>
            </w:pPr>
          </w:p>
        </w:tc>
        <w:tc>
          <w:tcPr>
            <w:tcW w:w="940" w:type="dxa"/>
            <w:vAlign w:val="bottom"/>
            <w:shd w:val="clear" w:color="auto" w:fill="D1EDF4"/>
          </w:tcPr>
          <w:p>
            <w:pPr>
              <w:jc w:val="right"/>
              <w:spacing w:after="0"/>
              <w:rPr>
                <w:sz w:val="20"/>
                <w:szCs w:val="20"/>
                <w:color w:val="auto"/>
              </w:rPr>
            </w:pPr>
            <w:r>
              <w:rPr>
                <w:rFonts w:ascii="Arial" w:cs="Arial" w:eastAsia="Arial" w:hAnsi="Arial"/>
                <w:sz w:val="19"/>
                <w:szCs w:val="19"/>
                <w:color w:val="auto"/>
              </w:rPr>
              <w:t>(18,990)</w:t>
            </w:r>
          </w:p>
        </w:tc>
      </w:tr>
      <w:tr>
        <w:trPr>
          <w:trHeight w:val="220"/>
        </w:trPr>
        <w:tc>
          <w:tcPr>
            <w:tcW w:w="5960" w:type="dxa"/>
            <w:vAlign w:val="bottom"/>
            <w:gridSpan w:val="2"/>
          </w:tcPr>
          <w:p>
            <w:pPr>
              <w:spacing w:after="0"/>
              <w:rPr>
                <w:sz w:val="20"/>
                <w:szCs w:val="20"/>
                <w:color w:val="auto"/>
              </w:rPr>
            </w:pPr>
            <w:r>
              <w:rPr>
                <w:rFonts w:ascii="Arial" w:cs="Arial" w:eastAsia="Arial" w:hAnsi="Arial"/>
                <w:sz w:val="19"/>
                <w:szCs w:val="19"/>
                <w:color w:val="auto"/>
              </w:rPr>
              <w:t>Asset impairment</w:t>
            </w:r>
          </w:p>
        </w:tc>
        <w:tc>
          <w:tcPr>
            <w:tcW w:w="4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9"/>
                <w:szCs w:val="19"/>
                <w:color w:val="auto"/>
              </w:rPr>
              <w:t>(579)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(2,536)</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(1,051)</w:t>
            </w:r>
          </w:p>
        </w:tc>
      </w:tr>
      <w:tr>
        <w:trPr>
          <w:trHeight w:val="220"/>
        </w:trPr>
        <w:tc>
          <w:tcPr>
            <w:tcW w:w="5960" w:type="dxa"/>
            <w:vAlign w:val="bottom"/>
            <w:gridSpan w:val="2"/>
            <w:shd w:val="clear" w:color="auto" w:fill="D1EDF4"/>
          </w:tcPr>
          <w:p>
            <w:pPr>
              <w:spacing w:after="0"/>
              <w:rPr>
                <w:sz w:val="20"/>
                <w:szCs w:val="20"/>
                <w:color w:val="auto"/>
              </w:rPr>
            </w:pPr>
            <w:r>
              <w:rPr>
                <w:rFonts w:ascii="Arial" w:cs="Arial" w:eastAsia="Arial" w:hAnsi="Arial"/>
                <w:sz w:val="19"/>
                <w:szCs w:val="19"/>
                <w:color w:val="auto"/>
              </w:rPr>
              <w:t>Gain on sale of building</w:t>
            </w:r>
          </w:p>
        </w:tc>
        <w:tc>
          <w:tcPr>
            <w:tcW w:w="420" w:type="dxa"/>
            <w:vAlign w:val="bottom"/>
            <w:shd w:val="clear" w:color="auto" w:fill="D1EDF4"/>
          </w:tcPr>
          <w:p>
            <w:pPr>
              <w:spacing w:after="0"/>
              <w:rPr>
                <w:sz w:val="19"/>
                <w:szCs w:val="19"/>
                <w:color w:val="auto"/>
              </w:rPr>
            </w:pPr>
          </w:p>
        </w:tc>
        <w:tc>
          <w:tcPr>
            <w:tcW w:w="1140" w:type="dxa"/>
            <w:vAlign w:val="bottom"/>
            <w:shd w:val="clear" w:color="auto" w:fill="D1EDF4"/>
          </w:tcPr>
          <w:p>
            <w:pPr>
              <w:jc w:val="right"/>
              <w:spacing w:after="0"/>
              <w:rPr>
                <w:sz w:val="20"/>
                <w:szCs w:val="20"/>
                <w:color w:val="auto"/>
              </w:rPr>
            </w:pPr>
            <w:r>
              <w:rPr>
                <w:rFonts w:ascii="Arial" w:cs="Arial" w:eastAsia="Arial" w:hAnsi="Arial"/>
                <w:sz w:val="19"/>
                <w:szCs w:val="19"/>
                <w:color w:val="auto"/>
              </w:rPr>
              <w:t>10,960</w:t>
            </w:r>
          </w:p>
        </w:tc>
        <w:tc>
          <w:tcPr>
            <w:tcW w:w="180" w:type="dxa"/>
            <w:vAlign w:val="bottom"/>
            <w:shd w:val="clear" w:color="auto" w:fill="D1EDF4"/>
          </w:tcPr>
          <w:p>
            <w:pPr>
              <w:spacing w:after="0"/>
              <w:rPr>
                <w:sz w:val="19"/>
                <w:szCs w:val="19"/>
                <w:color w:val="auto"/>
              </w:rPr>
            </w:pPr>
          </w:p>
        </w:tc>
        <w:tc>
          <w:tcPr>
            <w:tcW w:w="20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300" w:type="dxa"/>
            <w:vAlign w:val="bottom"/>
            <w:shd w:val="clear" w:color="auto" w:fill="D1EDF4"/>
          </w:tcPr>
          <w:p>
            <w:pPr>
              <w:spacing w:after="0"/>
              <w:rPr>
                <w:sz w:val="19"/>
                <w:szCs w:val="19"/>
                <w:color w:val="auto"/>
              </w:rPr>
            </w:pPr>
          </w:p>
        </w:tc>
        <w:tc>
          <w:tcPr>
            <w:tcW w:w="920" w:type="dxa"/>
            <w:vAlign w:val="bottom"/>
            <w:shd w:val="clear" w:color="auto" w:fill="D1EDF4"/>
          </w:tcPr>
          <w:p>
            <w:pPr>
              <w:jc w:val="right"/>
              <w:spacing w:after="0"/>
              <w:rPr>
                <w:sz w:val="20"/>
                <w:szCs w:val="20"/>
                <w:color w:val="auto"/>
              </w:rPr>
            </w:pPr>
            <w:r>
              <w:rPr>
                <w:rFonts w:ascii="Arial" w:cs="Arial" w:eastAsia="Arial" w:hAnsi="Arial"/>
                <w:sz w:val="19"/>
                <w:szCs w:val="19"/>
                <w:color w:val="auto"/>
              </w:rPr>
              <w:t>—</w:t>
            </w:r>
          </w:p>
        </w:tc>
        <w:tc>
          <w:tcPr>
            <w:tcW w:w="40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300" w:type="dxa"/>
            <w:vAlign w:val="bottom"/>
            <w:shd w:val="clear" w:color="auto" w:fill="D1EDF4"/>
          </w:tcPr>
          <w:p>
            <w:pPr>
              <w:spacing w:after="0"/>
              <w:rPr>
                <w:sz w:val="19"/>
                <w:szCs w:val="19"/>
                <w:color w:val="auto"/>
              </w:rPr>
            </w:pPr>
          </w:p>
        </w:tc>
        <w:tc>
          <w:tcPr>
            <w:tcW w:w="940" w:type="dxa"/>
            <w:vAlign w:val="bottom"/>
            <w:shd w:val="clear" w:color="auto" w:fill="D1EDF4"/>
          </w:tcPr>
          <w:p>
            <w:pPr>
              <w:jc w:val="right"/>
              <w:spacing w:after="0"/>
              <w:rPr>
                <w:sz w:val="20"/>
                <w:szCs w:val="20"/>
                <w:color w:val="auto"/>
              </w:rPr>
            </w:pPr>
            <w:r>
              <w:rPr>
                <w:rFonts w:ascii="Arial" w:cs="Arial" w:eastAsia="Arial" w:hAnsi="Arial"/>
                <w:sz w:val="19"/>
                <w:szCs w:val="19"/>
                <w:color w:val="auto"/>
              </w:rPr>
              <w:t>—</w:t>
            </w:r>
          </w:p>
        </w:tc>
      </w:tr>
      <w:tr>
        <w:trPr>
          <w:trHeight w:val="218"/>
        </w:trPr>
        <w:tc>
          <w:tcPr>
            <w:tcW w:w="5960" w:type="dxa"/>
            <w:vAlign w:val="bottom"/>
            <w:gridSpan w:val="2"/>
          </w:tcPr>
          <w:p>
            <w:pPr>
              <w:spacing w:after="0"/>
              <w:rPr>
                <w:sz w:val="20"/>
                <w:szCs w:val="20"/>
                <w:color w:val="auto"/>
              </w:rPr>
            </w:pPr>
            <w:r>
              <w:rPr>
                <w:rFonts w:ascii="Arial" w:cs="Arial" w:eastAsia="Arial" w:hAnsi="Arial"/>
                <w:sz w:val="19"/>
                <w:szCs w:val="19"/>
                <w:color w:val="auto"/>
              </w:rPr>
              <w:t>Gain on insurance</w:t>
            </w: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9"/>
                <w:szCs w:val="19"/>
                <w:color w:val="auto"/>
              </w:rPr>
              <w:t>482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w:t>
            </w:r>
          </w:p>
        </w:tc>
      </w:tr>
      <w:tr>
        <w:trPr>
          <w:trHeight w:val="220"/>
        </w:trPr>
        <w:tc>
          <w:tcPr>
            <w:tcW w:w="5960" w:type="dxa"/>
            <w:vAlign w:val="bottom"/>
            <w:gridSpan w:val="2"/>
            <w:shd w:val="clear" w:color="auto" w:fill="D1EDF4"/>
          </w:tcPr>
          <w:p>
            <w:pPr>
              <w:spacing w:after="0"/>
              <w:rPr>
                <w:sz w:val="20"/>
                <w:szCs w:val="20"/>
                <w:color w:val="auto"/>
              </w:rPr>
            </w:pPr>
            <w:r>
              <w:rPr>
                <w:rFonts w:ascii="Arial" w:cs="Arial" w:eastAsia="Arial" w:hAnsi="Arial"/>
                <w:sz w:val="19"/>
                <w:szCs w:val="19"/>
                <w:color w:val="auto"/>
              </w:rPr>
              <w:t>Interest income</w:t>
            </w:r>
          </w:p>
        </w:tc>
        <w:tc>
          <w:tcPr>
            <w:tcW w:w="420" w:type="dxa"/>
            <w:vAlign w:val="bottom"/>
            <w:shd w:val="clear" w:color="auto" w:fill="D1EDF4"/>
          </w:tcPr>
          <w:p>
            <w:pPr>
              <w:spacing w:after="0"/>
              <w:rPr>
                <w:sz w:val="19"/>
                <w:szCs w:val="19"/>
                <w:color w:val="auto"/>
              </w:rPr>
            </w:pPr>
          </w:p>
        </w:tc>
        <w:tc>
          <w:tcPr>
            <w:tcW w:w="1140" w:type="dxa"/>
            <w:vAlign w:val="bottom"/>
            <w:shd w:val="clear" w:color="auto" w:fill="D1EDF4"/>
          </w:tcPr>
          <w:p>
            <w:pPr>
              <w:jc w:val="right"/>
              <w:spacing w:after="0"/>
              <w:rPr>
                <w:sz w:val="20"/>
                <w:szCs w:val="20"/>
                <w:color w:val="auto"/>
              </w:rPr>
            </w:pPr>
            <w:r>
              <w:rPr>
                <w:rFonts w:ascii="Arial" w:cs="Arial" w:eastAsia="Arial" w:hAnsi="Arial"/>
                <w:sz w:val="19"/>
                <w:szCs w:val="19"/>
                <w:color w:val="auto"/>
              </w:rPr>
              <w:t>1,993</w:t>
            </w:r>
          </w:p>
        </w:tc>
        <w:tc>
          <w:tcPr>
            <w:tcW w:w="180" w:type="dxa"/>
            <w:vAlign w:val="bottom"/>
            <w:shd w:val="clear" w:color="auto" w:fill="D1EDF4"/>
          </w:tcPr>
          <w:p>
            <w:pPr>
              <w:spacing w:after="0"/>
              <w:rPr>
                <w:sz w:val="19"/>
                <w:szCs w:val="19"/>
                <w:color w:val="auto"/>
              </w:rPr>
            </w:pPr>
          </w:p>
        </w:tc>
        <w:tc>
          <w:tcPr>
            <w:tcW w:w="20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300" w:type="dxa"/>
            <w:vAlign w:val="bottom"/>
            <w:shd w:val="clear" w:color="auto" w:fill="D1EDF4"/>
          </w:tcPr>
          <w:p>
            <w:pPr>
              <w:spacing w:after="0"/>
              <w:rPr>
                <w:sz w:val="19"/>
                <w:szCs w:val="19"/>
                <w:color w:val="auto"/>
              </w:rPr>
            </w:pPr>
          </w:p>
        </w:tc>
        <w:tc>
          <w:tcPr>
            <w:tcW w:w="920" w:type="dxa"/>
            <w:vAlign w:val="bottom"/>
            <w:shd w:val="clear" w:color="auto" w:fill="D1EDF4"/>
          </w:tcPr>
          <w:p>
            <w:pPr>
              <w:jc w:val="right"/>
              <w:spacing w:after="0"/>
              <w:rPr>
                <w:sz w:val="20"/>
                <w:szCs w:val="20"/>
                <w:color w:val="auto"/>
              </w:rPr>
            </w:pPr>
            <w:r>
              <w:rPr>
                <w:rFonts w:ascii="Arial" w:cs="Arial" w:eastAsia="Arial" w:hAnsi="Arial"/>
                <w:sz w:val="19"/>
                <w:szCs w:val="19"/>
                <w:color w:val="auto"/>
              </w:rPr>
              <w:t>2,473</w:t>
            </w:r>
          </w:p>
        </w:tc>
        <w:tc>
          <w:tcPr>
            <w:tcW w:w="40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300" w:type="dxa"/>
            <w:vAlign w:val="bottom"/>
            <w:shd w:val="clear" w:color="auto" w:fill="D1EDF4"/>
          </w:tcPr>
          <w:p>
            <w:pPr>
              <w:spacing w:after="0"/>
              <w:rPr>
                <w:sz w:val="19"/>
                <w:szCs w:val="19"/>
                <w:color w:val="auto"/>
              </w:rPr>
            </w:pPr>
          </w:p>
        </w:tc>
        <w:tc>
          <w:tcPr>
            <w:tcW w:w="940" w:type="dxa"/>
            <w:vAlign w:val="bottom"/>
            <w:shd w:val="clear" w:color="auto" w:fill="D1EDF4"/>
          </w:tcPr>
          <w:p>
            <w:pPr>
              <w:jc w:val="right"/>
              <w:spacing w:after="0"/>
              <w:rPr>
                <w:sz w:val="20"/>
                <w:szCs w:val="20"/>
                <w:color w:val="auto"/>
              </w:rPr>
            </w:pPr>
            <w:r>
              <w:rPr>
                <w:rFonts w:ascii="Arial" w:cs="Arial" w:eastAsia="Arial" w:hAnsi="Arial"/>
                <w:sz w:val="19"/>
                <w:szCs w:val="19"/>
                <w:color w:val="auto"/>
              </w:rPr>
              <w:t>3,874</w:t>
            </w:r>
          </w:p>
        </w:tc>
      </w:tr>
      <w:tr>
        <w:trPr>
          <w:trHeight w:val="220"/>
        </w:trPr>
        <w:tc>
          <w:tcPr>
            <w:tcW w:w="5960" w:type="dxa"/>
            <w:vAlign w:val="bottom"/>
            <w:gridSpan w:val="2"/>
          </w:tcPr>
          <w:p>
            <w:pPr>
              <w:spacing w:after="0"/>
              <w:rPr>
                <w:sz w:val="20"/>
                <w:szCs w:val="20"/>
                <w:color w:val="auto"/>
              </w:rPr>
            </w:pPr>
            <w:r>
              <w:rPr>
                <w:rFonts w:ascii="Arial" w:cs="Arial" w:eastAsia="Arial" w:hAnsi="Arial"/>
                <w:sz w:val="19"/>
                <w:szCs w:val="19"/>
                <w:color w:val="auto"/>
              </w:rPr>
              <w:t>Interest expense</w:t>
            </w:r>
          </w:p>
        </w:tc>
        <w:tc>
          <w:tcPr>
            <w:tcW w:w="4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9"/>
                <w:szCs w:val="19"/>
                <w:color w:val="auto"/>
              </w:rPr>
              <w:t>(342)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(319)</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(306)</w:t>
            </w:r>
          </w:p>
        </w:tc>
      </w:tr>
      <w:tr>
        <w:trPr>
          <w:trHeight w:val="220"/>
        </w:trPr>
        <w:tc>
          <w:tcPr>
            <w:tcW w:w="5960" w:type="dxa"/>
            <w:vAlign w:val="bottom"/>
            <w:gridSpan w:val="2"/>
            <w:shd w:val="clear" w:color="auto" w:fill="D1EDF4"/>
          </w:tcPr>
          <w:p>
            <w:pPr>
              <w:ind w:left="120"/>
              <w:spacing w:after="0"/>
              <w:rPr>
                <w:sz w:val="20"/>
                <w:szCs w:val="20"/>
                <w:color w:val="auto"/>
              </w:rPr>
            </w:pPr>
            <w:r>
              <w:rPr>
                <w:rFonts w:ascii="Arial" w:cs="Arial" w:eastAsia="Arial" w:hAnsi="Arial"/>
                <w:sz w:val="19"/>
                <w:szCs w:val="19"/>
                <w:color w:val="auto"/>
              </w:rPr>
              <w:t>Income tax (provision) benefit</w:t>
            </w:r>
          </w:p>
        </w:tc>
        <w:tc>
          <w:tcPr>
            <w:tcW w:w="420" w:type="dxa"/>
            <w:vAlign w:val="bottom"/>
            <w:shd w:val="clear" w:color="auto" w:fill="D1EDF4"/>
          </w:tcPr>
          <w:p>
            <w:pPr>
              <w:spacing w:after="0"/>
              <w:rPr>
                <w:sz w:val="19"/>
                <w:szCs w:val="19"/>
                <w:color w:val="auto"/>
              </w:rPr>
            </w:pPr>
          </w:p>
        </w:tc>
        <w:tc>
          <w:tcPr>
            <w:tcW w:w="1320" w:type="dxa"/>
            <w:vAlign w:val="bottom"/>
            <w:gridSpan w:val="2"/>
            <w:shd w:val="clear" w:color="auto" w:fill="D1EDF4"/>
          </w:tcPr>
          <w:p>
            <w:pPr>
              <w:jc w:val="right"/>
              <w:ind w:right="180"/>
              <w:spacing w:after="0"/>
              <w:rPr>
                <w:sz w:val="20"/>
                <w:szCs w:val="20"/>
                <w:color w:val="auto"/>
              </w:rPr>
            </w:pPr>
            <w:r>
              <w:rPr>
                <w:rFonts w:ascii="Arial" w:cs="Arial" w:eastAsia="Arial" w:hAnsi="Arial"/>
                <w:sz w:val="19"/>
                <w:szCs w:val="19"/>
                <w:color w:val="auto"/>
              </w:rPr>
              <w:t>(296)</w:t>
            </w:r>
          </w:p>
        </w:tc>
        <w:tc>
          <w:tcPr>
            <w:tcW w:w="20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300" w:type="dxa"/>
            <w:vAlign w:val="bottom"/>
            <w:shd w:val="clear" w:color="auto" w:fill="D1EDF4"/>
          </w:tcPr>
          <w:p>
            <w:pPr>
              <w:spacing w:after="0"/>
              <w:rPr>
                <w:sz w:val="19"/>
                <w:szCs w:val="19"/>
                <w:color w:val="auto"/>
              </w:rPr>
            </w:pPr>
          </w:p>
        </w:tc>
        <w:tc>
          <w:tcPr>
            <w:tcW w:w="920" w:type="dxa"/>
            <w:vAlign w:val="bottom"/>
            <w:shd w:val="clear" w:color="auto" w:fill="D1EDF4"/>
          </w:tcPr>
          <w:p>
            <w:pPr>
              <w:jc w:val="right"/>
              <w:spacing w:after="0"/>
              <w:rPr>
                <w:sz w:val="20"/>
                <w:szCs w:val="20"/>
                <w:color w:val="auto"/>
              </w:rPr>
            </w:pPr>
            <w:r>
              <w:rPr>
                <w:rFonts w:ascii="Arial" w:cs="Arial" w:eastAsia="Arial" w:hAnsi="Arial"/>
                <w:sz w:val="19"/>
                <w:szCs w:val="19"/>
                <w:color w:val="auto"/>
              </w:rPr>
              <w:t>(5,836)</w:t>
            </w:r>
          </w:p>
        </w:tc>
        <w:tc>
          <w:tcPr>
            <w:tcW w:w="40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300" w:type="dxa"/>
            <w:vAlign w:val="bottom"/>
            <w:shd w:val="clear" w:color="auto" w:fill="D1EDF4"/>
          </w:tcPr>
          <w:p>
            <w:pPr>
              <w:spacing w:after="0"/>
              <w:rPr>
                <w:sz w:val="19"/>
                <w:szCs w:val="19"/>
                <w:color w:val="auto"/>
              </w:rPr>
            </w:pPr>
          </w:p>
        </w:tc>
        <w:tc>
          <w:tcPr>
            <w:tcW w:w="940" w:type="dxa"/>
            <w:vAlign w:val="bottom"/>
            <w:shd w:val="clear" w:color="auto" w:fill="D1EDF4"/>
          </w:tcPr>
          <w:p>
            <w:pPr>
              <w:jc w:val="right"/>
              <w:spacing w:after="0"/>
              <w:rPr>
                <w:sz w:val="20"/>
                <w:szCs w:val="20"/>
                <w:color w:val="auto"/>
              </w:rPr>
            </w:pPr>
            <w:r>
              <w:rPr>
                <w:rFonts w:ascii="Arial" w:cs="Arial" w:eastAsia="Arial" w:hAnsi="Arial"/>
                <w:sz w:val="19"/>
                <w:szCs w:val="19"/>
                <w:color w:val="auto"/>
              </w:rPr>
              <w:t>3,907</w:t>
            </w:r>
          </w:p>
        </w:tc>
      </w:tr>
      <w:tr>
        <w:trPr>
          <w:trHeight w:val="219"/>
        </w:trPr>
        <w:tc>
          <w:tcPr>
            <w:tcW w:w="5940" w:type="dxa"/>
            <w:vAlign w:val="bottom"/>
          </w:tcPr>
          <w:p>
            <w:pPr>
              <w:ind w:left="120"/>
              <w:spacing w:after="0" w:line="211" w:lineRule="exact"/>
              <w:rPr>
                <w:sz w:val="20"/>
                <w:szCs w:val="20"/>
                <w:color w:val="auto"/>
              </w:rPr>
            </w:pPr>
            <w:r>
              <w:rPr>
                <w:rFonts w:ascii="Arial" w:cs="Arial" w:eastAsia="Arial" w:hAnsi="Arial"/>
                <w:sz w:val="19"/>
                <w:szCs w:val="19"/>
                <w:color w:val="auto"/>
              </w:rPr>
              <w:t>Net income (loss)</w:t>
            </w: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145"/>
              <w:spacing w:after="0" w:line="211" w:lineRule="exact"/>
              <w:rPr>
                <w:sz w:val="20"/>
                <w:szCs w:val="20"/>
                <w:color w:val="auto"/>
              </w:rPr>
            </w:pPr>
            <w:r>
              <w:rPr>
                <w:rFonts w:ascii="Arial" w:cs="Arial" w:eastAsia="Arial" w:hAnsi="Arial"/>
                <w:sz w:val="19"/>
                <w:szCs w:val="19"/>
                <w:color w:val="auto"/>
              </w:rPr>
              <w:t>$</w:t>
            </w:r>
          </w:p>
        </w:tc>
        <w:tc>
          <w:tcPr>
            <w:tcW w:w="1140" w:type="dxa"/>
            <w:vAlign w:val="bottom"/>
            <w:tcBorders>
              <w:top w:val="single" w:sz="8" w:color="auto"/>
              <w:bottom w:val="single" w:sz="8" w:color="auto"/>
            </w:tcBorders>
          </w:tcPr>
          <w:p>
            <w:pPr>
              <w:jc w:val="right"/>
              <w:spacing w:after="0" w:line="211" w:lineRule="exact"/>
              <w:rPr>
                <w:sz w:val="20"/>
                <w:szCs w:val="20"/>
                <w:color w:val="auto"/>
              </w:rPr>
            </w:pPr>
            <w:r>
              <w:rPr>
                <w:rFonts w:ascii="Arial" w:cs="Arial" w:eastAsia="Arial" w:hAnsi="Arial"/>
                <w:sz w:val="19"/>
                <w:szCs w:val="19"/>
                <w:color w:val="auto"/>
              </w:rPr>
              <w:t>5,207</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25"/>
              <w:spacing w:after="0" w:line="211" w:lineRule="exact"/>
              <w:rPr>
                <w:sz w:val="20"/>
                <w:szCs w:val="20"/>
                <w:color w:val="auto"/>
              </w:rPr>
            </w:pPr>
            <w:r>
              <w:rPr>
                <w:rFonts w:ascii="Arial" w:cs="Arial" w:eastAsia="Arial" w:hAnsi="Arial"/>
                <w:sz w:val="19"/>
                <w:szCs w:val="19"/>
                <w:color w:val="auto"/>
              </w:rPr>
              <w:t>$</w:t>
            </w:r>
          </w:p>
        </w:tc>
        <w:tc>
          <w:tcPr>
            <w:tcW w:w="920" w:type="dxa"/>
            <w:vAlign w:val="bottom"/>
            <w:tcBorders>
              <w:top w:val="single" w:sz="8" w:color="auto"/>
              <w:bottom w:val="single" w:sz="8" w:color="auto"/>
            </w:tcBorders>
          </w:tcPr>
          <w:p>
            <w:pPr>
              <w:jc w:val="right"/>
              <w:spacing w:after="0" w:line="211" w:lineRule="exact"/>
              <w:rPr>
                <w:sz w:val="20"/>
                <w:szCs w:val="20"/>
                <w:color w:val="auto"/>
              </w:rPr>
            </w:pPr>
            <w:r>
              <w:rPr>
                <w:rFonts w:ascii="Arial" w:cs="Arial" w:eastAsia="Arial" w:hAnsi="Arial"/>
                <w:sz w:val="19"/>
                <w:szCs w:val="19"/>
                <w:color w:val="auto"/>
              </w:rPr>
              <w:t>(43,170)</w:t>
            </w:r>
          </w:p>
        </w:tc>
        <w:tc>
          <w:tcPr>
            <w:tcW w:w="4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25"/>
              <w:spacing w:after="0" w:line="211" w:lineRule="exact"/>
              <w:rPr>
                <w:sz w:val="20"/>
                <w:szCs w:val="20"/>
                <w:color w:val="auto"/>
              </w:rPr>
            </w:pPr>
            <w:r>
              <w:rPr>
                <w:rFonts w:ascii="Arial" w:cs="Arial" w:eastAsia="Arial" w:hAnsi="Arial"/>
                <w:sz w:val="19"/>
                <w:szCs w:val="19"/>
                <w:color w:val="auto"/>
              </w:rPr>
              <w:t>$</w:t>
            </w:r>
          </w:p>
        </w:tc>
        <w:tc>
          <w:tcPr>
            <w:tcW w:w="940" w:type="dxa"/>
            <w:vAlign w:val="bottom"/>
            <w:tcBorders>
              <w:top w:val="single" w:sz="8" w:color="auto"/>
              <w:bottom w:val="single" w:sz="8" w:color="auto"/>
            </w:tcBorders>
          </w:tcPr>
          <w:p>
            <w:pPr>
              <w:jc w:val="right"/>
              <w:spacing w:after="0" w:line="211" w:lineRule="exact"/>
              <w:rPr>
                <w:sz w:val="20"/>
                <w:szCs w:val="20"/>
                <w:color w:val="auto"/>
              </w:rPr>
            </w:pPr>
            <w:r>
              <w:rPr>
                <w:rFonts w:ascii="Arial" w:cs="Arial" w:eastAsia="Arial" w:hAnsi="Arial"/>
                <w:sz w:val="19"/>
                <w:szCs w:val="19"/>
                <w:color w:val="auto"/>
              </w:rPr>
              <w:t>(11,979)</w:t>
            </w:r>
          </w:p>
        </w:tc>
      </w:tr>
    </w:tbl>
    <w:p>
      <w:pPr>
        <w:spacing w:after="0" w:line="200" w:lineRule="exact"/>
        <w:rPr>
          <w:sz w:val="20"/>
          <w:szCs w:val="20"/>
          <w:color w:val="auto"/>
        </w:rPr>
      </w:pPr>
    </w:p>
    <w:p>
      <w:pPr>
        <w:ind w:left="140" w:hanging="140"/>
        <w:spacing w:after="0" w:line="286" w:lineRule="auto"/>
        <w:tabs>
          <w:tab w:leader="none" w:pos="176" w:val="left"/>
        </w:tabs>
        <w:numPr>
          <w:ilvl w:val="0"/>
          <w:numId w:val="16"/>
        </w:numPr>
        <w:rPr>
          <w:rFonts w:ascii="Arial" w:cs="Arial" w:eastAsia="Arial" w:hAnsi="Arial"/>
          <w:sz w:val="21"/>
          <w:szCs w:val="21"/>
          <w:color w:val="auto"/>
          <w:vertAlign w:val="superscript"/>
        </w:rPr>
      </w:pPr>
      <w:r>
        <w:rPr>
          <w:rFonts w:ascii="Arial" w:cs="Arial" w:eastAsia="Arial" w:hAnsi="Arial"/>
          <w:sz w:val="17"/>
          <w:szCs w:val="17"/>
          <w:color w:val="auto"/>
        </w:rPr>
        <w:t>Other segment expenses represent other store, corporate and distribution center expenses including utilities, repairs, supplies, insurance, professional fees and other miscellaneous fees.</w:t>
      </w:r>
    </w:p>
    <w:p>
      <w:pPr>
        <w:spacing w:after="0" w:line="350" w:lineRule="exact"/>
        <w:rPr>
          <w:sz w:val="20"/>
          <w:szCs w:val="20"/>
          <w:color w:val="auto"/>
        </w:rPr>
      </w:pPr>
    </w:p>
    <w:p>
      <w:pPr>
        <w:ind w:right="1080"/>
        <w:spacing w:after="0" w:line="297" w:lineRule="auto"/>
        <w:rPr>
          <w:sz w:val="20"/>
          <w:szCs w:val="20"/>
          <w:color w:val="auto"/>
        </w:rPr>
      </w:pPr>
      <w:r>
        <w:rPr>
          <w:rFonts w:ascii="Arial" w:cs="Arial" w:eastAsia="Arial" w:hAnsi="Arial"/>
          <w:sz w:val="19"/>
          <w:szCs w:val="19"/>
          <w:b w:val="1"/>
          <w:bCs w:val="1"/>
          <w:color w:val="auto"/>
        </w:rPr>
        <w:t xml:space="preserve">ITEM 9. </w:t>
      </w:r>
      <w:r>
        <w:rPr>
          <w:rFonts w:ascii="Arial" w:cs="Arial" w:eastAsia="Arial" w:hAnsi="Arial"/>
          <w:sz w:val="19"/>
          <w:szCs w:val="19"/>
          <w:b w:val="1"/>
          <w:bCs w:val="1"/>
          <w:u w:val="single" w:color="auto"/>
          <w:color w:val="auto"/>
        </w:rPr>
        <w:t>CHANGES IN AND DISAGREEMENTS WITH ACCOUNTANTS ON ACCOUNTING AND FINANCIAL</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DISCLOSURE</w:t>
      </w:r>
    </w:p>
    <w:p>
      <w:pPr>
        <w:spacing w:after="0" w:line="60" w:lineRule="exact"/>
        <w:rPr>
          <w:sz w:val="20"/>
          <w:szCs w:val="20"/>
          <w:color w:val="auto"/>
        </w:rPr>
      </w:pPr>
    </w:p>
    <w:p>
      <w:pPr>
        <w:spacing w:after="0"/>
        <w:rPr>
          <w:sz w:val="20"/>
          <w:szCs w:val="20"/>
          <w:color w:val="auto"/>
        </w:rPr>
      </w:pPr>
      <w:r>
        <w:rPr>
          <w:rFonts w:ascii="Arial" w:cs="Arial" w:eastAsia="Arial" w:hAnsi="Arial"/>
          <w:sz w:val="19"/>
          <w:szCs w:val="19"/>
          <w:color w:val="auto"/>
        </w:rPr>
        <w:t>Not applicable.</w:t>
      </w:r>
    </w:p>
    <w:p>
      <w:pPr>
        <w:spacing w:after="0" w:line="216" w:lineRule="exact"/>
        <w:rPr>
          <w:sz w:val="20"/>
          <w:szCs w:val="20"/>
          <w:color w:val="auto"/>
        </w:rPr>
      </w:pPr>
    </w:p>
    <w:p>
      <w:pPr>
        <w:spacing w:after="0"/>
        <w:tabs>
          <w:tab w:leader="none" w:pos="1060" w:val="left"/>
        </w:tabs>
        <w:rPr>
          <w:sz w:val="20"/>
          <w:szCs w:val="20"/>
          <w:color w:val="auto"/>
        </w:rPr>
      </w:pPr>
      <w:r>
        <w:rPr>
          <w:rFonts w:ascii="Arial" w:cs="Arial" w:eastAsia="Arial" w:hAnsi="Arial"/>
          <w:sz w:val="19"/>
          <w:szCs w:val="19"/>
          <w:b w:val="1"/>
          <w:bCs w:val="1"/>
          <w:color w:val="auto"/>
        </w:rPr>
        <w:t>ITEM 9A.</w:t>
      </w:r>
      <w:r>
        <w:rPr>
          <w:sz w:val="20"/>
          <w:szCs w:val="20"/>
          <w:color w:val="auto"/>
        </w:rPr>
        <w:tab/>
      </w:r>
      <w:r>
        <w:rPr>
          <w:rFonts w:ascii="Arial" w:cs="Arial" w:eastAsia="Arial" w:hAnsi="Arial"/>
          <w:sz w:val="18"/>
          <w:szCs w:val="18"/>
          <w:b w:val="1"/>
          <w:bCs w:val="1"/>
          <w:u w:val="single" w:color="auto"/>
          <w:color w:val="auto"/>
        </w:rPr>
        <w:t>CONTROLS AND PROCEDURES</w:t>
      </w:r>
    </w:p>
    <w:p>
      <w:pPr>
        <w:spacing w:after="0" w:line="16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Evaluation of Disclosure Controls and Procedures</w:t>
      </w:r>
    </w:p>
    <w:p>
      <w:pPr>
        <w:spacing w:after="0" w:line="162"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We carried out an evaluation under the supervision and with the participation of management, including the principal executive officer and the principal financial officer, of the effectiveness of the design and operation of our disclosure controls and procedures as of the end of the period covered by this Report pursuant to Rules 13a-15 and 15d-15 of the Exchange Act. Based on that evaluation, the principal executive officer and the principal financial officer each concluded that our disclosure controls and procedures are effective to provide reasonable assurance that information required to be disclosed by us in reports that we file or submit under the Exchange Act is recorded, processed, summarized and reported within the time periods specified in the SEC’s rules and forms, and that such information has been accumulated and communicated to our management, including the officers who certify our financial reports, as appropriate, to allow timely decisions regarding the required disclosures.</w:t>
      </w:r>
    </w:p>
    <w:p>
      <w:pPr>
        <w:spacing w:after="0" w:line="107" w:lineRule="exact"/>
        <w:rPr>
          <w:sz w:val="20"/>
          <w:szCs w:val="20"/>
          <w:color w:val="auto"/>
        </w:rPr>
      </w:pPr>
    </w:p>
    <w:p>
      <w:pPr>
        <w:ind w:right="320"/>
        <w:spacing w:after="0" w:line="260" w:lineRule="auto"/>
        <w:rPr>
          <w:sz w:val="20"/>
          <w:szCs w:val="20"/>
          <w:color w:val="auto"/>
        </w:rPr>
      </w:pPr>
      <w:r>
        <w:rPr>
          <w:rFonts w:ascii="Arial" w:cs="Arial" w:eastAsia="Arial" w:hAnsi="Arial"/>
          <w:sz w:val="19"/>
          <w:szCs w:val="19"/>
          <w:color w:val="auto"/>
        </w:rPr>
        <w:t>Our disclosure controls and procedures are designed to provide reasonable assurance that the controls and procedures will meet their objectives. Management recognizes that any controls and procedures, no matter how well designed and operated, can provide only reasonable assurance of achieving the desired control objectives.</w:t>
      </w:r>
    </w:p>
    <w:p>
      <w:pPr>
        <w:spacing w:after="0" w:line="10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Management’s Report on Internal Control Over Financial Reporting</w:t>
      </w:r>
    </w:p>
    <w:p>
      <w:pPr>
        <w:spacing w:after="0" w:line="162" w:lineRule="exact"/>
        <w:rPr>
          <w:sz w:val="20"/>
          <w:szCs w:val="20"/>
          <w:color w:val="auto"/>
        </w:rPr>
      </w:pPr>
    </w:p>
    <w:p>
      <w:pPr>
        <w:ind w:right="80"/>
        <w:spacing w:after="0" w:line="253" w:lineRule="auto"/>
        <w:rPr>
          <w:sz w:val="20"/>
          <w:szCs w:val="20"/>
          <w:color w:val="auto"/>
        </w:rPr>
      </w:pPr>
      <w:r>
        <w:rPr>
          <w:rFonts w:ascii="Arial" w:cs="Arial" w:eastAsia="Arial" w:hAnsi="Arial"/>
          <w:sz w:val="19"/>
          <w:szCs w:val="19"/>
          <w:color w:val="auto"/>
        </w:rPr>
        <w:t>Our management is responsible for establishing and maintaining adequate internal control over financial reporting, as defined in Rule 13a-15(f) of the Securities Exchange Act of 1934, as amended. Our internal control over financial reporting is designed to provide reasonable assurance regarding the reliability of financial reporting and the preparation of consolidated financial statements for external purposes in accordance with generally accepted accounting principles.</w:t>
      </w:r>
    </w:p>
    <w:p>
      <w:pPr>
        <w:sectPr>
          <w:pgSz w:w="11880" w:h="15480" w:orient="portrait"/>
          <w:cols w:equalWidth="0" w:num="1">
            <w:col w:w="10800"/>
          </w:cols>
          <w:pgMar w:left="540" w:top="807" w:right="540" w:bottom="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ectPr>
          <w:pgSz w:w="11880" w:h="15480" w:orient="portrait"/>
          <w:cols w:equalWidth="0" w:num="1">
            <w:col w:w="10800"/>
          </w:cols>
          <w:pgMar w:left="540" w:top="807" w:right="540" w:bottom="16" w:gutter="0" w:footer="0" w:header="0"/>
          <w:type w:val="continuous"/>
        </w:sectPr>
      </w:pPr>
    </w:p>
    <w:bookmarkStart w:id="48" w:name="page49"/>
    <w:bookmarkEnd w:id="48"/>
    <w:p>
      <w:pPr>
        <w:ind w:right="60"/>
        <w:spacing w:after="0" w:line="260" w:lineRule="auto"/>
        <w:rPr>
          <w:sz w:val="20"/>
          <w:szCs w:val="20"/>
          <w:color w:val="auto"/>
        </w:rPr>
      </w:pPr>
      <w:r>
        <w:rPr>
          <w:rFonts w:ascii="Arial" w:cs="Arial" w:eastAsia="Arial" w:hAnsi="Arial"/>
          <w:sz w:val="19"/>
          <w:szCs w:val="19"/>
          <w:color w:val="auto"/>
        </w:rPr>
        <w:t>Because of its inherent limitations, internal control over financial reporting may not prevent or detect misstatements. Therefore, even those systems determined to be effective can provide only reasonable assurance with respect to financial statement preparation and presentation.</w:t>
      </w:r>
    </w:p>
    <w:p>
      <w:pPr>
        <w:spacing w:after="0" w:line="105" w:lineRule="exact"/>
        <w:rPr>
          <w:sz w:val="20"/>
          <w:szCs w:val="20"/>
          <w:color w:val="auto"/>
        </w:rPr>
      </w:pPr>
    </w:p>
    <w:p>
      <w:pPr>
        <w:ind w:right="60"/>
        <w:spacing w:after="0" w:line="250" w:lineRule="auto"/>
        <w:rPr>
          <w:sz w:val="20"/>
          <w:szCs w:val="20"/>
          <w:color w:val="auto"/>
        </w:rPr>
      </w:pPr>
      <w:r>
        <w:rPr>
          <w:rFonts w:ascii="Arial" w:cs="Arial" w:eastAsia="Arial" w:hAnsi="Arial"/>
          <w:sz w:val="19"/>
          <w:szCs w:val="19"/>
          <w:color w:val="auto"/>
        </w:rPr>
        <w:t xml:space="preserve">Under the supervision and with the participation of management, including our principal executive officer and principal financial officer, we assessed the effectiveness of our internal control over financial reporting as of January 31, 2026, based on the criteria described in </w:t>
      </w:r>
      <w:r>
        <w:rPr>
          <w:rFonts w:ascii="Arial" w:cs="Arial" w:eastAsia="Arial" w:hAnsi="Arial"/>
          <w:sz w:val="19"/>
          <w:szCs w:val="19"/>
          <w:i w:val="1"/>
          <w:iCs w:val="1"/>
          <w:color w:val="auto"/>
        </w:rPr>
        <w:t>Internal Control—Integrated Framework (2013),</w:t>
      </w:r>
      <w:r>
        <w:rPr>
          <w:rFonts w:ascii="Arial" w:cs="Arial" w:eastAsia="Arial" w:hAnsi="Arial"/>
          <w:sz w:val="19"/>
          <w:szCs w:val="19"/>
          <w:color w:val="auto"/>
        </w:rPr>
        <w:t xml:space="preserve"> issued by the Committee of Sponsoring Organizations of the Treadway Commission (“COSO”). Based on this assessment, our management concluded that our internal control over financial reporting was effective based on those criteria as of January 31, 2026.</w:t>
      </w:r>
    </w:p>
    <w:p>
      <w:pPr>
        <w:spacing w:after="0" w:line="115" w:lineRule="exact"/>
        <w:rPr>
          <w:sz w:val="20"/>
          <w:szCs w:val="20"/>
          <w:color w:val="auto"/>
        </w:rPr>
      </w:pPr>
    </w:p>
    <w:p>
      <w:pPr>
        <w:spacing w:after="0" w:line="281" w:lineRule="auto"/>
        <w:rPr>
          <w:sz w:val="20"/>
          <w:szCs w:val="20"/>
          <w:color w:val="auto"/>
        </w:rPr>
      </w:pPr>
      <w:r>
        <w:rPr>
          <w:rFonts w:ascii="Arial" w:cs="Arial" w:eastAsia="Arial" w:hAnsi="Arial"/>
          <w:sz w:val="19"/>
          <w:szCs w:val="19"/>
          <w:color w:val="auto"/>
        </w:rPr>
        <w:t>Our independent registered public accounting firm, Deloitte &amp; Touche LLP, audited the effectiveness of our internal control over financial reporting as of January 31, 2026, as stated in their report which is included herein.</w:t>
      </w:r>
    </w:p>
    <w:p>
      <w:pPr>
        <w:spacing w:after="0" w:line="8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Changes in Internal Control Over Financial Reporting</w:t>
      </w:r>
    </w:p>
    <w:p>
      <w:pPr>
        <w:spacing w:after="0" w:line="162" w:lineRule="exact"/>
        <w:rPr>
          <w:sz w:val="20"/>
          <w:szCs w:val="20"/>
          <w:color w:val="auto"/>
        </w:rPr>
      </w:pPr>
    </w:p>
    <w:p>
      <w:pPr>
        <w:ind w:right="80"/>
        <w:spacing w:after="0" w:line="281" w:lineRule="auto"/>
        <w:rPr>
          <w:sz w:val="20"/>
          <w:szCs w:val="20"/>
          <w:color w:val="auto"/>
        </w:rPr>
      </w:pPr>
      <w:r>
        <w:rPr>
          <w:rFonts w:ascii="Arial" w:cs="Arial" w:eastAsia="Arial" w:hAnsi="Arial"/>
          <w:sz w:val="19"/>
          <w:szCs w:val="19"/>
          <w:color w:val="auto"/>
        </w:rPr>
        <w:t>There were no changes in our internal control over financial reporting that occurred during the fourth quarter of fiscal 2025 that have materially affected, or are reasonably likely to materially affect, our internal control over financial reporting.</w:t>
      </w:r>
    </w:p>
    <w:p>
      <w:pPr>
        <w:sectPr>
          <w:pgSz w:w="11880" w:h="15480" w:orient="portrait"/>
          <w:cols w:equalWidth="0" w:num="1">
            <w:col w:w="10680"/>
          </w:cols>
          <w:pgMar w:left="540" w:top="807" w:right="660" w:bottom="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49</w:t>
      </w:r>
    </w:p>
    <w:p>
      <w:pPr>
        <w:sectPr>
          <w:pgSz w:w="11880" w:h="15480" w:orient="portrait"/>
          <w:cols w:equalWidth="0" w:num="1">
            <w:col w:w="10680"/>
          </w:cols>
          <w:pgMar w:left="540" w:top="807" w:right="660" w:bottom="16" w:gutter="0" w:footer="0" w:header="0"/>
          <w:type w:val="continuous"/>
        </w:sectPr>
      </w:pPr>
    </w:p>
    <w:bookmarkStart w:id="49" w:name="page50"/>
    <w:bookmarkEnd w:id="49"/>
    <w:p>
      <w:pPr>
        <w:spacing w:after="0"/>
        <w:rPr>
          <w:sz w:val="20"/>
          <w:szCs w:val="20"/>
          <w:color w:val="auto"/>
        </w:rPr>
      </w:pPr>
      <w:r>
        <w:rPr>
          <w:rFonts w:ascii="Arial" w:cs="Arial" w:eastAsia="Arial" w:hAnsi="Arial"/>
          <w:sz w:val="19"/>
          <w:szCs w:val="19"/>
          <w:b w:val="1"/>
          <w:bCs w:val="1"/>
          <w:color w:val="auto"/>
        </w:rPr>
        <w:t>REPORT OF INDEPENDENT REGISTERED PUBLIC ACCOUNTING FIRM</w:t>
      </w:r>
    </w:p>
    <w:p>
      <w:pPr>
        <w:spacing w:after="0" w:line="164" w:lineRule="exact"/>
        <w:rPr>
          <w:sz w:val="20"/>
          <w:szCs w:val="20"/>
          <w:color w:val="auto"/>
        </w:rPr>
      </w:pPr>
    </w:p>
    <w:p>
      <w:pPr>
        <w:spacing w:after="0"/>
        <w:rPr>
          <w:sz w:val="20"/>
          <w:szCs w:val="20"/>
          <w:color w:val="auto"/>
        </w:rPr>
      </w:pPr>
      <w:r>
        <w:rPr>
          <w:rFonts w:ascii="Arial" w:cs="Arial" w:eastAsia="Arial" w:hAnsi="Arial"/>
          <w:sz w:val="19"/>
          <w:szCs w:val="19"/>
          <w:color w:val="auto"/>
        </w:rPr>
        <w:t>To the Stockholders and the Board of Directors of Citi Trends, Inc.</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Opinion on Internal Control over Financial Reporting</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color w:val="auto"/>
        </w:rPr>
        <w:t>We have audited the internal control over financial reporting of Citi Trends, Inc. and subsidiary (the “Company”) as of</w:t>
      </w:r>
    </w:p>
    <w:p>
      <w:pPr>
        <w:spacing w:after="0" w:line="24" w:lineRule="exact"/>
        <w:rPr>
          <w:sz w:val="20"/>
          <w:szCs w:val="20"/>
          <w:color w:val="auto"/>
        </w:rPr>
      </w:pPr>
    </w:p>
    <w:p>
      <w:pPr>
        <w:ind w:right="100"/>
        <w:spacing w:after="0" w:line="245" w:lineRule="auto"/>
        <w:rPr>
          <w:sz w:val="20"/>
          <w:szCs w:val="20"/>
          <w:color w:val="auto"/>
        </w:rPr>
      </w:pPr>
      <w:r>
        <w:rPr>
          <w:rFonts w:ascii="Arial" w:cs="Arial" w:eastAsia="Arial" w:hAnsi="Arial"/>
          <w:sz w:val="19"/>
          <w:szCs w:val="19"/>
          <w:color w:val="auto"/>
        </w:rPr>
        <w:t>January 31, 2026,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January 31, 2026, based on criteria established in Internal Control — Integrated Framework (2013) issued by COSO.</w:t>
      </w:r>
    </w:p>
    <w:p>
      <w:pPr>
        <w:spacing w:after="0" w:line="118" w:lineRule="exact"/>
        <w:rPr>
          <w:sz w:val="20"/>
          <w:szCs w:val="20"/>
          <w:color w:val="auto"/>
        </w:rPr>
      </w:pPr>
    </w:p>
    <w:p>
      <w:pPr>
        <w:ind w:right="100"/>
        <w:spacing w:after="0" w:line="260" w:lineRule="auto"/>
        <w:rPr>
          <w:sz w:val="20"/>
          <w:szCs w:val="20"/>
          <w:color w:val="auto"/>
        </w:rPr>
      </w:pPr>
      <w:r>
        <w:rPr>
          <w:rFonts w:ascii="Arial" w:cs="Arial" w:eastAsia="Arial" w:hAnsi="Arial"/>
          <w:sz w:val="19"/>
          <w:szCs w:val="19"/>
          <w:color w:val="auto"/>
        </w:rPr>
        <w:t>We have also audited, in accordance with the standards of the Public Company Accounting Oversight Board (United States) (PCAOB), the consolidated financial statements as of and for the year ended January 31, 2026, of the Company and our report dated April 15, 2026, expressed an unqualified opinion on those financial statements.</w:t>
      </w:r>
    </w:p>
    <w:p>
      <w:pPr>
        <w:spacing w:after="0" w:line="10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Basis for Opinion</w:t>
      </w:r>
    </w:p>
    <w:p>
      <w:pPr>
        <w:spacing w:after="0" w:line="164" w:lineRule="exact"/>
        <w:rPr>
          <w:sz w:val="20"/>
          <w:szCs w:val="20"/>
          <w:color w:val="auto"/>
        </w:rPr>
      </w:pPr>
    </w:p>
    <w:p>
      <w:pPr>
        <w:ind w:right="40"/>
        <w:spacing w:after="0" w:line="248" w:lineRule="auto"/>
        <w:rPr>
          <w:sz w:val="20"/>
          <w:szCs w:val="20"/>
          <w:color w:val="auto"/>
        </w:rPr>
      </w:pPr>
      <w:r>
        <w:rPr>
          <w:rFonts w:ascii="Arial" w:cs="Arial" w:eastAsia="Arial" w:hAnsi="Arial"/>
          <w:sz w:val="19"/>
          <w:szCs w:val="19"/>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5" w:lineRule="exact"/>
        <w:rPr>
          <w:sz w:val="20"/>
          <w:szCs w:val="20"/>
          <w:color w:val="auto"/>
        </w:rPr>
      </w:pPr>
    </w:p>
    <w:p>
      <w:pPr>
        <w:ind w:right="40"/>
        <w:spacing w:after="0" w:line="248" w:lineRule="auto"/>
        <w:rPr>
          <w:sz w:val="20"/>
          <w:szCs w:val="20"/>
          <w:color w:val="auto"/>
        </w:rPr>
      </w:pPr>
      <w:r>
        <w:rPr>
          <w:rFonts w:ascii="Arial" w:cs="Arial" w:eastAsia="Arial" w:hAnsi="Arial"/>
          <w:sz w:val="19"/>
          <w:szCs w:val="19"/>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Definition and Limitations of Internal Control over Financial Reporting</w:t>
      </w:r>
    </w:p>
    <w:p>
      <w:pPr>
        <w:spacing w:after="0" w:line="16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w:t>
      </w:r>
    </w:p>
    <w:p>
      <w:pPr>
        <w:spacing w:after="0" w:line="1" w:lineRule="exact"/>
        <w:rPr>
          <w:sz w:val="20"/>
          <w:szCs w:val="20"/>
          <w:color w:val="auto"/>
        </w:rPr>
      </w:pPr>
    </w:p>
    <w:p>
      <w:pPr>
        <w:ind w:right="40"/>
        <w:spacing w:after="0" w:line="243" w:lineRule="auto"/>
        <w:tabs>
          <w:tab w:leader="none" w:pos="285" w:val="left"/>
        </w:tabs>
        <w:numPr>
          <w:ilvl w:val="0"/>
          <w:numId w:val="17"/>
        </w:numPr>
        <w:rPr>
          <w:rFonts w:ascii="Arial" w:cs="Arial" w:eastAsia="Arial" w:hAnsi="Arial"/>
          <w:sz w:val="19"/>
          <w:szCs w:val="19"/>
          <w:color w:val="auto"/>
        </w:rPr>
      </w:pPr>
      <w:r>
        <w:rPr>
          <w:rFonts w:ascii="Arial" w:cs="Arial" w:eastAsia="Arial" w:hAnsi="Arial"/>
          <w:sz w:val="19"/>
          <w:szCs w:val="19"/>
          <w:color w:val="auto"/>
        </w:rPr>
        <w:t>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0"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86" w:lineRule="exact"/>
        <w:rPr>
          <w:sz w:val="20"/>
          <w:szCs w:val="20"/>
          <w:color w:val="auto"/>
        </w:rPr>
      </w:pPr>
    </w:p>
    <w:p>
      <w:pPr>
        <w:spacing w:after="0"/>
        <w:rPr>
          <w:sz w:val="20"/>
          <w:szCs w:val="20"/>
          <w:color w:val="auto"/>
        </w:rPr>
      </w:pPr>
      <w:r>
        <w:rPr>
          <w:rFonts w:ascii="Arial" w:cs="Arial" w:eastAsia="Arial" w:hAnsi="Arial"/>
          <w:sz w:val="19"/>
          <w:szCs w:val="19"/>
          <w:color w:val="auto"/>
        </w:rPr>
        <w:t>/s/ Deloitte &amp; Touche LLP</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color w:val="auto"/>
        </w:rPr>
        <w:t>Atlanta, Georgia</w:t>
      </w:r>
    </w:p>
    <w:p>
      <w:pPr>
        <w:spacing w:after="0" w:line="161" w:lineRule="exact"/>
        <w:rPr>
          <w:sz w:val="20"/>
          <w:szCs w:val="20"/>
          <w:color w:val="auto"/>
        </w:rPr>
      </w:pPr>
    </w:p>
    <w:p>
      <w:pPr>
        <w:spacing w:after="0"/>
        <w:rPr>
          <w:sz w:val="20"/>
          <w:szCs w:val="20"/>
          <w:color w:val="auto"/>
        </w:rPr>
      </w:pPr>
      <w:r>
        <w:rPr>
          <w:rFonts w:ascii="Arial" w:cs="Arial" w:eastAsia="Arial" w:hAnsi="Arial"/>
          <w:sz w:val="19"/>
          <w:szCs w:val="19"/>
          <w:color w:val="auto"/>
        </w:rPr>
        <w:t>April 15, 2026</w:t>
      </w:r>
    </w:p>
    <w:p>
      <w:pPr>
        <w:sectPr>
          <w:pgSz w:w="11880" w:h="15480" w:orient="portrait"/>
          <w:cols w:equalWidth="0" w:num="1">
            <w:col w:w="10760"/>
          </w:cols>
          <w:pgMar w:left="540" w:top="804" w:right="580" w:bottom="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50</w:t>
      </w:r>
    </w:p>
    <w:p>
      <w:pPr>
        <w:sectPr>
          <w:pgSz w:w="11880" w:h="15480" w:orient="portrait"/>
          <w:cols w:equalWidth="0" w:num="1">
            <w:col w:w="10760"/>
          </w:cols>
          <w:pgMar w:left="540" w:top="804" w:right="580" w:bottom="16" w:gutter="0" w:footer="0" w:header="0"/>
          <w:type w:val="continuous"/>
        </w:sectPr>
      </w:pPr>
    </w:p>
    <w:bookmarkStart w:id="50" w:name="page51"/>
    <w:bookmarkEnd w:id="50"/>
    <w:p>
      <w:pPr>
        <w:spacing w:after="0"/>
        <w:tabs>
          <w:tab w:leader="none" w:pos="1040" w:val="left"/>
        </w:tabs>
        <w:rPr>
          <w:sz w:val="20"/>
          <w:szCs w:val="20"/>
          <w:color w:val="auto"/>
        </w:rPr>
      </w:pPr>
      <w:r>
        <w:rPr>
          <w:rFonts w:ascii="Arial" w:cs="Arial" w:eastAsia="Arial" w:hAnsi="Arial"/>
          <w:sz w:val="19"/>
          <w:szCs w:val="19"/>
          <w:b w:val="1"/>
          <w:bCs w:val="1"/>
          <w:color w:val="auto"/>
        </w:rPr>
        <w:t>ITEM 9B.</w:t>
      </w:r>
      <w:r>
        <w:rPr>
          <w:sz w:val="20"/>
          <w:szCs w:val="20"/>
          <w:color w:val="auto"/>
        </w:rPr>
        <w:tab/>
      </w:r>
      <w:r>
        <w:rPr>
          <w:rFonts w:ascii="Arial" w:cs="Arial" w:eastAsia="Arial" w:hAnsi="Arial"/>
          <w:sz w:val="19"/>
          <w:szCs w:val="19"/>
          <w:b w:val="1"/>
          <w:bCs w:val="1"/>
          <w:u w:val="single" w:color="auto"/>
          <w:color w:val="auto"/>
        </w:rPr>
        <w:t>OTHER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9"/>
          <w:szCs w:val="19"/>
          <w:color w:val="auto"/>
        </w:rPr>
        <w:t>Rule 10b5-1 Trading Plans</w:t>
      </w:r>
    </w:p>
    <w:p>
      <w:pPr>
        <w:spacing w:after="0" w:line="160" w:lineRule="exact"/>
        <w:rPr>
          <w:sz w:val="20"/>
          <w:szCs w:val="20"/>
          <w:color w:val="auto"/>
        </w:rPr>
      </w:pPr>
    </w:p>
    <w:p>
      <w:pPr>
        <w:ind w:right="720"/>
        <w:spacing w:after="0" w:line="281" w:lineRule="auto"/>
        <w:rPr>
          <w:sz w:val="20"/>
          <w:szCs w:val="20"/>
          <w:color w:val="auto"/>
        </w:rPr>
      </w:pPr>
      <w:r>
        <w:rPr>
          <w:rFonts w:ascii="Arial" w:cs="Arial" w:eastAsia="Arial" w:hAnsi="Arial"/>
          <w:sz w:val="19"/>
          <w:szCs w:val="19"/>
          <w:color w:val="auto"/>
        </w:rPr>
        <w:t>During the fourth quarter ended January 31, 2026, no director or officer adopted or terminated any “Rule 10b5-1 trading arrangement” or “non-Rule 10b5-1 trading arrangement,” as each term is defined in Item 408 of Regulation S-K.</w:t>
      </w:r>
    </w:p>
    <w:p>
      <w:pPr>
        <w:spacing w:after="0" w:line="162" w:lineRule="exact"/>
        <w:rPr>
          <w:sz w:val="20"/>
          <w:szCs w:val="20"/>
          <w:color w:val="auto"/>
        </w:rPr>
      </w:pPr>
    </w:p>
    <w:p>
      <w:pPr>
        <w:ind w:right="1920"/>
        <w:spacing w:after="0" w:line="415" w:lineRule="auto"/>
        <w:rPr>
          <w:sz w:val="20"/>
          <w:szCs w:val="20"/>
          <w:color w:val="auto"/>
        </w:rPr>
      </w:pPr>
      <w:r>
        <w:rPr>
          <w:rFonts w:ascii="Arial" w:cs="Arial" w:eastAsia="Arial" w:hAnsi="Arial"/>
          <w:sz w:val="19"/>
          <w:szCs w:val="19"/>
          <w:b w:val="1"/>
          <w:bCs w:val="1"/>
          <w:color w:val="auto"/>
        </w:rPr>
        <w:t xml:space="preserve">ITEM 9C. </w:t>
      </w:r>
      <w:r>
        <w:rPr>
          <w:rFonts w:ascii="Arial" w:cs="Arial" w:eastAsia="Arial" w:hAnsi="Arial"/>
          <w:sz w:val="19"/>
          <w:szCs w:val="19"/>
          <w:b w:val="1"/>
          <w:bCs w:val="1"/>
          <w:u w:val="single" w:color="auto"/>
          <w:color w:val="auto"/>
        </w:rPr>
        <w:t>DISCLOSURE REGARDING FOREIGN JURISDICTIONS THAT PREVENT INSPECTIONS</w:t>
      </w:r>
      <w:r>
        <w:rPr>
          <w:rFonts w:ascii="Arial" w:cs="Arial" w:eastAsia="Arial" w:hAnsi="Arial"/>
          <w:sz w:val="19"/>
          <w:szCs w:val="19"/>
          <w:b w:val="1"/>
          <w:bCs w:val="1"/>
          <w:color w:val="auto"/>
        </w:rPr>
        <w:t xml:space="preserve"> </w:t>
      </w:r>
      <w:r>
        <w:rPr>
          <w:rFonts w:ascii="Arial" w:cs="Arial" w:eastAsia="Arial" w:hAnsi="Arial"/>
          <w:sz w:val="19"/>
          <w:szCs w:val="19"/>
          <w:color w:val="auto"/>
        </w:rPr>
        <w:t>Not applicable.</w:t>
      </w:r>
    </w:p>
    <w:p>
      <w:pPr>
        <w:spacing w:after="0" w:line="2" w:lineRule="exact"/>
        <w:rPr>
          <w:sz w:val="20"/>
          <w:szCs w:val="20"/>
          <w:color w:val="auto"/>
        </w:rPr>
      </w:pPr>
    </w:p>
    <w:p>
      <w:pPr>
        <w:ind w:left="5040"/>
        <w:spacing w:after="0"/>
        <w:rPr>
          <w:sz w:val="20"/>
          <w:szCs w:val="20"/>
          <w:color w:val="auto"/>
        </w:rPr>
      </w:pPr>
      <w:r>
        <w:rPr>
          <w:rFonts w:ascii="Arial" w:cs="Arial" w:eastAsia="Arial" w:hAnsi="Arial"/>
          <w:sz w:val="19"/>
          <w:szCs w:val="19"/>
          <w:b w:val="1"/>
          <w:bCs w:val="1"/>
          <w:color w:val="auto"/>
        </w:rPr>
        <w:t>PART III</w:t>
      </w:r>
    </w:p>
    <w:p>
      <w:pPr>
        <w:spacing w:after="0" w:line="160" w:lineRule="exact"/>
        <w:rPr>
          <w:sz w:val="20"/>
          <w:szCs w:val="20"/>
          <w:color w:val="auto"/>
        </w:rPr>
      </w:pPr>
    </w:p>
    <w:p>
      <w:pPr>
        <w:spacing w:after="0"/>
        <w:tabs>
          <w:tab w:leader="none" w:pos="1060" w:val="left"/>
        </w:tabs>
        <w:rPr>
          <w:sz w:val="20"/>
          <w:szCs w:val="20"/>
          <w:color w:val="auto"/>
        </w:rPr>
      </w:pPr>
      <w:r>
        <w:rPr>
          <w:rFonts w:ascii="Arial" w:cs="Arial" w:eastAsia="Arial" w:hAnsi="Arial"/>
          <w:sz w:val="19"/>
          <w:szCs w:val="19"/>
          <w:b w:val="1"/>
          <w:bCs w:val="1"/>
          <w:color w:val="auto"/>
        </w:rPr>
        <w:t>ITEM 10.</w:t>
      </w:r>
      <w:r>
        <w:rPr>
          <w:sz w:val="20"/>
          <w:szCs w:val="20"/>
          <w:color w:val="auto"/>
        </w:rPr>
        <w:tab/>
      </w:r>
      <w:r>
        <w:rPr>
          <w:rFonts w:ascii="Arial" w:cs="Arial" w:eastAsia="Arial" w:hAnsi="Arial"/>
          <w:sz w:val="18"/>
          <w:szCs w:val="18"/>
          <w:b w:val="1"/>
          <w:bCs w:val="1"/>
          <w:u w:val="single" w:color="auto"/>
          <w:color w:val="auto"/>
        </w:rPr>
        <w:t>DIRECTORS, EXECUTIVE OFFICERS AND CORPORATE GOVERNANCE</w:t>
      </w:r>
    </w:p>
    <w:p>
      <w:pPr>
        <w:spacing w:after="0" w:line="162" w:lineRule="exact"/>
        <w:rPr>
          <w:sz w:val="20"/>
          <w:szCs w:val="20"/>
          <w:color w:val="auto"/>
        </w:rPr>
      </w:pPr>
    </w:p>
    <w:p>
      <w:pPr>
        <w:ind w:right="140"/>
        <w:spacing w:after="0" w:line="248" w:lineRule="auto"/>
        <w:rPr>
          <w:sz w:val="20"/>
          <w:szCs w:val="20"/>
          <w:color w:val="auto"/>
        </w:rPr>
      </w:pPr>
      <w:r>
        <w:rPr>
          <w:rFonts w:ascii="Arial" w:cs="Arial" w:eastAsia="Arial" w:hAnsi="Arial"/>
          <w:sz w:val="19"/>
          <w:szCs w:val="19"/>
          <w:color w:val="auto"/>
        </w:rPr>
        <w:t>The information required by this Item with respect to our executive officers and directors, our insider trading policy, compliance by our directors, executive officers and certain beneficial owners of our common stock with Section 16(a) of the Exchange Act, the committees of our board of directors, our audit committee financial expert and our code of ethics is incorporated herein by reference to information under the captions entitled “Board of Directors and Corporate Governance,” “Executive Officers,” “Executive Compensation,” and “Delinquent Section 16(a) Reports” in our definitive proxy statement for our 2026 Annual Meeting of Stockholders (or will be filed by amendment to this Report).</w:t>
      </w:r>
    </w:p>
    <w:p>
      <w:pPr>
        <w:spacing w:after="0" w:line="194" w:lineRule="exact"/>
        <w:rPr>
          <w:sz w:val="20"/>
          <w:szCs w:val="20"/>
          <w:color w:val="auto"/>
        </w:rPr>
      </w:pPr>
    </w:p>
    <w:p>
      <w:pPr>
        <w:spacing w:after="0"/>
        <w:tabs>
          <w:tab w:leader="none" w:pos="1060" w:val="left"/>
        </w:tabs>
        <w:rPr>
          <w:sz w:val="20"/>
          <w:szCs w:val="20"/>
          <w:color w:val="auto"/>
        </w:rPr>
      </w:pPr>
      <w:r>
        <w:rPr>
          <w:rFonts w:ascii="Arial" w:cs="Arial" w:eastAsia="Arial" w:hAnsi="Arial"/>
          <w:sz w:val="19"/>
          <w:szCs w:val="19"/>
          <w:b w:val="1"/>
          <w:bCs w:val="1"/>
          <w:color w:val="auto"/>
        </w:rPr>
        <w:t>ITEM 11.</w:t>
      </w:r>
      <w:r>
        <w:rPr>
          <w:sz w:val="20"/>
          <w:szCs w:val="20"/>
          <w:color w:val="auto"/>
        </w:rPr>
        <w:tab/>
      </w:r>
      <w:r>
        <w:rPr>
          <w:rFonts w:ascii="Arial" w:cs="Arial" w:eastAsia="Arial" w:hAnsi="Arial"/>
          <w:sz w:val="18"/>
          <w:szCs w:val="18"/>
          <w:b w:val="1"/>
          <w:bCs w:val="1"/>
          <w:u w:val="single" w:color="auto"/>
          <w:color w:val="auto"/>
        </w:rPr>
        <w:t>EXECUTIVE COMPENSATION</w:t>
      </w:r>
    </w:p>
    <w:p>
      <w:pPr>
        <w:spacing w:after="0" w:line="162" w:lineRule="exact"/>
        <w:rPr>
          <w:sz w:val="20"/>
          <w:szCs w:val="20"/>
          <w:color w:val="auto"/>
        </w:rPr>
      </w:pPr>
    </w:p>
    <w:p>
      <w:pPr>
        <w:jc w:val="both"/>
        <w:ind w:right="240"/>
        <w:spacing w:after="0" w:line="282" w:lineRule="auto"/>
        <w:rPr>
          <w:sz w:val="20"/>
          <w:szCs w:val="20"/>
          <w:color w:val="auto"/>
        </w:rPr>
      </w:pPr>
      <w:r>
        <w:rPr>
          <w:rFonts w:ascii="Arial" w:cs="Arial" w:eastAsia="Arial" w:hAnsi="Arial"/>
          <w:sz w:val="18"/>
          <w:szCs w:val="18"/>
          <w:color w:val="auto"/>
        </w:rPr>
        <w:t>The information required by this Item is incorporated herein by reference to information under the captions entitled “Executive Compensation,” “Board of Directors and Committees of the Board of Directors” and “Compensation Committee Report” in our definitive proxy statement for our 2026 Annual Meeting of Stockholders (or will be filed by amendment to this Report).</w:t>
      </w:r>
    </w:p>
    <w:p>
      <w:pPr>
        <w:spacing w:after="0" w:line="162" w:lineRule="exact"/>
        <w:rPr>
          <w:sz w:val="20"/>
          <w:szCs w:val="20"/>
          <w:color w:val="auto"/>
        </w:rPr>
      </w:pPr>
    </w:p>
    <w:p>
      <w:pPr>
        <w:ind w:right="840"/>
        <w:spacing w:after="0" w:line="298" w:lineRule="auto"/>
        <w:rPr>
          <w:sz w:val="20"/>
          <w:szCs w:val="20"/>
          <w:color w:val="auto"/>
        </w:rPr>
      </w:pPr>
      <w:r>
        <w:rPr>
          <w:rFonts w:ascii="Arial" w:cs="Arial" w:eastAsia="Arial" w:hAnsi="Arial"/>
          <w:sz w:val="19"/>
          <w:szCs w:val="19"/>
          <w:b w:val="1"/>
          <w:bCs w:val="1"/>
          <w:color w:val="auto"/>
        </w:rPr>
        <w:t xml:space="preserve">ITEM 12. </w:t>
      </w:r>
      <w:r>
        <w:rPr>
          <w:rFonts w:ascii="Arial" w:cs="Arial" w:eastAsia="Arial" w:hAnsi="Arial"/>
          <w:sz w:val="19"/>
          <w:szCs w:val="19"/>
          <w:b w:val="1"/>
          <w:bCs w:val="1"/>
          <w:u w:val="single" w:color="auto"/>
          <w:color w:val="auto"/>
        </w:rPr>
        <w:t>SECURITY OWNERSHIP OF CERTAIN BENEFICIAL OWNERS AND MANAGEMENT AND RELATED</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STOCKHOLDER MATTERS</w:t>
      </w:r>
    </w:p>
    <w:p>
      <w:pPr>
        <w:spacing w:after="0" w:line="59" w:lineRule="exact"/>
        <w:rPr>
          <w:sz w:val="20"/>
          <w:szCs w:val="20"/>
          <w:color w:val="auto"/>
        </w:rPr>
      </w:pPr>
    </w:p>
    <w:p>
      <w:pPr>
        <w:ind w:right="40"/>
        <w:spacing w:after="0" w:line="253" w:lineRule="auto"/>
        <w:rPr>
          <w:sz w:val="20"/>
          <w:szCs w:val="20"/>
          <w:color w:val="auto"/>
        </w:rPr>
      </w:pPr>
      <w:r>
        <w:rPr>
          <w:rFonts w:ascii="Arial" w:cs="Arial" w:eastAsia="Arial" w:hAnsi="Arial"/>
          <w:sz w:val="19"/>
          <w:szCs w:val="19"/>
          <w:color w:val="auto"/>
        </w:rPr>
        <w:t>The information required by this Item is incorporated herein by reference to the information under the captions entitled “Security Ownership of Certain Beneficial Owners and Management” and “Executive Compensation – Equity Compensation Plan Information” in our definitive proxy statement for our 2026 Annual Meeting of Stockholders (or will be filed by amendment to this Report).</w:t>
      </w:r>
    </w:p>
    <w:p>
      <w:pPr>
        <w:spacing w:after="0" w:line="190" w:lineRule="exact"/>
        <w:rPr>
          <w:sz w:val="20"/>
          <w:szCs w:val="20"/>
          <w:color w:val="auto"/>
        </w:rPr>
      </w:pPr>
    </w:p>
    <w:p>
      <w:pPr>
        <w:spacing w:after="0"/>
        <w:tabs>
          <w:tab w:leader="none" w:pos="1060" w:val="left"/>
        </w:tabs>
        <w:rPr>
          <w:sz w:val="20"/>
          <w:szCs w:val="20"/>
          <w:color w:val="auto"/>
        </w:rPr>
      </w:pPr>
      <w:r>
        <w:rPr>
          <w:rFonts w:ascii="Arial" w:cs="Arial" w:eastAsia="Arial" w:hAnsi="Arial"/>
          <w:sz w:val="19"/>
          <w:szCs w:val="19"/>
          <w:b w:val="1"/>
          <w:bCs w:val="1"/>
          <w:color w:val="auto"/>
        </w:rPr>
        <w:t>ITEM 13.</w:t>
      </w:r>
      <w:r>
        <w:rPr>
          <w:sz w:val="20"/>
          <w:szCs w:val="20"/>
          <w:color w:val="auto"/>
        </w:rPr>
        <w:tab/>
      </w:r>
      <w:r>
        <w:rPr>
          <w:rFonts w:ascii="Arial" w:cs="Arial" w:eastAsia="Arial" w:hAnsi="Arial"/>
          <w:sz w:val="18"/>
          <w:szCs w:val="18"/>
          <w:b w:val="1"/>
          <w:bCs w:val="1"/>
          <w:u w:val="single" w:color="auto"/>
          <w:color w:val="auto"/>
        </w:rPr>
        <w:t>CERTAIN RELATIONSHIPS AND RELATED TRANSACTIONS, AND DIRECTOR INDEPENDENCE</w:t>
      </w:r>
    </w:p>
    <w:p>
      <w:pPr>
        <w:spacing w:after="0" w:line="164" w:lineRule="exact"/>
        <w:rPr>
          <w:sz w:val="20"/>
          <w:szCs w:val="20"/>
          <w:color w:val="auto"/>
        </w:rPr>
      </w:pPr>
    </w:p>
    <w:p>
      <w:pPr>
        <w:ind w:right="120"/>
        <w:spacing w:after="0" w:line="260" w:lineRule="auto"/>
        <w:rPr>
          <w:sz w:val="20"/>
          <w:szCs w:val="20"/>
          <w:color w:val="auto"/>
        </w:rPr>
      </w:pPr>
      <w:r>
        <w:rPr>
          <w:rFonts w:ascii="Arial" w:cs="Arial" w:eastAsia="Arial" w:hAnsi="Arial"/>
          <w:sz w:val="19"/>
          <w:szCs w:val="19"/>
          <w:color w:val="auto"/>
        </w:rPr>
        <w:t>The information required by this Item is incorporated herein by reference to the information under the captions entitled “Certain Relationships and Related Party Transactions” and “Board of Directors and Committees of the Board of Directors” in our definitive proxy statement for our 2026 Annual Meeting of Stockholders (or will be filed by amendment to this Report).</w:t>
      </w:r>
    </w:p>
    <w:p>
      <w:pPr>
        <w:spacing w:after="0" w:line="182" w:lineRule="exact"/>
        <w:rPr>
          <w:sz w:val="20"/>
          <w:szCs w:val="20"/>
          <w:color w:val="auto"/>
        </w:rPr>
      </w:pPr>
    </w:p>
    <w:p>
      <w:pPr>
        <w:spacing w:after="0"/>
        <w:tabs>
          <w:tab w:leader="none" w:pos="1060" w:val="left"/>
        </w:tabs>
        <w:rPr>
          <w:sz w:val="20"/>
          <w:szCs w:val="20"/>
          <w:color w:val="auto"/>
        </w:rPr>
      </w:pPr>
      <w:r>
        <w:rPr>
          <w:rFonts w:ascii="Arial" w:cs="Arial" w:eastAsia="Arial" w:hAnsi="Arial"/>
          <w:sz w:val="19"/>
          <w:szCs w:val="19"/>
          <w:b w:val="1"/>
          <w:bCs w:val="1"/>
          <w:color w:val="auto"/>
        </w:rPr>
        <w:t>ITEM 14.</w:t>
      </w:r>
      <w:r>
        <w:rPr>
          <w:sz w:val="20"/>
          <w:szCs w:val="20"/>
          <w:color w:val="auto"/>
        </w:rPr>
        <w:tab/>
      </w:r>
      <w:r>
        <w:rPr>
          <w:rFonts w:ascii="Arial" w:cs="Arial" w:eastAsia="Arial" w:hAnsi="Arial"/>
          <w:sz w:val="18"/>
          <w:szCs w:val="18"/>
          <w:b w:val="1"/>
          <w:bCs w:val="1"/>
          <w:u w:val="single" w:color="auto"/>
          <w:color w:val="auto"/>
        </w:rPr>
        <w:t>PRINCIPAL ACCOUNTANT FEES AND SERVICES</w:t>
      </w:r>
    </w:p>
    <w:p>
      <w:pPr>
        <w:spacing w:after="0" w:line="162"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The information required by this Item is incorporated herein by reference to the information under the caption entitled “Ratification of Independent Registered Public Accounting Firm” in our definitive proxy statement for our 2026 Annual Meeting of Stockholders (or will be filed by amendment to this Report).</w:t>
      </w:r>
    </w:p>
    <w:p>
      <w:pPr>
        <w:sectPr>
          <w:pgSz w:w="11880" w:h="15480" w:orient="portrait"/>
          <w:cols w:equalWidth="0" w:num="1">
            <w:col w:w="10740"/>
          </w:cols>
          <w:pgMar w:left="540" w:top="804" w:right="600" w:bottom="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51</w:t>
      </w:r>
    </w:p>
    <w:p>
      <w:pPr>
        <w:sectPr>
          <w:pgSz w:w="11880" w:h="15480" w:orient="portrait"/>
          <w:cols w:equalWidth="0" w:num="1">
            <w:col w:w="10740"/>
          </w:cols>
          <w:pgMar w:left="540" w:top="804" w:right="600" w:bottom="16" w:gutter="0" w:footer="0" w:header="0"/>
          <w:type w:val="continuous"/>
        </w:sectPr>
      </w:pPr>
    </w:p>
    <w:bookmarkStart w:id="51" w:name="page52"/>
    <w:bookmarkEnd w:id="51"/>
    <w:p>
      <w:pPr>
        <w:ind w:left="5020"/>
        <w:spacing w:after="0"/>
        <w:rPr>
          <w:sz w:val="20"/>
          <w:szCs w:val="20"/>
          <w:color w:val="auto"/>
        </w:rPr>
      </w:pPr>
      <w:r>
        <w:rPr>
          <w:rFonts w:ascii="Arial" w:cs="Arial" w:eastAsia="Arial" w:hAnsi="Arial"/>
          <w:sz w:val="19"/>
          <w:szCs w:val="19"/>
          <w:b w:val="1"/>
          <w:bCs w:val="1"/>
          <w:color w:val="auto"/>
        </w:rPr>
        <w:t>PART IV</w:t>
      </w:r>
    </w:p>
    <w:p>
      <w:pPr>
        <w:spacing w:after="0" w:line="160" w:lineRule="exact"/>
        <w:rPr>
          <w:sz w:val="20"/>
          <w:szCs w:val="20"/>
          <w:color w:val="auto"/>
        </w:rPr>
      </w:pPr>
    </w:p>
    <w:p>
      <w:pPr>
        <w:spacing w:after="0"/>
        <w:tabs>
          <w:tab w:leader="none" w:pos="1060" w:val="left"/>
        </w:tabs>
        <w:rPr>
          <w:sz w:val="20"/>
          <w:szCs w:val="20"/>
          <w:color w:val="auto"/>
        </w:rPr>
      </w:pPr>
      <w:r>
        <w:rPr>
          <w:rFonts w:ascii="Arial" w:cs="Arial" w:eastAsia="Arial" w:hAnsi="Arial"/>
          <w:sz w:val="19"/>
          <w:szCs w:val="19"/>
          <w:b w:val="1"/>
          <w:bCs w:val="1"/>
          <w:color w:val="auto"/>
        </w:rPr>
        <w:t>ITEM 15.</w:t>
      </w:r>
      <w:r>
        <w:rPr>
          <w:sz w:val="20"/>
          <w:szCs w:val="20"/>
          <w:color w:val="auto"/>
        </w:rPr>
        <w:tab/>
      </w:r>
      <w:r>
        <w:rPr>
          <w:rFonts w:ascii="Arial" w:cs="Arial" w:eastAsia="Arial" w:hAnsi="Arial"/>
          <w:sz w:val="19"/>
          <w:szCs w:val="19"/>
          <w:b w:val="1"/>
          <w:bCs w:val="1"/>
          <w:u w:val="single" w:color="auto"/>
          <w:color w:val="auto"/>
        </w:rPr>
        <w:t>EXHIBITS AND FINANCIAL STATEMENT SCHEDULES</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color w:val="auto"/>
        </w:rPr>
        <w:t>The following information required under this item is filed as part of this report:</w:t>
      </w:r>
    </w:p>
    <w:p>
      <w:pPr>
        <w:spacing w:after="0" w:line="160" w:lineRule="exact"/>
        <w:rPr>
          <w:sz w:val="20"/>
          <w:szCs w:val="20"/>
          <w:color w:val="auto"/>
        </w:rPr>
      </w:pPr>
    </w:p>
    <w:p>
      <w:pPr>
        <w:ind w:left="1000" w:hanging="280"/>
        <w:spacing w:after="0"/>
        <w:tabs>
          <w:tab w:leader="none" w:pos="1000" w:val="left"/>
        </w:tabs>
        <w:numPr>
          <w:ilvl w:val="0"/>
          <w:numId w:val="18"/>
        </w:numPr>
        <w:rPr>
          <w:rFonts w:ascii="Arial" w:cs="Arial" w:eastAsia="Arial" w:hAnsi="Arial"/>
          <w:sz w:val="19"/>
          <w:szCs w:val="19"/>
          <w:color w:val="auto"/>
        </w:rPr>
      </w:pPr>
      <w:r>
        <w:rPr>
          <w:rFonts w:ascii="Arial" w:cs="Arial" w:eastAsia="Arial" w:hAnsi="Arial"/>
          <w:sz w:val="19"/>
          <w:szCs w:val="19"/>
          <w:color w:val="auto"/>
        </w:rPr>
        <w:t>Financial Statements. See Part II, Item 8.</w:t>
      </w:r>
    </w:p>
    <w:p>
      <w:pPr>
        <w:spacing w:after="0" w:line="159" w:lineRule="exact"/>
        <w:rPr>
          <w:rFonts w:ascii="Arial" w:cs="Arial" w:eastAsia="Arial" w:hAnsi="Arial"/>
          <w:sz w:val="19"/>
          <w:szCs w:val="19"/>
          <w:color w:val="auto"/>
        </w:rPr>
      </w:pPr>
    </w:p>
    <w:p>
      <w:pPr>
        <w:ind w:left="1000" w:right="720" w:hanging="280"/>
        <w:spacing w:after="0" w:line="281" w:lineRule="auto"/>
        <w:tabs>
          <w:tab w:leader="none" w:pos="997" w:val="left"/>
        </w:tabs>
        <w:numPr>
          <w:ilvl w:val="0"/>
          <w:numId w:val="18"/>
        </w:numPr>
        <w:rPr>
          <w:rFonts w:ascii="Arial" w:cs="Arial" w:eastAsia="Arial" w:hAnsi="Arial"/>
          <w:sz w:val="19"/>
          <w:szCs w:val="19"/>
          <w:color w:val="auto"/>
        </w:rPr>
      </w:pPr>
      <w:r>
        <w:rPr>
          <w:rFonts w:ascii="Arial" w:cs="Arial" w:eastAsia="Arial" w:hAnsi="Arial"/>
          <w:sz w:val="19"/>
          <w:szCs w:val="19"/>
          <w:color w:val="auto"/>
        </w:rPr>
        <w:t>Financial Statement Schedules. Other schedules are omitted as they are not applicable or the information is included elsewhere in this Report.</w:t>
      </w:r>
    </w:p>
    <w:p>
      <w:pPr>
        <w:spacing w:after="0" w:line="85" w:lineRule="exact"/>
        <w:rPr>
          <w:rFonts w:ascii="Arial" w:cs="Arial" w:eastAsia="Arial" w:hAnsi="Arial"/>
          <w:sz w:val="19"/>
          <w:szCs w:val="19"/>
          <w:color w:val="auto"/>
        </w:rPr>
      </w:pPr>
    </w:p>
    <w:p>
      <w:pPr>
        <w:ind w:left="1000" w:hanging="280"/>
        <w:spacing w:after="0"/>
        <w:tabs>
          <w:tab w:leader="none" w:pos="1000" w:val="left"/>
        </w:tabs>
        <w:numPr>
          <w:ilvl w:val="0"/>
          <w:numId w:val="18"/>
        </w:numPr>
        <w:rPr>
          <w:rFonts w:ascii="Arial" w:cs="Arial" w:eastAsia="Arial" w:hAnsi="Arial"/>
          <w:sz w:val="19"/>
          <w:szCs w:val="19"/>
          <w:color w:val="auto"/>
        </w:rPr>
      </w:pPr>
      <w:r>
        <w:rPr>
          <w:rFonts w:ascii="Arial" w:cs="Arial" w:eastAsia="Arial" w:hAnsi="Arial"/>
          <w:sz w:val="19"/>
          <w:szCs w:val="19"/>
          <w:color w:val="auto"/>
        </w:rPr>
        <w:t>Exhibits: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140" w:type="dxa"/>
            <w:vAlign w:val="bottom"/>
          </w:tcPr>
          <w:p>
            <w:pPr>
              <w:spacing w:after="0"/>
              <w:rPr>
                <w:sz w:val="20"/>
                <w:szCs w:val="20"/>
                <w:color w:val="auto"/>
              </w:rPr>
            </w:pPr>
            <w:r>
              <w:rPr>
                <w:rFonts w:ascii="Arial" w:cs="Arial" w:eastAsia="Arial" w:hAnsi="Arial"/>
                <w:sz w:val="19"/>
                <w:szCs w:val="19"/>
                <w:b w:val="1"/>
                <w:bCs w:val="1"/>
                <w:color w:val="auto"/>
              </w:rPr>
              <w:t>Exhibit No.</w:t>
            </w:r>
          </w:p>
        </w:tc>
        <w:tc>
          <w:tcPr>
            <w:tcW w:w="9640" w:type="dxa"/>
            <w:vAlign w:val="bottom"/>
          </w:tcPr>
          <w:p>
            <w:pPr>
              <w:ind w:left="4380"/>
              <w:spacing w:after="0"/>
              <w:rPr>
                <w:sz w:val="20"/>
                <w:szCs w:val="20"/>
                <w:color w:val="auto"/>
              </w:rPr>
            </w:pPr>
            <w:r>
              <w:rPr>
                <w:rFonts w:ascii="Arial" w:cs="Arial" w:eastAsia="Arial" w:hAnsi="Arial"/>
                <w:sz w:val="19"/>
                <w:szCs w:val="19"/>
                <w:b w:val="1"/>
                <w:bCs w:val="1"/>
                <w:color w:val="auto"/>
              </w:rPr>
              <w:t>Description</w:t>
            </w:r>
          </w:p>
        </w:tc>
      </w:tr>
      <w:tr>
        <w:trPr>
          <w:trHeight w:val="331"/>
        </w:trPr>
        <w:tc>
          <w:tcPr>
            <w:tcW w:w="1140" w:type="dxa"/>
            <w:vAlign w:val="bottom"/>
          </w:tcPr>
          <w:p>
            <w:pPr>
              <w:spacing w:after="0"/>
              <w:rPr>
                <w:sz w:val="20"/>
                <w:szCs w:val="20"/>
                <w:color w:val="auto"/>
              </w:rPr>
            </w:pPr>
            <w:r>
              <w:rPr>
                <w:rFonts w:ascii="Arial" w:cs="Arial" w:eastAsia="Arial" w:hAnsi="Arial"/>
                <w:sz w:val="19"/>
                <w:szCs w:val="19"/>
                <w:color w:val="auto"/>
              </w:rPr>
              <w:t>3.1</w:t>
            </w:r>
          </w:p>
        </w:tc>
        <w:tc>
          <w:tcPr>
            <w:tcW w:w="9640" w:type="dxa"/>
            <w:vAlign w:val="bottom"/>
          </w:tcPr>
          <w:p>
            <w:pPr>
              <w:ind w:left="140"/>
              <w:spacing w:after="0"/>
              <w:rPr>
                <w:sz w:val="20"/>
                <w:szCs w:val="20"/>
                <w:color w:val="auto"/>
              </w:rPr>
            </w:pPr>
            <w:r>
              <w:rPr>
                <w:rFonts w:ascii="Arial" w:cs="Arial" w:eastAsia="Arial" w:hAnsi="Arial"/>
                <w:sz w:val="19"/>
                <w:szCs w:val="19"/>
                <w:color w:val="auto"/>
              </w:rPr>
              <w:t>Third Amended and Restated Certificate of Incorporation (incorporated by reference to Exhibit 3.1 to the</w:t>
            </w:r>
          </w:p>
        </w:tc>
      </w:tr>
      <w:tr>
        <w:trPr>
          <w:trHeight w:val="256"/>
        </w:trPr>
        <w:tc>
          <w:tcPr>
            <w:tcW w:w="1140" w:type="dxa"/>
            <w:vAlign w:val="bottom"/>
          </w:tcPr>
          <w:p>
            <w:pPr>
              <w:spacing w:after="0"/>
              <w:rPr>
                <w:sz w:val="22"/>
                <w:szCs w:val="22"/>
                <w:color w:val="auto"/>
              </w:rPr>
            </w:pPr>
          </w:p>
        </w:tc>
        <w:tc>
          <w:tcPr>
            <w:tcW w:w="9640" w:type="dxa"/>
            <w:vAlign w:val="bottom"/>
          </w:tcPr>
          <w:p>
            <w:pPr>
              <w:ind w:left="140"/>
              <w:spacing w:after="0"/>
              <w:rPr>
                <w:sz w:val="20"/>
                <w:szCs w:val="20"/>
                <w:color w:val="auto"/>
              </w:rPr>
            </w:pPr>
            <w:r>
              <w:rPr>
                <w:rFonts w:ascii="Arial" w:cs="Arial" w:eastAsia="Arial" w:hAnsi="Arial"/>
                <w:sz w:val="19"/>
                <w:szCs w:val="19"/>
                <w:color w:val="auto"/>
              </w:rPr>
              <w:t>Company’s Current Report on Form 8-K filed with the SEC on June 7, 2018)</w:t>
            </w:r>
          </w:p>
        </w:tc>
      </w:tr>
      <w:tr>
        <w:trPr>
          <w:trHeight w:val="388"/>
        </w:trPr>
        <w:tc>
          <w:tcPr>
            <w:tcW w:w="1140" w:type="dxa"/>
            <w:vAlign w:val="bottom"/>
          </w:tcPr>
          <w:p>
            <w:pPr>
              <w:spacing w:after="0"/>
              <w:rPr>
                <w:sz w:val="20"/>
                <w:szCs w:val="20"/>
                <w:color w:val="auto"/>
              </w:rPr>
            </w:pPr>
            <w:r>
              <w:rPr>
                <w:rFonts w:ascii="Arial" w:cs="Arial" w:eastAsia="Arial" w:hAnsi="Arial"/>
                <w:sz w:val="19"/>
                <w:szCs w:val="19"/>
                <w:color w:val="auto"/>
              </w:rPr>
              <w:t>3.2</w:t>
            </w:r>
          </w:p>
        </w:tc>
        <w:tc>
          <w:tcPr>
            <w:tcW w:w="9640" w:type="dxa"/>
            <w:vAlign w:val="bottom"/>
          </w:tcPr>
          <w:p>
            <w:pPr>
              <w:ind w:left="140"/>
              <w:spacing w:after="0"/>
              <w:rPr>
                <w:sz w:val="20"/>
                <w:szCs w:val="20"/>
                <w:color w:val="auto"/>
              </w:rPr>
            </w:pPr>
            <w:r>
              <w:rPr>
                <w:rFonts w:ascii="Arial" w:cs="Arial" w:eastAsia="Arial" w:hAnsi="Arial"/>
                <w:sz w:val="19"/>
                <w:szCs w:val="19"/>
                <w:color w:val="auto"/>
              </w:rPr>
              <w:t>Fourth Amended and Restated Bylaws (incorporated by reference to Exhibit 3.2 to the Company's Current</w:t>
            </w:r>
          </w:p>
        </w:tc>
      </w:tr>
      <w:tr>
        <w:trPr>
          <w:trHeight w:val="256"/>
        </w:trPr>
        <w:tc>
          <w:tcPr>
            <w:tcW w:w="1140" w:type="dxa"/>
            <w:vAlign w:val="bottom"/>
          </w:tcPr>
          <w:p>
            <w:pPr>
              <w:spacing w:after="0"/>
              <w:rPr>
                <w:sz w:val="22"/>
                <w:szCs w:val="22"/>
                <w:color w:val="auto"/>
              </w:rPr>
            </w:pPr>
          </w:p>
        </w:tc>
        <w:tc>
          <w:tcPr>
            <w:tcW w:w="9640" w:type="dxa"/>
            <w:vAlign w:val="bottom"/>
          </w:tcPr>
          <w:p>
            <w:pPr>
              <w:ind w:left="140"/>
              <w:spacing w:after="0"/>
              <w:rPr>
                <w:sz w:val="20"/>
                <w:szCs w:val="20"/>
                <w:color w:val="auto"/>
              </w:rPr>
            </w:pPr>
            <w:r>
              <w:rPr>
                <w:rFonts w:ascii="Arial" w:cs="Arial" w:eastAsia="Arial" w:hAnsi="Arial"/>
                <w:sz w:val="19"/>
                <w:szCs w:val="19"/>
                <w:color w:val="auto"/>
              </w:rPr>
              <w:t>Report on Form 8-K filed with the SEC on October 31, 2022)</w:t>
            </w:r>
          </w:p>
        </w:tc>
      </w:tr>
      <w:tr>
        <w:trPr>
          <w:trHeight w:val="388"/>
        </w:trPr>
        <w:tc>
          <w:tcPr>
            <w:tcW w:w="1140" w:type="dxa"/>
            <w:vAlign w:val="bottom"/>
          </w:tcPr>
          <w:p>
            <w:pPr>
              <w:spacing w:after="0"/>
              <w:rPr>
                <w:sz w:val="20"/>
                <w:szCs w:val="20"/>
                <w:color w:val="auto"/>
              </w:rPr>
            </w:pPr>
            <w:r>
              <w:rPr>
                <w:rFonts w:ascii="Arial" w:cs="Arial" w:eastAsia="Arial" w:hAnsi="Arial"/>
                <w:sz w:val="19"/>
                <w:szCs w:val="19"/>
                <w:color w:val="auto"/>
              </w:rPr>
              <w:t>4.1</w:t>
            </w:r>
          </w:p>
        </w:tc>
        <w:tc>
          <w:tcPr>
            <w:tcW w:w="9640" w:type="dxa"/>
            <w:vAlign w:val="bottom"/>
          </w:tcPr>
          <w:p>
            <w:pPr>
              <w:ind w:left="140"/>
              <w:spacing w:after="0"/>
              <w:rPr>
                <w:sz w:val="20"/>
                <w:szCs w:val="20"/>
                <w:color w:val="auto"/>
              </w:rPr>
            </w:pPr>
            <w:r>
              <w:rPr>
                <w:rFonts w:ascii="Arial" w:cs="Arial" w:eastAsia="Arial" w:hAnsi="Arial"/>
                <w:sz w:val="19"/>
                <w:szCs w:val="19"/>
                <w:color w:val="auto"/>
              </w:rPr>
              <w:t>Specimen certificate for shares of common stock, $.01 par value (incorporated by reference to Exhibit 4.1 to</w:t>
            </w:r>
          </w:p>
        </w:tc>
      </w:tr>
      <w:tr>
        <w:trPr>
          <w:trHeight w:val="219"/>
        </w:trPr>
        <w:tc>
          <w:tcPr>
            <w:tcW w:w="1140" w:type="dxa"/>
            <w:vAlign w:val="bottom"/>
          </w:tcPr>
          <w:p>
            <w:pPr>
              <w:spacing w:after="0"/>
              <w:rPr>
                <w:sz w:val="19"/>
                <w:szCs w:val="19"/>
                <w:color w:val="auto"/>
              </w:rPr>
            </w:pPr>
          </w:p>
        </w:tc>
        <w:tc>
          <w:tcPr>
            <w:tcW w:w="9640" w:type="dxa"/>
            <w:vAlign w:val="bottom"/>
          </w:tcPr>
          <w:p>
            <w:pPr>
              <w:ind w:left="140"/>
              <w:spacing w:after="0"/>
              <w:rPr>
                <w:sz w:val="20"/>
                <w:szCs w:val="20"/>
                <w:color w:val="auto"/>
              </w:rPr>
            </w:pPr>
            <w:r>
              <w:rPr>
                <w:rFonts w:ascii="Arial" w:cs="Arial" w:eastAsia="Arial" w:hAnsi="Arial"/>
                <w:sz w:val="19"/>
                <w:szCs w:val="19"/>
                <w:color w:val="auto"/>
              </w:rPr>
              <w:t>Amendment No. 2 to the Company’s Registration Statement on Form S-1 (File No. 333-123028) filed with the</w:t>
            </w:r>
          </w:p>
        </w:tc>
      </w:tr>
      <w:tr>
        <w:trPr>
          <w:trHeight w:val="256"/>
        </w:trPr>
        <w:tc>
          <w:tcPr>
            <w:tcW w:w="1140" w:type="dxa"/>
            <w:vAlign w:val="bottom"/>
          </w:tcPr>
          <w:p>
            <w:pPr>
              <w:spacing w:after="0"/>
              <w:rPr>
                <w:sz w:val="22"/>
                <w:szCs w:val="22"/>
                <w:color w:val="auto"/>
              </w:rPr>
            </w:pPr>
          </w:p>
        </w:tc>
        <w:tc>
          <w:tcPr>
            <w:tcW w:w="9640" w:type="dxa"/>
            <w:vAlign w:val="bottom"/>
          </w:tcPr>
          <w:p>
            <w:pPr>
              <w:ind w:left="140"/>
              <w:spacing w:after="0"/>
              <w:rPr>
                <w:sz w:val="20"/>
                <w:szCs w:val="20"/>
                <w:color w:val="auto"/>
              </w:rPr>
            </w:pPr>
            <w:r>
              <w:rPr>
                <w:rFonts w:ascii="Arial" w:cs="Arial" w:eastAsia="Arial" w:hAnsi="Arial"/>
                <w:sz w:val="19"/>
                <w:szCs w:val="19"/>
                <w:color w:val="auto"/>
              </w:rPr>
              <w:t>SEC on April 29, 2005)</w:t>
            </w:r>
          </w:p>
        </w:tc>
      </w:tr>
      <w:tr>
        <w:trPr>
          <w:trHeight w:val="388"/>
        </w:trPr>
        <w:tc>
          <w:tcPr>
            <w:tcW w:w="1140" w:type="dxa"/>
            <w:vAlign w:val="bottom"/>
          </w:tcPr>
          <w:p>
            <w:pPr>
              <w:spacing w:after="0"/>
              <w:rPr>
                <w:sz w:val="20"/>
                <w:szCs w:val="20"/>
                <w:color w:val="auto"/>
              </w:rPr>
            </w:pPr>
            <w:r>
              <w:rPr>
                <w:rFonts w:ascii="Arial" w:cs="Arial" w:eastAsia="Arial" w:hAnsi="Arial"/>
                <w:sz w:val="19"/>
                <w:szCs w:val="19"/>
                <w:color w:val="auto"/>
              </w:rPr>
              <w:t>4.2</w:t>
            </w:r>
          </w:p>
        </w:tc>
        <w:tc>
          <w:tcPr>
            <w:tcW w:w="9640" w:type="dxa"/>
            <w:vAlign w:val="bottom"/>
          </w:tcPr>
          <w:p>
            <w:pPr>
              <w:ind w:left="140"/>
              <w:spacing w:after="0"/>
              <w:rPr>
                <w:sz w:val="20"/>
                <w:szCs w:val="20"/>
                <w:color w:val="auto"/>
              </w:rPr>
            </w:pPr>
            <w:r>
              <w:rPr>
                <w:rFonts w:ascii="Arial" w:cs="Arial" w:eastAsia="Arial" w:hAnsi="Arial"/>
                <w:sz w:val="19"/>
                <w:szCs w:val="19"/>
                <w:color w:val="auto"/>
              </w:rPr>
              <w:t>Description of Registrant’s Securities (incorporated by reference to Exhibit 4.2 to the Company’s Annual Report</w:t>
            </w:r>
          </w:p>
        </w:tc>
      </w:tr>
      <w:tr>
        <w:trPr>
          <w:trHeight w:val="256"/>
        </w:trPr>
        <w:tc>
          <w:tcPr>
            <w:tcW w:w="1140" w:type="dxa"/>
            <w:vAlign w:val="bottom"/>
          </w:tcPr>
          <w:p>
            <w:pPr>
              <w:spacing w:after="0"/>
              <w:rPr>
                <w:sz w:val="22"/>
                <w:szCs w:val="22"/>
                <w:color w:val="auto"/>
              </w:rPr>
            </w:pPr>
          </w:p>
        </w:tc>
        <w:tc>
          <w:tcPr>
            <w:tcW w:w="9640" w:type="dxa"/>
            <w:vAlign w:val="bottom"/>
          </w:tcPr>
          <w:p>
            <w:pPr>
              <w:ind w:left="140"/>
              <w:spacing w:after="0"/>
              <w:rPr>
                <w:sz w:val="20"/>
                <w:szCs w:val="20"/>
                <w:color w:val="auto"/>
              </w:rPr>
            </w:pPr>
            <w:r>
              <w:rPr>
                <w:rFonts w:ascii="Arial" w:cs="Arial" w:eastAsia="Arial" w:hAnsi="Arial"/>
                <w:sz w:val="19"/>
                <w:szCs w:val="19"/>
                <w:color w:val="auto"/>
              </w:rPr>
              <w:t>on Form 10-K filed with the SEC on May 14, 2020)</w:t>
            </w:r>
          </w:p>
        </w:tc>
      </w:tr>
      <w:tr>
        <w:trPr>
          <w:trHeight w:val="389"/>
        </w:trPr>
        <w:tc>
          <w:tcPr>
            <w:tcW w:w="1140" w:type="dxa"/>
            <w:vAlign w:val="bottom"/>
          </w:tcPr>
          <w:p>
            <w:pPr>
              <w:spacing w:after="0"/>
              <w:rPr>
                <w:sz w:val="20"/>
                <w:szCs w:val="20"/>
                <w:color w:val="auto"/>
              </w:rPr>
            </w:pPr>
            <w:r>
              <w:rPr>
                <w:rFonts w:ascii="Arial" w:cs="Arial" w:eastAsia="Arial" w:hAnsi="Arial"/>
                <w:sz w:val="19"/>
                <w:szCs w:val="19"/>
                <w:color w:val="auto"/>
              </w:rPr>
              <w:t>10.1</w:t>
            </w:r>
          </w:p>
        </w:tc>
        <w:tc>
          <w:tcPr>
            <w:tcW w:w="9640" w:type="dxa"/>
            <w:vAlign w:val="bottom"/>
          </w:tcPr>
          <w:p>
            <w:pPr>
              <w:ind w:left="140"/>
              <w:spacing w:after="0"/>
              <w:rPr>
                <w:sz w:val="20"/>
                <w:szCs w:val="20"/>
                <w:color w:val="auto"/>
              </w:rPr>
            </w:pPr>
            <w:r>
              <w:rPr>
                <w:rFonts w:ascii="Arial" w:cs="Arial" w:eastAsia="Arial" w:hAnsi="Arial"/>
                <w:sz w:val="19"/>
                <w:szCs w:val="19"/>
                <w:color w:val="auto"/>
              </w:rPr>
              <w:t>Credit Agreement, dated October 27, 2011 among Citi Trends, Inc., as Borrower, its wholly owned subsidiary, as</w:t>
            </w:r>
          </w:p>
        </w:tc>
      </w:tr>
      <w:tr>
        <w:trPr>
          <w:trHeight w:val="218"/>
        </w:trPr>
        <w:tc>
          <w:tcPr>
            <w:tcW w:w="1140" w:type="dxa"/>
            <w:vAlign w:val="bottom"/>
          </w:tcPr>
          <w:p>
            <w:pPr>
              <w:spacing w:after="0"/>
              <w:rPr>
                <w:sz w:val="18"/>
                <w:szCs w:val="18"/>
                <w:color w:val="auto"/>
              </w:rPr>
            </w:pPr>
          </w:p>
        </w:tc>
        <w:tc>
          <w:tcPr>
            <w:tcW w:w="9640" w:type="dxa"/>
            <w:vAlign w:val="bottom"/>
          </w:tcPr>
          <w:p>
            <w:pPr>
              <w:ind w:left="140"/>
              <w:spacing w:after="0"/>
              <w:rPr>
                <w:sz w:val="20"/>
                <w:szCs w:val="20"/>
                <w:color w:val="auto"/>
              </w:rPr>
            </w:pPr>
            <w:r>
              <w:rPr>
                <w:rFonts w:ascii="Arial" w:cs="Arial" w:eastAsia="Arial" w:hAnsi="Arial"/>
                <w:sz w:val="19"/>
                <w:szCs w:val="19"/>
                <w:color w:val="auto"/>
              </w:rPr>
              <w:t>Guarantor, and Bank of America, N.A., as Lender (incorporated by reference to Exhibit 10.1 to the Company’s</w:t>
            </w:r>
          </w:p>
        </w:tc>
      </w:tr>
      <w:tr>
        <w:trPr>
          <w:trHeight w:val="256"/>
        </w:trPr>
        <w:tc>
          <w:tcPr>
            <w:tcW w:w="1140" w:type="dxa"/>
            <w:vAlign w:val="bottom"/>
          </w:tcPr>
          <w:p>
            <w:pPr>
              <w:spacing w:after="0"/>
              <w:rPr>
                <w:sz w:val="22"/>
                <w:szCs w:val="22"/>
                <w:color w:val="auto"/>
              </w:rPr>
            </w:pPr>
          </w:p>
        </w:tc>
        <w:tc>
          <w:tcPr>
            <w:tcW w:w="9640" w:type="dxa"/>
            <w:vAlign w:val="bottom"/>
          </w:tcPr>
          <w:p>
            <w:pPr>
              <w:ind w:left="140"/>
              <w:spacing w:after="0"/>
              <w:rPr>
                <w:sz w:val="20"/>
                <w:szCs w:val="20"/>
                <w:color w:val="auto"/>
              </w:rPr>
            </w:pPr>
            <w:r>
              <w:rPr>
                <w:rFonts w:ascii="Arial" w:cs="Arial" w:eastAsia="Arial" w:hAnsi="Arial"/>
                <w:sz w:val="19"/>
                <w:szCs w:val="19"/>
                <w:color w:val="auto"/>
              </w:rPr>
              <w:t>Quarterly Report on Form 10-Q for the quarter ended October 29, 2011)</w:t>
            </w:r>
          </w:p>
        </w:tc>
      </w:tr>
      <w:tr>
        <w:trPr>
          <w:trHeight w:val="389"/>
        </w:trPr>
        <w:tc>
          <w:tcPr>
            <w:tcW w:w="1140" w:type="dxa"/>
            <w:vAlign w:val="bottom"/>
          </w:tcPr>
          <w:p>
            <w:pPr>
              <w:spacing w:after="0"/>
              <w:rPr>
                <w:sz w:val="20"/>
                <w:szCs w:val="20"/>
                <w:color w:val="auto"/>
              </w:rPr>
            </w:pPr>
            <w:r>
              <w:rPr>
                <w:rFonts w:ascii="Arial" w:cs="Arial" w:eastAsia="Arial" w:hAnsi="Arial"/>
                <w:sz w:val="19"/>
                <w:szCs w:val="19"/>
                <w:color w:val="auto"/>
              </w:rPr>
              <w:t>10.2</w:t>
            </w:r>
          </w:p>
        </w:tc>
        <w:tc>
          <w:tcPr>
            <w:tcW w:w="9640" w:type="dxa"/>
            <w:vAlign w:val="bottom"/>
          </w:tcPr>
          <w:p>
            <w:pPr>
              <w:ind w:left="140"/>
              <w:spacing w:after="0"/>
              <w:rPr>
                <w:sz w:val="20"/>
                <w:szCs w:val="20"/>
                <w:color w:val="auto"/>
              </w:rPr>
            </w:pPr>
            <w:r>
              <w:rPr>
                <w:rFonts w:ascii="Arial" w:cs="Arial" w:eastAsia="Arial" w:hAnsi="Arial"/>
                <w:sz w:val="19"/>
                <w:szCs w:val="19"/>
                <w:color w:val="auto"/>
              </w:rPr>
              <w:t>First Amendment to Credit Agreement, dated as of August 18, 2015, by and among Citi Trends, Inc., as</w:t>
            </w:r>
          </w:p>
        </w:tc>
      </w:tr>
      <w:tr>
        <w:trPr>
          <w:trHeight w:val="218"/>
        </w:trPr>
        <w:tc>
          <w:tcPr>
            <w:tcW w:w="1140" w:type="dxa"/>
            <w:vAlign w:val="bottom"/>
          </w:tcPr>
          <w:p>
            <w:pPr>
              <w:spacing w:after="0"/>
              <w:rPr>
                <w:sz w:val="18"/>
                <w:szCs w:val="18"/>
                <w:color w:val="auto"/>
              </w:rPr>
            </w:pPr>
          </w:p>
        </w:tc>
        <w:tc>
          <w:tcPr>
            <w:tcW w:w="9640" w:type="dxa"/>
            <w:vAlign w:val="bottom"/>
          </w:tcPr>
          <w:p>
            <w:pPr>
              <w:ind w:left="140"/>
              <w:spacing w:after="0"/>
              <w:rPr>
                <w:sz w:val="20"/>
                <w:szCs w:val="20"/>
                <w:color w:val="auto"/>
              </w:rPr>
            </w:pPr>
            <w:r>
              <w:rPr>
                <w:rFonts w:ascii="Arial" w:cs="Arial" w:eastAsia="Arial" w:hAnsi="Arial"/>
                <w:sz w:val="19"/>
                <w:szCs w:val="19"/>
                <w:color w:val="auto"/>
              </w:rPr>
              <w:t>Borrower, Citi Trends Marketing Solutions, Inc., as Guarantor, and Bank of America, N.A., as Lender</w:t>
            </w:r>
          </w:p>
        </w:tc>
      </w:tr>
      <w:tr>
        <w:trPr>
          <w:trHeight w:val="218"/>
        </w:trPr>
        <w:tc>
          <w:tcPr>
            <w:tcW w:w="1140" w:type="dxa"/>
            <w:vAlign w:val="bottom"/>
          </w:tcPr>
          <w:p>
            <w:pPr>
              <w:spacing w:after="0"/>
              <w:rPr>
                <w:sz w:val="18"/>
                <w:szCs w:val="18"/>
                <w:color w:val="auto"/>
              </w:rPr>
            </w:pPr>
          </w:p>
        </w:tc>
        <w:tc>
          <w:tcPr>
            <w:tcW w:w="9640" w:type="dxa"/>
            <w:vAlign w:val="bottom"/>
          </w:tcPr>
          <w:p>
            <w:pPr>
              <w:ind w:left="140"/>
              <w:spacing w:after="0"/>
              <w:rPr>
                <w:sz w:val="20"/>
                <w:szCs w:val="20"/>
                <w:color w:val="auto"/>
              </w:rPr>
            </w:pPr>
            <w:r>
              <w:rPr>
                <w:rFonts w:ascii="Arial" w:cs="Arial" w:eastAsia="Arial" w:hAnsi="Arial"/>
                <w:sz w:val="19"/>
                <w:szCs w:val="19"/>
                <w:color w:val="auto"/>
              </w:rPr>
              <w:t>(incorporated by reference to Exhibit 10.1 to the Company’s Current Report on Form 8-K filed with the SEC on</w:t>
            </w:r>
          </w:p>
        </w:tc>
      </w:tr>
      <w:tr>
        <w:trPr>
          <w:trHeight w:val="256"/>
        </w:trPr>
        <w:tc>
          <w:tcPr>
            <w:tcW w:w="1140" w:type="dxa"/>
            <w:vAlign w:val="bottom"/>
          </w:tcPr>
          <w:p>
            <w:pPr>
              <w:spacing w:after="0"/>
              <w:rPr>
                <w:sz w:val="22"/>
                <w:szCs w:val="22"/>
                <w:color w:val="auto"/>
              </w:rPr>
            </w:pPr>
          </w:p>
        </w:tc>
        <w:tc>
          <w:tcPr>
            <w:tcW w:w="9640" w:type="dxa"/>
            <w:vAlign w:val="bottom"/>
          </w:tcPr>
          <w:p>
            <w:pPr>
              <w:ind w:left="140"/>
              <w:spacing w:after="0"/>
              <w:rPr>
                <w:sz w:val="20"/>
                <w:szCs w:val="20"/>
                <w:color w:val="auto"/>
              </w:rPr>
            </w:pPr>
            <w:r>
              <w:rPr>
                <w:rFonts w:ascii="Arial" w:cs="Arial" w:eastAsia="Arial" w:hAnsi="Arial"/>
                <w:sz w:val="19"/>
                <w:szCs w:val="19"/>
                <w:color w:val="auto"/>
              </w:rPr>
              <w:t>August 19, 2015)</w:t>
            </w:r>
          </w:p>
        </w:tc>
      </w:tr>
      <w:tr>
        <w:trPr>
          <w:trHeight w:val="389"/>
        </w:trPr>
        <w:tc>
          <w:tcPr>
            <w:tcW w:w="1140" w:type="dxa"/>
            <w:vAlign w:val="bottom"/>
          </w:tcPr>
          <w:p>
            <w:pPr>
              <w:spacing w:after="0"/>
              <w:rPr>
                <w:sz w:val="20"/>
                <w:szCs w:val="20"/>
                <w:color w:val="auto"/>
              </w:rPr>
            </w:pPr>
            <w:r>
              <w:rPr>
                <w:rFonts w:ascii="Arial" w:cs="Arial" w:eastAsia="Arial" w:hAnsi="Arial"/>
                <w:sz w:val="19"/>
                <w:szCs w:val="19"/>
                <w:color w:val="auto"/>
              </w:rPr>
              <w:t>10.3</w:t>
            </w:r>
          </w:p>
        </w:tc>
        <w:tc>
          <w:tcPr>
            <w:tcW w:w="9640" w:type="dxa"/>
            <w:vAlign w:val="bottom"/>
          </w:tcPr>
          <w:p>
            <w:pPr>
              <w:ind w:left="140"/>
              <w:spacing w:after="0"/>
              <w:rPr>
                <w:sz w:val="20"/>
                <w:szCs w:val="20"/>
                <w:color w:val="auto"/>
              </w:rPr>
            </w:pPr>
            <w:r>
              <w:rPr>
                <w:rFonts w:ascii="Arial" w:cs="Arial" w:eastAsia="Arial" w:hAnsi="Arial"/>
                <w:sz w:val="19"/>
                <w:szCs w:val="19"/>
                <w:color w:val="auto"/>
                <w:w w:val="99"/>
              </w:rPr>
              <w:t>Second Amendment to Credit Agreement and Waiver, dated as of May 12, 2020, by and among Citi Trends, Inc.,</w:t>
            </w:r>
          </w:p>
        </w:tc>
      </w:tr>
      <w:tr>
        <w:trPr>
          <w:trHeight w:val="218"/>
        </w:trPr>
        <w:tc>
          <w:tcPr>
            <w:tcW w:w="1140" w:type="dxa"/>
            <w:vAlign w:val="bottom"/>
          </w:tcPr>
          <w:p>
            <w:pPr>
              <w:spacing w:after="0"/>
              <w:rPr>
                <w:sz w:val="18"/>
                <w:szCs w:val="18"/>
                <w:color w:val="auto"/>
              </w:rPr>
            </w:pPr>
          </w:p>
        </w:tc>
        <w:tc>
          <w:tcPr>
            <w:tcW w:w="9640" w:type="dxa"/>
            <w:vAlign w:val="bottom"/>
          </w:tcPr>
          <w:p>
            <w:pPr>
              <w:ind w:left="140"/>
              <w:spacing w:after="0"/>
              <w:rPr>
                <w:sz w:val="20"/>
                <w:szCs w:val="20"/>
                <w:color w:val="auto"/>
              </w:rPr>
            </w:pPr>
            <w:r>
              <w:rPr>
                <w:rFonts w:ascii="Arial" w:cs="Arial" w:eastAsia="Arial" w:hAnsi="Arial"/>
                <w:sz w:val="19"/>
                <w:szCs w:val="19"/>
                <w:color w:val="auto"/>
              </w:rPr>
              <w:t>as Borrower, Citi Trends Marketing Solutions, Inc., as Guarantor, and Bank of America, N.A., as Lender</w:t>
            </w:r>
          </w:p>
        </w:tc>
      </w:tr>
      <w:tr>
        <w:trPr>
          <w:trHeight w:val="218"/>
        </w:trPr>
        <w:tc>
          <w:tcPr>
            <w:tcW w:w="1140" w:type="dxa"/>
            <w:vAlign w:val="bottom"/>
          </w:tcPr>
          <w:p>
            <w:pPr>
              <w:spacing w:after="0"/>
              <w:rPr>
                <w:sz w:val="18"/>
                <w:szCs w:val="18"/>
                <w:color w:val="auto"/>
              </w:rPr>
            </w:pPr>
          </w:p>
        </w:tc>
        <w:tc>
          <w:tcPr>
            <w:tcW w:w="9640" w:type="dxa"/>
            <w:vAlign w:val="bottom"/>
          </w:tcPr>
          <w:p>
            <w:pPr>
              <w:ind w:left="140"/>
              <w:spacing w:after="0"/>
              <w:rPr>
                <w:sz w:val="20"/>
                <w:szCs w:val="20"/>
                <w:color w:val="auto"/>
              </w:rPr>
            </w:pPr>
            <w:r>
              <w:rPr>
                <w:rFonts w:ascii="Arial" w:cs="Arial" w:eastAsia="Arial" w:hAnsi="Arial"/>
                <w:sz w:val="19"/>
                <w:szCs w:val="19"/>
                <w:color w:val="auto"/>
              </w:rPr>
              <w:t>(incorporated by reference to Exhibit 10.28 to the Company’s Annual Report on Form 10-K filed with the SEC on</w:t>
            </w:r>
          </w:p>
        </w:tc>
      </w:tr>
      <w:tr>
        <w:trPr>
          <w:trHeight w:val="256"/>
        </w:trPr>
        <w:tc>
          <w:tcPr>
            <w:tcW w:w="1140" w:type="dxa"/>
            <w:vAlign w:val="bottom"/>
          </w:tcPr>
          <w:p>
            <w:pPr>
              <w:spacing w:after="0"/>
              <w:rPr>
                <w:sz w:val="22"/>
                <w:szCs w:val="22"/>
                <w:color w:val="auto"/>
              </w:rPr>
            </w:pPr>
          </w:p>
        </w:tc>
        <w:tc>
          <w:tcPr>
            <w:tcW w:w="9640" w:type="dxa"/>
            <w:vAlign w:val="bottom"/>
          </w:tcPr>
          <w:p>
            <w:pPr>
              <w:ind w:left="140"/>
              <w:spacing w:after="0"/>
              <w:rPr>
                <w:sz w:val="20"/>
                <w:szCs w:val="20"/>
                <w:color w:val="auto"/>
              </w:rPr>
            </w:pPr>
            <w:r>
              <w:rPr>
                <w:rFonts w:ascii="Arial" w:cs="Arial" w:eastAsia="Arial" w:hAnsi="Arial"/>
                <w:sz w:val="19"/>
                <w:szCs w:val="19"/>
                <w:color w:val="auto"/>
              </w:rPr>
              <w:t>May 14, 2020)</w:t>
            </w:r>
          </w:p>
        </w:tc>
      </w:tr>
      <w:tr>
        <w:trPr>
          <w:trHeight w:val="388"/>
        </w:trPr>
        <w:tc>
          <w:tcPr>
            <w:tcW w:w="1140" w:type="dxa"/>
            <w:vAlign w:val="bottom"/>
          </w:tcPr>
          <w:p>
            <w:pPr>
              <w:spacing w:after="0"/>
              <w:rPr>
                <w:sz w:val="20"/>
                <w:szCs w:val="20"/>
                <w:color w:val="auto"/>
              </w:rPr>
            </w:pPr>
            <w:r>
              <w:rPr>
                <w:rFonts w:ascii="Arial" w:cs="Arial" w:eastAsia="Arial" w:hAnsi="Arial"/>
                <w:sz w:val="19"/>
                <w:szCs w:val="19"/>
                <w:color w:val="auto"/>
              </w:rPr>
              <w:t>10.4</w:t>
            </w:r>
          </w:p>
        </w:tc>
        <w:tc>
          <w:tcPr>
            <w:tcW w:w="9640" w:type="dxa"/>
            <w:vAlign w:val="bottom"/>
          </w:tcPr>
          <w:p>
            <w:pPr>
              <w:ind w:left="140"/>
              <w:spacing w:after="0"/>
              <w:rPr>
                <w:sz w:val="20"/>
                <w:szCs w:val="20"/>
                <w:color w:val="auto"/>
              </w:rPr>
            </w:pPr>
            <w:r>
              <w:rPr>
                <w:rFonts w:ascii="Arial" w:cs="Arial" w:eastAsia="Arial" w:hAnsi="Arial"/>
                <w:sz w:val="19"/>
                <w:szCs w:val="19"/>
                <w:color w:val="auto"/>
              </w:rPr>
              <w:t>Third Amendment to Credit Agreement, dated as of April 15, 2021, by and among the Company, as Borrower,</w:t>
            </w:r>
          </w:p>
        </w:tc>
      </w:tr>
      <w:tr>
        <w:trPr>
          <w:trHeight w:val="218"/>
        </w:trPr>
        <w:tc>
          <w:tcPr>
            <w:tcW w:w="1140" w:type="dxa"/>
            <w:vAlign w:val="bottom"/>
          </w:tcPr>
          <w:p>
            <w:pPr>
              <w:spacing w:after="0"/>
              <w:rPr>
                <w:sz w:val="18"/>
                <w:szCs w:val="18"/>
                <w:color w:val="auto"/>
              </w:rPr>
            </w:pPr>
          </w:p>
        </w:tc>
        <w:tc>
          <w:tcPr>
            <w:tcW w:w="9640" w:type="dxa"/>
            <w:vAlign w:val="bottom"/>
          </w:tcPr>
          <w:p>
            <w:pPr>
              <w:ind w:left="140"/>
              <w:spacing w:after="0"/>
              <w:rPr>
                <w:sz w:val="20"/>
                <w:szCs w:val="20"/>
                <w:color w:val="auto"/>
              </w:rPr>
            </w:pPr>
            <w:r>
              <w:rPr>
                <w:rFonts w:ascii="Arial" w:cs="Arial" w:eastAsia="Arial" w:hAnsi="Arial"/>
                <w:sz w:val="19"/>
                <w:szCs w:val="19"/>
                <w:color w:val="auto"/>
              </w:rPr>
              <w:t>Citi Trends Marketing Solutions, Inc., as Guarantor, and Bank of America, N.A., as Lender (incorporated by</w:t>
            </w:r>
          </w:p>
        </w:tc>
      </w:tr>
      <w:tr>
        <w:trPr>
          <w:trHeight w:val="256"/>
        </w:trPr>
        <w:tc>
          <w:tcPr>
            <w:tcW w:w="1140" w:type="dxa"/>
            <w:vAlign w:val="bottom"/>
          </w:tcPr>
          <w:p>
            <w:pPr>
              <w:spacing w:after="0"/>
              <w:rPr>
                <w:sz w:val="22"/>
                <w:szCs w:val="22"/>
                <w:color w:val="auto"/>
              </w:rPr>
            </w:pPr>
          </w:p>
        </w:tc>
        <w:tc>
          <w:tcPr>
            <w:tcW w:w="9640" w:type="dxa"/>
            <w:vAlign w:val="bottom"/>
          </w:tcPr>
          <w:p>
            <w:pPr>
              <w:ind w:left="140"/>
              <w:spacing w:after="0"/>
              <w:rPr>
                <w:sz w:val="20"/>
                <w:szCs w:val="20"/>
                <w:color w:val="auto"/>
              </w:rPr>
            </w:pPr>
            <w:r>
              <w:rPr>
                <w:rFonts w:ascii="Arial" w:cs="Arial" w:eastAsia="Arial" w:hAnsi="Arial"/>
                <w:sz w:val="19"/>
                <w:szCs w:val="19"/>
                <w:color w:val="auto"/>
              </w:rPr>
              <w:t>reference to Exhibit 10.1 to the Company’s Current Report on Form 8-K filed with the SEC on April 15, 2021)</w:t>
            </w:r>
          </w:p>
        </w:tc>
      </w:tr>
      <w:tr>
        <w:trPr>
          <w:trHeight w:val="425"/>
        </w:trPr>
        <w:tc>
          <w:tcPr>
            <w:tcW w:w="1140" w:type="dxa"/>
            <w:vAlign w:val="bottom"/>
          </w:tcPr>
          <w:p>
            <w:pPr>
              <w:spacing w:after="0"/>
              <w:rPr>
                <w:sz w:val="20"/>
                <w:szCs w:val="20"/>
                <w:color w:val="auto"/>
              </w:rPr>
            </w:pPr>
            <w:r>
              <w:rPr>
                <w:rFonts w:ascii="Arial" w:cs="Arial" w:eastAsia="Arial" w:hAnsi="Arial"/>
                <w:sz w:val="19"/>
                <w:szCs w:val="19"/>
                <w:color w:val="auto"/>
              </w:rPr>
              <w:t>10.5</w:t>
            </w:r>
          </w:p>
        </w:tc>
        <w:tc>
          <w:tcPr>
            <w:tcW w:w="9640" w:type="dxa"/>
            <w:vAlign w:val="bottom"/>
          </w:tcPr>
          <w:p>
            <w:pPr>
              <w:ind w:left="140"/>
              <w:spacing w:after="0"/>
              <w:rPr>
                <w:sz w:val="20"/>
                <w:szCs w:val="20"/>
                <w:color w:val="auto"/>
              </w:rPr>
            </w:pPr>
            <w:r>
              <w:rPr>
                <w:rFonts w:ascii="Arial" w:cs="Arial" w:eastAsia="Arial" w:hAnsi="Arial"/>
                <w:sz w:val="19"/>
                <w:szCs w:val="19"/>
                <w:color w:val="auto"/>
              </w:rPr>
              <w:t>Fourth Amendment to Credit Agreement, dated as of April 10, 2025, by and among Citi Trends, Inc., as</w:t>
            </w:r>
          </w:p>
        </w:tc>
      </w:tr>
      <w:tr>
        <w:trPr>
          <w:trHeight w:val="218"/>
        </w:trPr>
        <w:tc>
          <w:tcPr>
            <w:tcW w:w="1140" w:type="dxa"/>
            <w:vAlign w:val="bottom"/>
          </w:tcPr>
          <w:p>
            <w:pPr>
              <w:spacing w:after="0"/>
              <w:rPr>
                <w:sz w:val="18"/>
                <w:szCs w:val="18"/>
                <w:color w:val="auto"/>
              </w:rPr>
            </w:pPr>
          </w:p>
        </w:tc>
        <w:tc>
          <w:tcPr>
            <w:tcW w:w="9640" w:type="dxa"/>
            <w:vAlign w:val="bottom"/>
          </w:tcPr>
          <w:p>
            <w:pPr>
              <w:ind w:left="140"/>
              <w:spacing w:after="0"/>
              <w:rPr>
                <w:sz w:val="20"/>
                <w:szCs w:val="20"/>
                <w:color w:val="auto"/>
              </w:rPr>
            </w:pPr>
            <w:r>
              <w:rPr>
                <w:rFonts w:ascii="Arial" w:cs="Arial" w:eastAsia="Arial" w:hAnsi="Arial"/>
                <w:sz w:val="19"/>
                <w:szCs w:val="19"/>
                <w:color w:val="auto"/>
              </w:rPr>
              <w:t>Borrower, Citi Trends Marketing Solutions, Inc., as Guarantor, and Bank of America, N.A., as Lender</w:t>
            </w:r>
          </w:p>
        </w:tc>
      </w:tr>
      <w:tr>
        <w:trPr>
          <w:trHeight w:val="218"/>
        </w:trPr>
        <w:tc>
          <w:tcPr>
            <w:tcW w:w="1140" w:type="dxa"/>
            <w:vAlign w:val="bottom"/>
          </w:tcPr>
          <w:p>
            <w:pPr>
              <w:spacing w:after="0"/>
              <w:rPr>
                <w:sz w:val="18"/>
                <w:szCs w:val="18"/>
                <w:color w:val="auto"/>
              </w:rPr>
            </w:pPr>
          </w:p>
        </w:tc>
        <w:tc>
          <w:tcPr>
            <w:tcW w:w="9640" w:type="dxa"/>
            <w:vAlign w:val="bottom"/>
          </w:tcPr>
          <w:p>
            <w:pPr>
              <w:ind w:left="140"/>
              <w:spacing w:after="0"/>
              <w:rPr>
                <w:sz w:val="20"/>
                <w:szCs w:val="20"/>
                <w:color w:val="auto"/>
              </w:rPr>
            </w:pPr>
            <w:r>
              <w:rPr>
                <w:rFonts w:ascii="Arial" w:cs="Arial" w:eastAsia="Arial" w:hAnsi="Arial"/>
                <w:sz w:val="19"/>
                <w:szCs w:val="19"/>
                <w:color w:val="auto"/>
              </w:rPr>
              <w:t>(incorporated by reference to Exhibit 10.1 to the Company’s Current Report on Form 8-K filed with the SEC on</w:t>
            </w:r>
          </w:p>
        </w:tc>
      </w:tr>
      <w:tr>
        <w:trPr>
          <w:trHeight w:val="256"/>
        </w:trPr>
        <w:tc>
          <w:tcPr>
            <w:tcW w:w="1140" w:type="dxa"/>
            <w:vAlign w:val="bottom"/>
          </w:tcPr>
          <w:p>
            <w:pPr>
              <w:spacing w:after="0"/>
              <w:rPr>
                <w:sz w:val="22"/>
                <w:szCs w:val="22"/>
                <w:color w:val="auto"/>
              </w:rPr>
            </w:pPr>
          </w:p>
        </w:tc>
        <w:tc>
          <w:tcPr>
            <w:tcW w:w="9640" w:type="dxa"/>
            <w:vAlign w:val="bottom"/>
          </w:tcPr>
          <w:p>
            <w:pPr>
              <w:ind w:left="140"/>
              <w:spacing w:after="0"/>
              <w:rPr>
                <w:sz w:val="20"/>
                <w:szCs w:val="20"/>
                <w:color w:val="auto"/>
              </w:rPr>
            </w:pPr>
            <w:r>
              <w:rPr>
                <w:rFonts w:ascii="Arial" w:cs="Arial" w:eastAsia="Arial" w:hAnsi="Arial"/>
                <w:sz w:val="19"/>
                <w:szCs w:val="19"/>
                <w:color w:val="auto"/>
              </w:rPr>
              <w:t>April 15, 2025).</w:t>
            </w:r>
          </w:p>
        </w:tc>
      </w:tr>
      <w:tr>
        <w:trPr>
          <w:trHeight w:val="426"/>
        </w:trPr>
        <w:tc>
          <w:tcPr>
            <w:tcW w:w="1140" w:type="dxa"/>
            <w:vAlign w:val="bottom"/>
          </w:tcPr>
          <w:p>
            <w:pPr>
              <w:spacing w:after="0"/>
              <w:rPr>
                <w:sz w:val="20"/>
                <w:szCs w:val="20"/>
                <w:color w:val="auto"/>
              </w:rPr>
            </w:pPr>
            <w:r>
              <w:rPr>
                <w:rFonts w:ascii="Arial" w:cs="Arial" w:eastAsia="Arial" w:hAnsi="Arial"/>
                <w:sz w:val="19"/>
                <w:szCs w:val="19"/>
                <w:color w:val="auto"/>
              </w:rPr>
              <w:t>+*10.6</w:t>
            </w:r>
          </w:p>
        </w:tc>
        <w:tc>
          <w:tcPr>
            <w:tcW w:w="9640" w:type="dxa"/>
            <w:vAlign w:val="bottom"/>
          </w:tcPr>
          <w:p>
            <w:pPr>
              <w:ind w:left="140"/>
              <w:spacing w:after="0"/>
              <w:rPr>
                <w:sz w:val="20"/>
                <w:szCs w:val="20"/>
                <w:color w:val="auto"/>
              </w:rPr>
            </w:pPr>
            <w:r>
              <w:rPr>
                <w:rFonts w:ascii="Arial" w:cs="Arial" w:eastAsia="Arial" w:hAnsi="Arial"/>
                <w:sz w:val="19"/>
                <w:szCs w:val="19"/>
                <w:color w:val="auto"/>
              </w:rPr>
              <w:t>Citi Trends, Inc. Amended and Restated 2021 Incentive Plan, dated as of April 13, 2026</w:t>
            </w:r>
          </w:p>
        </w:tc>
      </w:tr>
      <w:tr>
        <w:trPr>
          <w:trHeight w:val="400"/>
        </w:trPr>
        <w:tc>
          <w:tcPr>
            <w:tcW w:w="1140" w:type="dxa"/>
            <w:vAlign w:val="bottom"/>
          </w:tcPr>
          <w:p>
            <w:pPr>
              <w:spacing w:after="0"/>
              <w:rPr>
                <w:sz w:val="20"/>
                <w:szCs w:val="20"/>
                <w:color w:val="auto"/>
              </w:rPr>
            </w:pPr>
            <w:r>
              <w:rPr>
                <w:rFonts w:ascii="Arial" w:cs="Arial" w:eastAsia="Arial" w:hAnsi="Arial"/>
                <w:sz w:val="19"/>
                <w:szCs w:val="19"/>
                <w:color w:val="auto"/>
              </w:rPr>
              <w:t>*10.7</w:t>
            </w:r>
          </w:p>
        </w:tc>
        <w:tc>
          <w:tcPr>
            <w:tcW w:w="9640" w:type="dxa"/>
            <w:vAlign w:val="bottom"/>
          </w:tcPr>
          <w:p>
            <w:pPr>
              <w:ind w:left="140"/>
              <w:spacing w:after="0"/>
              <w:rPr>
                <w:sz w:val="20"/>
                <w:szCs w:val="20"/>
                <w:color w:val="auto"/>
              </w:rPr>
            </w:pPr>
            <w:r>
              <w:rPr>
                <w:rFonts w:ascii="Arial" w:cs="Arial" w:eastAsia="Arial" w:hAnsi="Arial"/>
                <w:sz w:val="19"/>
                <w:szCs w:val="19"/>
                <w:color w:val="auto"/>
                <w:w w:val="99"/>
              </w:rPr>
              <w:t>Form of Restricted Stock Award Agreement for Employees (2025) under the Citi Trends, Inc. 2021 Incentive Plan</w:t>
            </w:r>
          </w:p>
        </w:tc>
      </w:tr>
      <w:tr>
        <w:trPr>
          <w:trHeight w:val="218"/>
        </w:trPr>
        <w:tc>
          <w:tcPr>
            <w:tcW w:w="1140" w:type="dxa"/>
            <w:vAlign w:val="bottom"/>
          </w:tcPr>
          <w:p>
            <w:pPr>
              <w:spacing w:after="0"/>
              <w:rPr>
                <w:sz w:val="18"/>
                <w:szCs w:val="18"/>
                <w:color w:val="auto"/>
              </w:rPr>
            </w:pPr>
          </w:p>
        </w:tc>
        <w:tc>
          <w:tcPr>
            <w:tcW w:w="9640" w:type="dxa"/>
            <w:vAlign w:val="bottom"/>
          </w:tcPr>
          <w:p>
            <w:pPr>
              <w:ind w:left="140"/>
              <w:spacing w:after="0"/>
              <w:rPr>
                <w:sz w:val="20"/>
                <w:szCs w:val="20"/>
                <w:color w:val="auto"/>
              </w:rPr>
            </w:pPr>
            <w:r>
              <w:rPr>
                <w:rFonts w:ascii="Arial" w:cs="Arial" w:eastAsia="Arial" w:hAnsi="Arial"/>
                <w:sz w:val="19"/>
                <w:szCs w:val="19"/>
                <w:color w:val="auto"/>
              </w:rPr>
              <w:t>(incorporated by reference to Exhibit 10.2 to the Company’s Quarterly Report on Form 10-Q filed with the SEC</w:t>
            </w:r>
          </w:p>
        </w:tc>
      </w:tr>
      <w:tr>
        <w:trPr>
          <w:trHeight w:val="256"/>
        </w:trPr>
        <w:tc>
          <w:tcPr>
            <w:tcW w:w="1140" w:type="dxa"/>
            <w:vAlign w:val="bottom"/>
          </w:tcPr>
          <w:p>
            <w:pPr>
              <w:spacing w:after="0"/>
              <w:rPr>
                <w:sz w:val="22"/>
                <w:szCs w:val="22"/>
                <w:color w:val="auto"/>
              </w:rPr>
            </w:pPr>
          </w:p>
        </w:tc>
        <w:tc>
          <w:tcPr>
            <w:tcW w:w="9640" w:type="dxa"/>
            <w:vAlign w:val="bottom"/>
          </w:tcPr>
          <w:p>
            <w:pPr>
              <w:ind w:left="140"/>
              <w:spacing w:after="0"/>
              <w:rPr>
                <w:sz w:val="20"/>
                <w:szCs w:val="20"/>
                <w:color w:val="auto"/>
              </w:rPr>
            </w:pPr>
            <w:r>
              <w:rPr>
                <w:rFonts w:ascii="Arial" w:cs="Arial" w:eastAsia="Arial" w:hAnsi="Arial"/>
                <w:sz w:val="19"/>
                <w:szCs w:val="19"/>
                <w:color w:val="auto"/>
              </w:rPr>
              <w:t>on September 10, 2025)</w:t>
            </w:r>
          </w:p>
        </w:tc>
      </w:tr>
    </w:tbl>
    <w:p>
      <w:pPr>
        <w:spacing w:after="0" w:line="200" w:lineRule="exact"/>
        <w:rPr>
          <w:sz w:val="20"/>
          <w:szCs w:val="20"/>
          <w:color w:val="auto"/>
        </w:rPr>
      </w:pPr>
    </w:p>
    <w:p>
      <w:pPr>
        <w:sectPr>
          <w:pgSz w:w="11880" w:h="15480" w:orient="portrait"/>
          <w:cols w:equalWidth="0" w:num="1">
            <w:col w:w="10780"/>
          </w:cols>
          <w:pgMar w:left="540" w:top="804" w:right="560" w:bottom="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ectPr>
          <w:pgSz w:w="11880" w:h="15480" w:orient="portrait"/>
          <w:cols w:equalWidth="0" w:num="1">
            <w:col w:w="10780"/>
          </w:cols>
          <w:pgMar w:left="540" w:top="804" w:right="560" w:bottom="16" w:gutter="0" w:footer="0" w:header="0"/>
          <w:type w:val="continuous"/>
        </w:sectPr>
      </w:pPr>
    </w:p>
    <w:bookmarkStart w:id="52" w:name="page53"/>
    <w:bookmarkEnd w:id="52"/>
    <w:tbl>
      <w:tblPr>
        <w:tblLayout w:type="fixed"/>
        <w:tblInd w:w="0" w:type="dxa"/>
        <w:tblCellMar>
          <w:top w:w="0" w:type="dxa"/>
          <w:left w:w="0" w:type="dxa"/>
          <w:bottom w:w="0" w:type="dxa"/>
          <w:right w:w="0" w:type="dxa"/>
        </w:tblCellMar>
      </w:tblPr>
      <w:tr>
        <w:trPr>
          <w:trHeight w:val="270"/>
        </w:trPr>
        <w:tc>
          <w:tcPr>
            <w:tcW w:w="1140" w:type="dxa"/>
            <w:vAlign w:val="bottom"/>
          </w:tcPr>
          <w:p>
            <w:pPr>
              <w:spacing w:after="0"/>
              <w:rPr>
                <w:sz w:val="20"/>
                <w:szCs w:val="20"/>
                <w:color w:val="auto"/>
              </w:rPr>
            </w:pPr>
            <w:r>
              <w:rPr>
                <w:rFonts w:ascii="Arial" w:cs="Arial" w:eastAsia="Arial" w:hAnsi="Arial"/>
                <w:sz w:val="19"/>
                <w:szCs w:val="19"/>
                <w:b w:val="1"/>
                <w:bCs w:val="1"/>
                <w:color w:val="auto"/>
              </w:rPr>
              <w:t>Exhibit No.</w:t>
            </w:r>
          </w:p>
        </w:tc>
        <w:tc>
          <w:tcPr>
            <w:tcW w:w="9660" w:type="dxa"/>
            <w:vAlign w:val="bottom"/>
          </w:tcPr>
          <w:p>
            <w:pPr>
              <w:ind w:left="4380"/>
              <w:spacing w:after="0"/>
              <w:rPr>
                <w:sz w:val="20"/>
                <w:szCs w:val="20"/>
                <w:color w:val="auto"/>
              </w:rPr>
            </w:pPr>
            <w:r>
              <w:rPr>
                <w:rFonts w:ascii="Arial" w:cs="Arial" w:eastAsia="Arial" w:hAnsi="Arial"/>
                <w:sz w:val="19"/>
                <w:szCs w:val="19"/>
                <w:b w:val="1"/>
                <w:bCs w:val="1"/>
                <w:color w:val="auto"/>
              </w:rPr>
              <w:t>Description</w:t>
            </w:r>
          </w:p>
        </w:tc>
      </w:tr>
      <w:tr>
        <w:trPr>
          <w:trHeight w:val="330"/>
        </w:trPr>
        <w:tc>
          <w:tcPr>
            <w:tcW w:w="1140" w:type="dxa"/>
            <w:vAlign w:val="bottom"/>
          </w:tcPr>
          <w:p>
            <w:pPr>
              <w:spacing w:after="0"/>
              <w:rPr>
                <w:sz w:val="20"/>
                <w:szCs w:val="20"/>
                <w:color w:val="auto"/>
              </w:rPr>
            </w:pPr>
            <w:r>
              <w:rPr>
                <w:rFonts w:ascii="Arial" w:cs="Arial" w:eastAsia="Arial" w:hAnsi="Arial"/>
                <w:sz w:val="19"/>
                <w:szCs w:val="19"/>
                <w:color w:val="auto"/>
              </w:rPr>
              <w:t>*10.8</w:t>
            </w:r>
          </w:p>
        </w:tc>
        <w:tc>
          <w:tcPr>
            <w:tcW w:w="9660" w:type="dxa"/>
            <w:vAlign w:val="bottom"/>
          </w:tcPr>
          <w:p>
            <w:pPr>
              <w:ind w:left="140"/>
              <w:spacing w:after="0"/>
              <w:rPr>
                <w:sz w:val="20"/>
                <w:szCs w:val="20"/>
                <w:color w:val="auto"/>
              </w:rPr>
            </w:pPr>
            <w:r>
              <w:rPr>
                <w:rFonts w:ascii="Arial" w:cs="Arial" w:eastAsia="Arial" w:hAnsi="Arial"/>
                <w:sz w:val="19"/>
                <w:szCs w:val="19"/>
                <w:color w:val="auto"/>
              </w:rPr>
              <w:t>Form of Restricted Stock Award Agreement for Directors under the Citi Trends, Inc. 2021 Incentive Plan</w:t>
            </w:r>
          </w:p>
        </w:tc>
      </w:tr>
      <w:tr>
        <w:trPr>
          <w:trHeight w:val="218"/>
        </w:trPr>
        <w:tc>
          <w:tcPr>
            <w:tcW w:w="1140" w:type="dxa"/>
            <w:vAlign w:val="bottom"/>
          </w:tcPr>
          <w:p>
            <w:pPr>
              <w:spacing w:after="0"/>
              <w:rPr>
                <w:sz w:val="18"/>
                <w:szCs w:val="18"/>
                <w:color w:val="auto"/>
              </w:rPr>
            </w:pPr>
          </w:p>
        </w:tc>
        <w:tc>
          <w:tcPr>
            <w:tcW w:w="9660" w:type="dxa"/>
            <w:vAlign w:val="bottom"/>
          </w:tcPr>
          <w:p>
            <w:pPr>
              <w:ind w:left="140"/>
              <w:spacing w:after="0"/>
              <w:rPr>
                <w:sz w:val="20"/>
                <w:szCs w:val="20"/>
                <w:color w:val="auto"/>
              </w:rPr>
            </w:pPr>
            <w:r>
              <w:rPr>
                <w:rFonts w:ascii="Arial" w:cs="Arial" w:eastAsia="Arial" w:hAnsi="Arial"/>
                <w:sz w:val="19"/>
                <w:szCs w:val="19"/>
                <w:color w:val="auto"/>
              </w:rPr>
              <w:t>(incorporated by reference to Exhibit 10.2 to the Company’s Quarterly Report on Form 10-Q filed with the SEC</w:t>
            </w:r>
          </w:p>
        </w:tc>
      </w:tr>
      <w:tr>
        <w:trPr>
          <w:trHeight w:val="256"/>
        </w:trPr>
        <w:tc>
          <w:tcPr>
            <w:tcW w:w="1140" w:type="dxa"/>
            <w:vAlign w:val="bottom"/>
          </w:tcPr>
          <w:p>
            <w:pPr>
              <w:spacing w:after="0"/>
              <w:rPr>
                <w:sz w:val="22"/>
                <w:szCs w:val="22"/>
                <w:color w:val="auto"/>
              </w:rPr>
            </w:pPr>
          </w:p>
        </w:tc>
        <w:tc>
          <w:tcPr>
            <w:tcW w:w="9660" w:type="dxa"/>
            <w:vAlign w:val="bottom"/>
          </w:tcPr>
          <w:p>
            <w:pPr>
              <w:ind w:left="140"/>
              <w:spacing w:after="0"/>
              <w:rPr>
                <w:sz w:val="20"/>
                <w:szCs w:val="20"/>
                <w:color w:val="auto"/>
              </w:rPr>
            </w:pPr>
            <w:r>
              <w:rPr>
                <w:rFonts w:ascii="Arial" w:cs="Arial" w:eastAsia="Arial" w:hAnsi="Arial"/>
                <w:sz w:val="19"/>
                <w:szCs w:val="19"/>
                <w:color w:val="auto"/>
              </w:rPr>
              <w:t>on September 8, 2021)</w:t>
            </w:r>
          </w:p>
        </w:tc>
      </w:tr>
      <w:tr>
        <w:trPr>
          <w:trHeight w:val="389"/>
        </w:trPr>
        <w:tc>
          <w:tcPr>
            <w:tcW w:w="1140" w:type="dxa"/>
            <w:vAlign w:val="bottom"/>
          </w:tcPr>
          <w:p>
            <w:pPr>
              <w:spacing w:after="0"/>
              <w:rPr>
                <w:sz w:val="20"/>
                <w:szCs w:val="20"/>
                <w:color w:val="auto"/>
              </w:rPr>
            </w:pPr>
            <w:r>
              <w:rPr>
                <w:rFonts w:ascii="Arial" w:cs="Arial" w:eastAsia="Arial" w:hAnsi="Arial"/>
                <w:sz w:val="19"/>
                <w:szCs w:val="19"/>
                <w:color w:val="auto"/>
              </w:rPr>
              <w:t>*10.9</w:t>
            </w:r>
          </w:p>
        </w:tc>
        <w:tc>
          <w:tcPr>
            <w:tcW w:w="9660" w:type="dxa"/>
            <w:vAlign w:val="bottom"/>
          </w:tcPr>
          <w:p>
            <w:pPr>
              <w:ind w:left="140"/>
              <w:spacing w:after="0"/>
              <w:rPr>
                <w:sz w:val="20"/>
                <w:szCs w:val="20"/>
                <w:color w:val="auto"/>
              </w:rPr>
            </w:pPr>
            <w:r>
              <w:rPr>
                <w:rFonts w:ascii="Arial" w:cs="Arial" w:eastAsia="Arial" w:hAnsi="Arial"/>
                <w:sz w:val="19"/>
                <w:szCs w:val="19"/>
                <w:color w:val="auto"/>
              </w:rPr>
              <w:t>Form of Performance-Based Restricted Stock Unit Award Agreement for Employees under the Citi Trends, Inc.</w:t>
            </w:r>
          </w:p>
        </w:tc>
      </w:tr>
      <w:tr>
        <w:trPr>
          <w:trHeight w:val="218"/>
        </w:trPr>
        <w:tc>
          <w:tcPr>
            <w:tcW w:w="1140" w:type="dxa"/>
            <w:vAlign w:val="bottom"/>
          </w:tcPr>
          <w:p>
            <w:pPr>
              <w:spacing w:after="0"/>
              <w:rPr>
                <w:sz w:val="18"/>
                <w:szCs w:val="18"/>
                <w:color w:val="auto"/>
              </w:rPr>
            </w:pPr>
          </w:p>
        </w:tc>
        <w:tc>
          <w:tcPr>
            <w:tcW w:w="9660" w:type="dxa"/>
            <w:vAlign w:val="bottom"/>
          </w:tcPr>
          <w:p>
            <w:pPr>
              <w:ind w:left="140"/>
              <w:spacing w:after="0"/>
              <w:rPr>
                <w:sz w:val="20"/>
                <w:szCs w:val="20"/>
                <w:color w:val="auto"/>
              </w:rPr>
            </w:pPr>
            <w:r>
              <w:rPr>
                <w:rFonts w:ascii="Arial" w:cs="Arial" w:eastAsia="Arial" w:hAnsi="Arial"/>
                <w:sz w:val="19"/>
                <w:szCs w:val="19"/>
                <w:color w:val="auto"/>
              </w:rPr>
              <w:t>2021 Incentive Plan (incorporated by reference to Exhibit 10.1 to the Company’s Quarterly Report on Form 10-Q</w:t>
            </w:r>
          </w:p>
        </w:tc>
      </w:tr>
      <w:tr>
        <w:trPr>
          <w:trHeight w:val="256"/>
        </w:trPr>
        <w:tc>
          <w:tcPr>
            <w:tcW w:w="1140" w:type="dxa"/>
            <w:vAlign w:val="bottom"/>
          </w:tcPr>
          <w:p>
            <w:pPr>
              <w:spacing w:after="0"/>
              <w:rPr>
                <w:sz w:val="22"/>
                <w:szCs w:val="22"/>
                <w:color w:val="auto"/>
              </w:rPr>
            </w:pPr>
          </w:p>
        </w:tc>
        <w:tc>
          <w:tcPr>
            <w:tcW w:w="9660" w:type="dxa"/>
            <w:vAlign w:val="bottom"/>
          </w:tcPr>
          <w:p>
            <w:pPr>
              <w:ind w:left="140"/>
              <w:spacing w:after="0"/>
              <w:rPr>
                <w:sz w:val="20"/>
                <w:szCs w:val="20"/>
                <w:color w:val="auto"/>
              </w:rPr>
            </w:pPr>
            <w:r>
              <w:rPr>
                <w:rFonts w:ascii="Arial" w:cs="Arial" w:eastAsia="Arial" w:hAnsi="Arial"/>
                <w:sz w:val="19"/>
                <w:szCs w:val="19"/>
                <w:color w:val="auto"/>
              </w:rPr>
              <w:t>filed with the SEC on September 6, 2023)</w:t>
            </w:r>
          </w:p>
        </w:tc>
      </w:tr>
      <w:tr>
        <w:trPr>
          <w:trHeight w:val="400"/>
        </w:trPr>
        <w:tc>
          <w:tcPr>
            <w:tcW w:w="1140" w:type="dxa"/>
            <w:vAlign w:val="bottom"/>
          </w:tcPr>
          <w:p>
            <w:pPr>
              <w:spacing w:after="0"/>
              <w:rPr>
                <w:sz w:val="20"/>
                <w:szCs w:val="20"/>
                <w:color w:val="auto"/>
              </w:rPr>
            </w:pPr>
            <w:r>
              <w:rPr>
                <w:rFonts w:ascii="Arial" w:cs="Arial" w:eastAsia="Arial" w:hAnsi="Arial"/>
                <w:sz w:val="19"/>
                <w:szCs w:val="19"/>
                <w:color w:val="auto"/>
              </w:rPr>
              <w:t>*10.10</w:t>
            </w:r>
          </w:p>
        </w:tc>
        <w:tc>
          <w:tcPr>
            <w:tcW w:w="9660" w:type="dxa"/>
            <w:vAlign w:val="bottom"/>
          </w:tcPr>
          <w:p>
            <w:pPr>
              <w:ind w:left="140"/>
              <w:spacing w:after="0"/>
              <w:rPr>
                <w:sz w:val="20"/>
                <w:szCs w:val="20"/>
                <w:color w:val="auto"/>
              </w:rPr>
            </w:pPr>
            <w:r>
              <w:rPr>
                <w:rFonts w:ascii="Arial" w:cs="Arial" w:eastAsia="Arial" w:hAnsi="Arial"/>
                <w:sz w:val="19"/>
                <w:szCs w:val="19"/>
                <w:color w:val="auto"/>
              </w:rPr>
              <w:t>Form of Performance-Based Restricted Stock Unit Award Agreement for Employees (2025) under the Citi</w:t>
            </w:r>
          </w:p>
        </w:tc>
      </w:tr>
      <w:tr>
        <w:trPr>
          <w:trHeight w:val="218"/>
        </w:trPr>
        <w:tc>
          <w:tcPr>
            <w:tcW w:w="1140" w:type="dxa"/>
            <w:vAlign w:val="bottom"/>
          </w:tcPr>
          <w:p>
            <w:pPr>
              <w:spacing w:after="0"/>
              <w:rPr>
                <w:sz w:val="18"/>
                <w:szCs w:val="18"/>
                <w:color w:val="auto"/>
              </w:rPr>
            </w:pPr>
          </w:p>
        </w:tc>
        <w:tc>
          <w:tcPr>
            <w:tcW w:w="9660" w:type="dxa"/>
            <w:vAlign w:val="bottom"/>
          </w:tcPr>
          <w:p>
            <w:pPr>
              <w:ind w:left="140"/>
              <w:spacing w:after="0"/>
              <w:rPr>
                <w:sz w:val="20"/>
                <w:szCs w:val="20"/>
                <w:color w:val="auto"/>
              </w:rPr>
            </w:pPr>
            <w:r>
              <w:rPr>
                <w:rFonts w:ascii="Arial" w:cs="Arial" w:eastAsia="Arial" w:hAnsi="Arial"/>
                <w:sz w:val="19"/>
                <w:szCs w:val="19"/>
                <w:color w:val="auto"/>
                <w:w w:val="99"/>
              </w:rPr>
              <w:t>Trends, Inc. 2021 Incentive Plan (incorporated by reference to Exhibit 10.3 to the Company’s Quarterly Report on</w:t>
            </w:r>
          </w:p>
        </w:tc>
      </w:tr>
      <w:tr>
        <w:trPr>
          <w:trHeight w:val="256"/>
        </w:trPr>
        <w:tc>
          <w:tcPr>
            <w:tcW w:w="1140" w:type="dxa"/>
            <w:vAlign w:val="bottom"/>
          </w:tcPr>
          <w:p>
            <w:pPr>
              <w:spacing w:after="0"/>
              <w:rPr>
                <w:sz w:val="22"/>
                <w:szCs w:val="22"/>
                <w:color w:val="auto"/>
              </w:rPr>
            </w:pPr>
          </w:p>
        </w:tc>
        <w:tc>
          <w:tcPr>
            <w:tcW w:w="9660" w:type="dxa"/>
            <w:vAlign w:val="bottom"/>
          </w:tcPr>
          <w:p>
            <w:pPr>
              <w:ind w:left="140"/>
              <w:spacing w:after="0"/>
              <w:rPr>
                <w:sz w:val="20"/>
                <w:szCs w:val="20"/>
                <w:color w:val="auto"/>
              </w:rPr>
            </w:pPr>
            <w:r>
              <w:rPr>
                <w:rFonts w:ascii="Arial" w:cs="Arial" w:eastAsia="Arial" w:hAnsi="Arial"/>
                <w:sz w:val="19"/>
                <w:szCs w:val="19"/>
                <w:color w:val="auto"/>
              </w:rPr>
              <w:t>Form 10-Q filed with the SEC on September 10, 2025)</w:t>
            </w:r>
          </w:p>
        </w:tc>
      </w:tr>
      <w:tr>
        <w:trPr>
          <w:trHeight w:val="401"/>
        </w:trPr>
        <w:tc>
          <w:tcPr>
            <w:tcW w:w="1140" w:type="dxa"/>
            <w:vAlign w:val="bottom"/>
          </w:tcPr>
          <w:p>
            <w:pPr>
              <w:spacing w:after="0"/>
              <w:rPr>
                <w:sz w:val="20"/>
                <w:szCs w:val="20"/>
                <w:color w:val="auto"/>
              </w:rPr>
            </w:pPr>
            <w:r>
              <w:rPr>
                <w:rFonts w:ascii="Arial" w:cs="Arial" w:eastAsia="Arial" w:hAnsi="Arial"/>
                <w:sz w:val="19"/>
                <w:szCs w:val="19"/>
                <w:color w:val="auto"/>
              </w:rPr>
              <w:t>*10.11</w:t>
            </w:r>
          </w:p>
        </w:tc>
        <w:tc>
          <w:tcPr>
            <w:tcW w:w="9660" w:type="dxa"/>
            <w:vAlign w:val="bottom"/>
          </w:tcPr>
          <w:p>
            <w:pPr>
              <w:ind w:left="140"/>
              <w:spacing w:after="0"/>
              <w:rPr>
                <w:sz w:val="20"/>
                <w:szCs w:val="20"/>
                <w:color w:val="auto"/>
              </w:rPr>
            </w:pPr>
            <w:r>
              <w:rPr>
                <w:rFonts w:ascii="Arial" w:cs="Arial" w:eastAsia="Arial" w:hAnsi="Arial"/>
                <w:sz w:val="19"/>
                <w:szCs w:val="19"/>
                <w:color w:val="auto"/>
              </w:rPr>
              <w:t>Employment Non-Compete, Non-Solicit and Confidentiality Agreement between the Company and Lisa Powell</w:t>
            </w:r>
          </w:p>
        </w:tc>
      </w:tr>
      <w:tr>
        <w:trPr>
          <w:trHeight w:val="218"/>
        </w:trPr>
        <w:tc>
          <w:tcPr>
            <w:tcW w:w="1140" w:type="dxa"/>
            <w:vAlign w:val="bottom"/>
          </w:tcPr>
          <w:p>
            <w:pPr>
              <w:spacing w:after="0"/>
              <w:rPr>
                <w:sz w:val="18"/>
                <w:szCs w:val="18"/>
                <w:color w:val="auto"/>
              </w:rPr>
            </w:pPr>
          </w:p>
        </w:tc>
        <w:tc>
          <w:tcPr>
            <w:tcW w:w="9660" w:type="dxa"/>
            <w:vAlign w:val="bottom"/>
          </w:tcPr>
          <w:p>
            <w:pPr>
              <w:ind w:left="140"/>
              <w:spacing w:after="0"/>
              <w:rPr>
                <w:sz w:val="20"/>
                <w:szCs w:val="20"/>
                <w:color w:val="auto"/>
              </w:rPr>
            </w:pPr>
            <w:r>
              <w:rPr>
                <w:rFonts w:ascii="Arial" w:cs="Arial" w:eastAsia="Arial" w:hAnsi="Arial"/>
                <w:sz w:val="19"/>
                <w:szCs w:val="19"/>
                <w:color w:val="auto"/>
              </w:rPr>
              <w:t>dated August 16, 2019 (incorporated by reference to Exhibit 10.20 to the Company’s Annual Report on Form 10-</w:t>
            </w:r>
          </w:p>
        </w:tc>
      </w:tr>
      <w:tr>
        <w:trPr>
          <w:trHeight w:val="256"/>
        </w:trPr>
        <w:tc>
          <w:tcPr>
            <w:tcW w:w="1140" w:type="dxa"/>
            <w:vAlign w:val="bottom"/>
          </w:tcPr>
          <w:p>
            <w:pPr>
              <w:spacing w:after="0"/>
              <w:rPr>
                <w:sz w:val="22"/>
                <w:szCs w:val="22"/>
                <w:color w:val="auto"/>
              </w:rPr>
            </w:pPr>
          </w:p>
        </w:tc>
        <w:tc>
          <w:tcPr>
            <w:tcW w:w="9660" w:type="dxa"/>
            <w:vAlign w:val="bottom"/>
          </w:tcPr>
          <w:p>
            <w:pPr>
              <w:ind w:left="140"/>
              <w:spacing w:after="0"/>
              <w:rPr>
                <w:sz w:val="20"/>
                <w:szCs w:val="20"/>
                <w:color w:val="auto"/>
              </w:rPr>
            </w:pPr>
            <w:r>
              <w:rPr>
                <w:rFonts w:ascii="Arial" w:cs="Arial" w:eastAsia="Arial" w:hAnsi="Arial"/>
                <w:sz w:val="19"/>
                <w:szCs w:val="19"/>
                <w:color w:val="auto"/>
              </w:rPr>
              <w:t>K filed with the SEC on May 14, 2020)</w:t>
            </w:r>
          </w:p>
        </w:tc>
      </w:tr>
      <w:tr>
        <w:trPr>
          <w:trHeight w:val="388"/>
        </w:trPr>
        <w:tc>
          <w:tcPr>
            <w:tcW w:w="1140" w:type="dxa"/>
            <w:vAlign w:val="bottom"/>
          </w:tcPr>
          <w:p>
            <w:pPr>
              <w:spacing w:after="0"/>
              <w:rPr>
                <w:sz w:val="20"/>
                <w:szCs w:val="20"/>
                <w:color w:val="auto"/>
              </w:rPr>
            </w:pPr>
            <w:r>
              <w:rPr>
                <w:rFonts w:ascii="Arial" w:cs="Arial" w:eastAsia="Arial" w:hAnsi="Arial"/>
                <w:sz w:val="19"/>
                <w:szCs w:val="19"/>
                <w:color w:val="auto"/>
              </w:rPr>
              <w:t>*10.12</w:t>
            </w:r>
          </w:p>
        </w:tc>
        <w:tc>
          <w:tcPr>
            <w:tcW w:w="9660" w:type="dxa"/>
            <w:vAlign w:val="bottom"/>
          </w:tcPr>
          <w:p>
            <w:pPr>
              <w:ind w:left="140"/>
              <w:spacing w:after="0"/>
              <w:rPr>
                <w:sz w:val="20"/>
                <w:szCs w:val="20"/>
                <w:color w:val="auto"/>
              </w:rPr>
            </w:pPr>
            <w:r>
              <w:rPr>
                <w:rFonts w:ascii="Arial" w:cs="Arial" w:eastAsia="Arial" w:hAnsi="Arial"/>
                <w:sz w:val="19"/>
                <w:szCs w:val="19"/>
                <w:color w:val="auto"/>
              </w:rPr>
              <w:t>Severance Agreement between the Company and Lisa Powell dated August 16, 2019 (incorporated by reference</w:t>
            </w:r>
          </w:p>
        </w:tc>
      </w:tr>
      <w:tr>
        <w:trPr>
          <w:trHeight w:val="256"/>
        </w:trPr>
        <w:tc>
          <w:tcPr>
            <w:tcW w:w="1140" w:type="dxa"/>
            <w:vAlign w:val="bottom"/>
          </w:tcPr>
          <w:p>
            <w:pPr>
              <w:spacing w:after="0"/>
              <w:rPr>
                <w:sz w:val="22"/>
                <w:szCs w:val="22"/>
                <w:color w:val="auto"/>
              </w:rPr>
            </w:pPr>
          </w:p>
        </w:tc>
        <w:tc>
          <w:tcPr>
            <w:tcW w:w="9660" w:type="dxa"/>
            <w:vAlign w:val="bottom"/>
          </w:tcPr>
          <w:p>
            <w:pPr>
              <w:ind w:left="140"/>
              <w:spacing w:after="0"/>
              <w:rPr>
                <w:sz w:val="20"/>
                <w:szCs w:val="20"/>
                <w:color w:val="auto"/>
              </w:rPr>
            </w:pPr>
            <w:r>
              <w:rPr>
                <w:rFonts w:ascii="Arial" w:cs="Arial" w:eastAsia="Arial" w:hAnsi="Arial"/>
                <w:sz w:val="19"/>
                <w:szCs w:val="19"/>
                <w:color w:val="auto"/>
              </w:rPr>
              <w:t>to Exhibit 10.21 to the Company’s Annual Report on Form 10-K filed with the SEC on May 14, 2020)</w:t>
            </w:r>
          </w:p>
        </w:tc>
      </w:tr>
      <w:tr>
        <w:trPr>
          <w:trHeight w:val="389"/>
        </w:trPr>
        <w:tc>
          <w:tcPr>
            <w:tcW w:w="1140" w:type="dxa"/>
            <w:vAlign w:val="bottom"/>
          </w:tcPr>
          <w:p>
            <w:pPr>
              <w:spacing w:after="0"/>
              <w:rPr>
                <w:sz w:val="20"/>
                <w:szCs w:val="20"/>
                <w:color w:val="auto"/>
              </w:rPr>
            </w:pPr>
            <w:r>
              <w:rPr>
                <w:rFonts w:ascii="Arial" w:cs="Arial" w:eastAsia="Arial" w:hAnsi="Arial"/>
                <w:sz w:val="19"/>
                <w:szCs w:val="19"/>
                <w:color w:val="auto"/>
              </w:rPr>
              <w:t>*10.13</w:t>
            </w:r>
          </w:p>
        </w:tc>
        <w:tc>
          <w:tcPr>
            <w:tcW w:w="9660" w:type="dxa"/>
            <w:vAlign w:val="bottom"/>
          </w:tcPr>
          <w:p>
            <w:pPr>
              <w:ind w:left="140"/>
              <w:spacing w:after="0"/>
              <w:rPr>
                <w:sz w:val="20"/>
                <w:szCs w:val="20"/>
                <w:color w:val="auto"/>
              </w:rPr>
            </w:pPr>
            <w:r>
              <w:rPr>
                <w:rFonts w:ascii="Arial" w:cs="Arial" w:eastAsia="Arial" w:hAnsi="Arial"/>
                <w:sz w:val="19"/>
                <w:szCs w:val="19"/>
                <w:color w:val="auto"/>
              </w:rPr>
              <w:t>Employment Non-Compete, Non-Solicit and Confidentiality Agreement, dated as of June 27, 2022, between Citi</w:t>
            </w:r>
          </w:p>
        </w:tc>
      </w:tr>
      <w:tr>
        <w:trPr>
          <w:trHeight w:val="218"/>
        </w:trPr>
        <w:tc>
          <w:tcPr>
            <w:tcW w:w="1140" w:type="dxa"/>
            <w:vAlign w:val="bottom"/>
          </w:tcPr>
          <w:p>
            <w:pPr>
              <w:spacing w:after="0"/>
              <w:rPr>
                <w:sz w:val="18"/>
                <w:szCs w:val="18"/>
                <w:color w:val="auto"/>
              </w:rPr>
            </w:pPr>
          </w:p>
        </w:tc>
        <w:tc>
          <w:tcPr>
            <w:tcW w:w="9660" w:type="dxa"/>
            <w:vAlign w:val="bottom"/>
          </w:tcPr>
          <w:p>
            <w:pPr>
              <w:ind w:left="140"/>
              <w:spacing w:after="0"/>
              <w:rPr>
                <w:sz w:val="20"/>
                <w:szCs w:val="20"/>
                <w:color w:val="auto"/>
              </w:rPr>
            </w:pPr>
            <w:r>
              <w:rPr>
                <w:rFonts w:ascii="Arial" w:cs="Arial" w:eastAsia="Arial" w:hAnsi="Arial"/>
                <w:sz w:val="19"/>
                <w:szCs w:val="19"/>
                <w:color w:val="auto"/>
              </w:rPr>
              <w:t>Trends, Inc. and Heather Plutino (incorporated by reference to Exhibit 10.1 to the Company’s Current Report on</w:t>
            </w:r>
          </w:p>
        </w:tc>
      </w:tr>
      <w:tr>
        <w:trPr>
          <w:trHeight w:val="256"/>
        </w:trPr>
        <w:tc>
          <w:tcPr>
            <w:tcW w:w="1140" w:type="dxa"/>
            <w:vAlign w:val="bottom"/>
          </w:tcPr>
          <w:p>
            <w:pPr>
              <w:spacing w:after="0"/>
              <w:rPr>
                <w:sz w:val="22"/>
                <w:szCs w:val="22"/>
                <w:color w:val="auto"/>
              </w:rPr>
            </w:pPr>
          </w:p>
        </w:tc>
        <w:tc>
          <w:tcPr>
            <w:tcW w:w="9660" w:type="dxa"/>
            <w:vAlign w:val="bottom"/>
          </w:tcPr>
          <w:p>
            <w:pPr>
              <w:ind w:left="140"/>
              <w:spacing w:after="0"/>
              <w:rPr>
                <w:sz w:val="20"/>
                <w:szCs w:val="20"/>
                <w:color w:val="auto"/>
              </w:rPr>
            </w:pPr>
            <w:r>
              <w:rPr>
                <w:rFonts w:ascii="Arial" w:cs="Arial" w:eastAsia="Arial" w:hAnsi="Arial"/>
                <w:sz w:val="19"/>
                <w:szCs w:val="19"/>
                <w:color w:val="auto"/>
              </w:rPr>
              <w:t>Form 8-K filed with the SEC on June 16, 2022)</w:t>
            </w:r>
          </w:p>
        </w:tc>
      </w:tr>
      <w:tr>
        <w:trPr>
          <w:trHeight w:val="389"/>
        </w:trPr>
        <w:tc>
          <w:tcPr>
            <w:tcW w:w="1140" w:type="dxa"/>
            <w:vAlign w:val="bottom"/>
          </w:tcPr>
          <w:p>
            <w:pPr>
              <w:spacing w:after="0"/>
              <w:rPr>
                <w:sz w:val="20"/>
                <w:szCs w:val="20"/>
                <w:color w:val="auto"/>
              </w:rPr>
            </w:pPr>
            <w:r>
              <w:rPr>
                <w:rFonts w:ascii="Arial" w:cs="Arial" w:eastAsia="Arial" w:hAnsi="Arial"/>
                <w:sz w:val="19"/>
                <w:szCs w:val="19"/>
                <w:color w:val="auto"/>
              </w:rPr>
              <w:t>*10.14</w:t>
            </w:r>
          </w:p>
        </w:tc>
        <w:tc>
          <w:tcPr>
            <w:tcW w:w="9660" w:type="dxa"/>
            <w:vAlign w:val="bottom"/>
          </w:tcPr>
          <w:p>
            <w:pPr>
              <w:ind w:left="140"/>
              <w:spacing w:after="0"/>
              <w:rPr>
                <w:sz w:val="20"/>
                <w:szCs w:val="20"/>
                <w:color w:val="auto"/>
              </w:rPr>
            </w:pPr>
            <w:r>
              <w:rPr>
                <w:rFonts w:ascii="Arial" w:cs="Arial" w:eastAsia="Arial" w:hAnsi="Arial"/>
                <w:sz w:val="19"/>
                <w:szCs w:val="19"/>
                <w:color w:val="auto"/>
              </w:rPr>
              <w:t>Severance Agreement, dated as of June 27, 2022, between Citi Trends, Inc. and Heather Plutino (incorporated</w:t>
            </w:r>
          </w:p>
        </w:tc>
      </w:tr>
      <w:tr>
        <w:trPr>
          <w:trHeight w:val="256"/>
        </w:trPr>
        <w:tc>
          <w:tcPr>
            <w:tcW w:w="1140" w:type="dxa"/>
            <w:vAlign w:val="bottom"/>
          </w:tcPr>
          <w:p>
            <w:pPr>
              <w:spacing w:after="0"/>
              <w:rPr>
                <w:sz w:val="22"/>
                <w:szCs w:val="22"/>
                <w:color w:val="auto"/>
              </w:rPr>
            </w:pPr>
          </w:p>
        </w:tc>
        <w:tc>
          <w:tcPr>
            <w:tcW w:w="9660" w:type="dxa"/>
            <w:vAlign w:val="bottom"/>
          </w:tcPr>
          <w:p>
            <w:pPr>
              <w:ind w:left="140"/>
              <w:spacing w:after="0"/>
              <w:rPr>
                <w:sz w:val="20"/>
                <w:szCs w:val="20"/>
                <w:color w:val="auto"/>
              </w:rPr>
            </w:pPr>
            <w:r>
              <w:rPr>
                <w:rFonts w:ascii="Arial" w:cs="Arial" w:eastAsia="Arial" w:hAnsi="Arial"/>
                <w:sz w:val="19"/>
                <w:szCs w:val="19"/>
                <w:color w:val="auto"/>
              </w:rPr>
              <w:t>by reference to Exhibit 10.2 to the Company’s Current Report on Form 8-K filed with the SEC on June 16, 2022)</w:t>
            </w:r>
          </w:p>
        </w:tc>
      </w:tr>
      <w:tr>
        <w:trPr>
          <w:trHeight w:val="388"/>
        </w:trPr>
        <w:tc>
          <w:tcPr>
            <w:tcW w:w="1140" w:type="dxa"/>
            <w:vAlign w:val="bottom"/>
          </w:tcPr>
          <w:p>
            <w:pPr>
              <w:spacing w:after="0"/>
              <w:rPr>
                <w:sz w:val="20"/>
                <w:szCs w:val="20"/>
                <w:color w:val="auto"/>
              </w:rPr>
            </w:pPr>
            <w:r>
              <w:rPr>
                <w:rFonts w:ascii="Arial" w:cs="Arial" w:eastAsia="Arial" w:hAnsi="Arial"/>
                <w:sz w:val="19"/>
                <w:szCs w:val="19"/>
                <w:color w:val="auto"/>
              </w:rPr>
              <w:t>*10.15</w:t>
            </w:r>
          </w:p>
        </w:tc>
        <w:tc>
          <w:tcPr>
            <w:tcW w:w="9660" w:type="dxa"/>
            <w:vAlign w:val="bottom"/>
          </w:tcPr>
          <w:p>
            <w:pPr>
              <w:ind w:left="140"/>
              <w:spacing w:after="0"/>
              <w:rPr>
                <w:sz w:val="20"/>
                <w:szCs w:val="20"/>
                <w:color w:val="auto"/>
              </w:rPr>
            </w:pPr>
            <w:r>
              <w:rPr>
                <w:rFonts w:ascii="Arial" w:cs="Arial" w:eastAsia="Arial" w:hAnsi="Arial"/>
                <w:sz w:val="19"/>
                <w:szCs w:val="19"/>
                <w:color w:val="auto"/>
              </w:rPr>
              <w:t>Employment Non-Compete, Non-Solicit and Confidentiality Agreement, dated as of February 15, 2023, between</w:t>
            </w:r>
          </w:p>
        </w:tc>
      </w:tr>
      <w:tr>
        <w:trPr>
          <w:trHeight w:val="218"/>
        </w:trPr>
        <w:tc>
          <w:tcPr>
            <w:tcW w:w="1140" w:type="dxa"/>
            <w:vAlign w:val="bottom"/>
          </w:tcPr>
          <w:p>
            <w:pPr>
              <w:spacing w:after="0"/>
              <w:rPr>
                <w:sz w:val="18"/>
                <w:szCs w:val="18"/>
                <w:color w:val="auto"/>
              </w:rPr>
            </w:pPr>
          </w:p>
        </w:tc>
        <w:tc>
          <w:tcPr>
            <w:tcW w:w="9660" w:type="dxa"/>
            <w:vAlign w:val="bottom"/>
          </w:tcPr>
          <w:p>
            <w:pPr>
              <w:ind w:left="140"/>
              <w:spacing w:after="0"/>
              <w:rPr>
                <w:sz w:val="20"/>
                <w:szCs w:val="20"/>
                <w:color w:val="auto"/>
              </w:rPr>
            </w:pPr>
            <w:r>
              <w:rPr>
                <w:rFonts w:ascii="Arial" w:cs="Arial" w:eastAsia="Arial" w:hAnsi="Arial"/>
                <w:sz w:val="19"/>
                <w:szCs w:val="19"/>
                <w:color w:val="auto"/>
              </w:rPr>
              <w:t>Citi Trends, Inc. and Vivek Bhargava (incorporated by reference to Exhibit 10.1 to the Company’s Quarterly</w:t>
            </w:r>
          </w:p>
        </w:tc>
      </w:tr>
      <w:tr>
        <w:trPr>
          <w:trHeight w:val="256"/>
        </w:trPr>
        <w:tc>
          <w:tcPr>
            <w:tcW w:w="1140" w:type="dxa"/>
            <w:vAlign w:val="bottom"/>
          </w:tcPr>
          <w:p>
            <w:pPr>
              <w:spacing w:after="0"/>
              <w:rPr>
                <w:sz w:val="22"/>
                <w:szCs w:val="22"/>
                <w:color w:val="auto"/>
              </w:rPr>
            </w:pPr>
          </w:p>
        </w:tc>
        <w:tc>
          <w:tcPr>
            <w:tcW w:w="9660" w:type="dxa"/>
            <w:vAlign w:val="bottom"/>
          </w:tcPr>
          <w:p>
            <w:pPr>
              <w:ind w:left="140"/>
              <w:spacing w:after="0"/>
              <w:rPr>
                <w:sz w:val="20"/>
                <w:szCs w:val="20"/>
                <w:color w:val="auto"/>
              </w:rPr>
            </w:pPr>
            <w:r>
              <w:rPr>
                <w:rFonts w:ascii="Arial" w:cs="Arial" w:eastAsia="Arial" w:hAnsi="Arial"/>
                <w:sz w:val="19"/>
                <w:szCs w:val="19"/>
                <w:color w:val="auto"/>
              </w:rPr>
              <w:t>Report on Form 10-Q filed with the SEC on June 7, 2023)</w:t>
            </w:r>
          </w:p>
        </w:tc>
      </w:tr>
      <w:tr>
        <w:trPr>
          <w:trHeight w:val="400"/>
        </w:trPr>
        <w:tc>
          <w:tcPr>
            <w:tcW w:w="1140" w:type="dxa"/>
            <w:vAlign w:val="bottom"/>
          </w:tcPr>
          <w:p>
            <w:pPr>
              <w:spacing w:after="0"/>
              <w:rPr>
                <w:sz w:val="20"/>
                <w:szCs w:val="20"/>
                <w:color w:val="auto"/>
              </w:rPr>
            </w:pPr>
            <w:r>
              <w:rPr>
                <w:rFonts w:ascii="Arial" w:cs="Arial" w:eastAsia="Arial" w:hAnsi="Arial"/>
                <w:sz w:val="19"/>
                <w:szCs w:val="19"/>
                <w:color w:val="auto"/>
              </w:rPr>
              <w:t>*10.16</w:t>
            </w:r>
          </w:p>
        </w:tc>
        <w:tc>
          <w:tcPr>
            <w:tcW w:w="9660" w:type="dxa"/>
            <w:vAlign w:val="bottom"/>
          </w:tcPr>
          <w:p>
            <w:pPr>
              <w:ind w:left="140"/>
              <w:spacing w:after="0"/>
              <w:rPr>
                <w:sz w:val="20"/>
                <w:szCs w:val="20"/>
                <w:color w:val="auto"/>
              </w:rPr>
            </w:pPr>
            <w:r>
              <w:rPr>
                <w:rFonts w:ascii="Arial" w:cs="Arial" w:eastAsia="Arial" w:hAnsi="Arial"/>
                <w:sz w:val="19"/>
                <w:szCs w:val="19"/>
                <w:color w:val="auto"/>
              </w:rPr>
              <w:t>Severance Agreement, dated as of February 15, 2023, between Citi Trends, Inc. and Vivek Bhargava</w:t>
            </w:r>
          </w:p>
        </w:tc>
      </w:tr>
      <w:tr>
        <w:trPr>
          <w:trHeight w:val="220"/>
        </w:trPr>
        <w:tc>
          <w:tcPr>
            <w:tcW w:w="1140" w:type="dxa"/>
            <w:vAlign w:val="bottom"/>
          </w:tcPr>
          <w:p>
            <w:pPr>
              <w:spacing w:after="0"/>
              <w:rPr>
                <w:sz w:val="19"/>
                <w:szCs w:val="19"/>
                <w:color w:val="auto"/>
              </w:rPr>
            </w:pPr>
          </w:p>
        </w:tc>
        <w:tc>
          <w:tcPr>
            <w:tcW w:w="9660" w:type="dxa"/>
            <w:vAlign w:val="bottom"/>
          </w:tcPr>
          <w:p>
            <w:pPr>
              <w:ind w:left="140"/>
              <w:spacing w:after="0"/>
              <w:rPr>
                <w:sz w:val="20"/>
                <w:szCs w:val="20"/>
                <w:color w:val="auto"/>
              </w:rPr>
            </w:pPr>
            <w:r>
              <w:rPr>
                <w:rFonts w:ascii="Arial" w:cs="Arial" w:eastAsia="Arial" w:hAnsi="Arial"/>
                <w:sz w:val="19"/>
                <w:szCs w:val="19"/>
                <w:color w:val="auto"/>
              </w:rPr>
              <w:t>(incorporated by reference to Exhibit 10.2 to the Company’s Quarterly Report on Form 10-Q filed with the SEC</w:t>
            </w:r>
          </w:p>
        </w:tc>
      </w:tr>
      <w:tr>
        <w:trPr>
          <w:trHeight w:val="256"/>
        </w:trPr>
        <w:tc>
          <w:tcPr>
            <w:tcW w:w="1140" w:type="dxa"/>
            <w:vAlign w:val="bottom"/>
          </w:tcPr>
          <w:p>
            <w:pPr>
              <w:spacing w:after="0"/>
              <w:rPr>
                <w:sz w:val="22"/>
                <w:szCs w:val="22"/>
                <w:color w:val="auto"/>
              </w:rPr>
            </w:pPr>
          </w:p>
        </w:tc>
        <w:tc>
          <w:tcPr>
            <w:tcW w:w="9660" w:type="dxa"/>
            <w:vAlign w:val="bottom"/>
          </w:tcPr>
          <w:p>
            <w:pPr>
              <w:ind w:left="140"/>
              <w:spacing w:after="0"/>
              <w:rPr>
                <w:sz w:val="20"/>
                <w:szCs w:val="20"/>
                <w:color w:val="auto"/>
              </w:rPr>
            </w:pPr>
            <w:r>
              <w:rPr>
                <w:rFonts w:ascii="Arial" w:cs="Arial" w:eastAsia="Arial" w:hAnsi="Arial"/>
                <w:sz w:val="19"/>
                <w:szCs w:val="19"/>
                <w:color w:val="auto"/>
              </w:rPr>
              <w:t>on June 7, 2023)</w:t>
            </w:r>
          </w:p>
        </w:tc>
      </w:tr>
      <w:tr>
        <w:trPr>
          <w:trHeight w:val="388"/>
        </w:trPr>
        <w:tc>
          <w:tcPr>
            <w:tcW w:w="1140" w:type="dxa"/>
            <w:vAlign w:val="bottom"/>
          </w:tcPr>
          <w:p>
            <w:pPr>
              <w:spacing w:after="0"/>
              <w:rPr>
                <w:sz w:val="20"/>
                <w:szCs w:val="20"/>
                <w:color w:val="auto"/>
              </w:rPr>
            </w:pPr>
            <w:r>
              <w:rPr>
                <w:rFonts w:ascii="Arial" w:cs="Arial" w:eastAsia="Arial" w:hAnsi="Arial"/>
                <w:sz w:val="19"/>
                <w:szCs w:val="19"/>
                <w:color w:val="auto"/>
              </w:rPr>
              <w:t>*10.17</w:t>
            </w:r>
          </w:p>
        </w:tc>
        <w:tc>
          <w:tcPr>
            <w:tcW w:w="9660" w:type="dxa"/>
            <w:vAlign w:val="bottom"/>
          </w:tcPr>
          <w:p>
            <w:pPr>
              <w:ind w:left="140"/>
              <w:spacing w:after="0"/>
              <w:rPr>
                <w:sz w:val="20"/>
                <w:szCs w:val="20"/>
                <w:color w:val="auto"/>
              </w:rPr>
            </w:pPr>
            <w:r>
              <w:rPr>
                <w:rFonts w:ascii="Arial" w:cs="Arial" w:eastAsia="Arial" w:hAnsi="Arial"/>
                <w:sz w:val="19"/>
                <w:szCs w:val="19"/>
                <w:color w:val="auto"/>
              </w:rPr>
              <w:t>Employment Non-Compete, Non-Solicit and Confidentiality Agreement, dated as of March 24, 2018, between Citi</w:t>
            </w:r>
          </w:p>
        </w:tc>
      </w:tr>
      <w:tr>
        <w:trPr>
          <w:trHeight w:val="218"/>
        </w:trPr>
        <w:tc>
          <w:tcPr>
            <w:tcW w:w="1140" w:type="dxa"/>
            <w:vAlign w:val="bottom"/>
          </w:tcPr>
          <w:p>
            <w:pPr>
              <w:spacing w:after="0"/>
              <w:rPr>
                <w:sz w:val="18"/>
                <w:szCs w:val="18"/>
                <w:color w:val="auto"/>
              </w:rPr>
            </w:pPr>
          </w:p>
        </w:tc>
        <w:tc>
          <w:tcPr>
            <w:tcW w:w="9660" w:type="dxa"/>
            <w:vAlign w:val="bottom"/>
          </w:tcPr>
          <w:p>
            <w:pPr>
              <w:ind w:left="140"/>
              <w:spacing w:after="0"/>
              <w:rPr>
                <w:sz w:val="20"/>
                <w:szCs w:val="20"/>
                <w:color w:val="auto"/>
              </w:rPr>
            </w:pPr>
            <w:r>
              <w:rPr>
                <w:rFonts w:ascii="Arial" w:cs="Arial" w:eastAsia="Arial" w:hAnsi="Arial"/>
                <w:sz w:val="19"/>
                <w:szCs w:val="19"/>
                <w:color w:val="auto"/>
              </w:rPr>
              <w:t>Trends, Inc. and Kyle Koenig (incorporated by reference to Exhibit 10.1 to the Company’s Quarterly Report on</w:t>
            </w:r>
          </w:p>
        </w:tc>
      </w:tr>
      <w:tr>
        <w:trPr>
          <w:trHeight w:val="256"/>
        </w:trPr>
        <w:tc>
          <w:tcPr>
            <w:tcW w:w="1140" w:type="dxa"/>
            <w:vAlign w:val="bottom"/>
          </w:tcPr>
          <w:p>
            <w:pPr>
              <w:spacing w:after="0"/>
              <w:rPr>
                <w:sz w:val="22"/>
                <w:szCs w:val="22"/>
                <w:color w:val="auto"/>
              </w:rPr>
            </w:pPr>
          </w:p>
        </w:tc>
        <w:tc>
          <w:tcPr>
            <w:tcW w:w="9660" w:type="dxa"/>
            <w:vAlign w:val="bottom"/>
          </w:tcPr>
          <w:p>
            <w:pPr>
              <w:ind w:left="140"/>
              <w:spacing w:after="0"/>
              <w:rPr>
                <w:sz w:val="20"/>
                <w:szCs w:val="20"/>
                <w:color w:val="auto"/>
              </w:rPr>
            </w:pPr>
            <w:r>
              <w:rPr>
                <w:rFonts w:ascii="Arial" w:cs="Arial" w:eastAsia="Arial" w:hAnsi="Arial"/>
                <w:sz w:val="19"/>
                <w:szCs w:val="19"/>
                <w:color w:val="auto"/>
              </w:rPr>
              <w:t>Form 10-Q filed with the SEC on December 11, 2024)</w:t>
            </w:r>
          </w:p>
        </w:tc>
      </w:tr>
      <w:tr>
        <w:trPr>
          <w:trHeight w:val="389"/>
        </w:trPr>
        <w:tc>
          <w:tcPr>
            <w:tcW w:w="1140" w:type="dxa"/>
            <w:vAlign w:val="bottom"/>
          </w:tcPr>
          <w:p>
            <w:pPr>
              <w:spacing w:after="0"/>
              <w:rPr>
                <w:sz w:val="20"/>
                <w:szCs w:val="20"/>
                <w:color w:val="auto"/>
              </w:rPr>
            </w:pPr>
            <w:r>
              <w:rPr>
                <w:rFonts w:ascii="Arial" w:cs="Arial" w:eastAsia="Arial" w:hAnsi="Arial"/>
                <w:sz w:val="19"/>
                <w:szCs w:val="19"/>
                <w:color w:val="auto"/>
              </w:rPr>
              <w:t>*10.18</w:t>
            </w:r>
          </w:p>
        </w:tc>
        <w:tc>
          <w:tcPr>
            <w:tcW w:w="9660" w:type="dxa"/>
            <w:vAlign w:val="bottom"/>
          </w:tcPr>
          <w:p>
            <w:pPr>
              <w:ind w:left="140"/>
              <w:spacing w:after="0"/>
              <w:rPr>
                <w:sz w:val="20"/>
                <w:szCs w:val="20"/>
                <w:color w:val="auto"/>
              </w:rPr>
            </w:pPr>
            <w:r>
              <w:rPr>
                <w:rFonts w:ascii="Arial" w:cs="Arial" w:eastAsia="Arial" w:hAnsi="Arial"/>
                <w:sz w:val="19"/>
                <w:szCs w:val="19"/>
                <w:color w:val="auto"/>
              </w:rPr>
              <w:t>Severance Agreement, dated as of March 24, 2018, between Citi Trends, Inc. and Kyle Koenig (incorporated by</w:t>
            </w:r>
          </w:p>
        </w:tc>
      </w:tr>
      <w:tr>
        <w:trPr>
          <w:trHeight w:val="218"/>
        </w:trPr>
        <w:tc>
          <w:tcPr>
            <w:tcW w:w="1140" w:type="dxa"/>
            <w:vAlign w:val="bottom"/>
          </w:tcPr>
          <w:p>
            <w:pPr>
              <w:spacing w:after="0"/>
              <w:rPr>
                <w:sz w:val="18"/>
                <w:szCs w:val="18"/>
                <w:color w:val="auto"/>
              </w:rPr>
            </w:pPr>
          </w:p>
        </w:tc>
        <w:tc>
          <w:tcPr>
            <w:tcW w:w="9660" w:type="dxa"/>
            <w:vAlign w:val="bottom"/>
          </w:tcPr>
          <w:p>
            <w:pPr>
              <w:ind w:left="140"/>
              <w:spacing w:after="0"/>
              <w:rPr>
                <w:sz w:val="20"/>
                <w:szCs w:val="20"/>
                <w:color w:val="auto"/>
              </w:rPr>
            </w:pPr>
            <w:r>
              <w:rPr>
                <w:rFonts w:ascii="Arial" w:cs="Arial" w:eastAsia="Arial" w:hAnsi="Arial"/>
                <w:sz w:val="19"/>
                <w:szCs w:val="19"/>
                <w:color w:val="auto"/>
              </w:rPr>
              <w:t>reference to Exhibit 10.4 to the Company’s Quarterly Report on Form 10-Q filed with the SEC on September 11,</w:t>
            </w:r>
          </w:p>
        </w:tc>
      </w:tr>
      <w:tr>
        <w:trPr>
          <w:trHeight w:val="256"/>
        </w:trPr>
        <w:tc>
          <w:tcPr>
            <w:tcW w:w="1140" w:type="dxa"/>
            <w:vAlign w:val="bottom"/>
          </w:tcPr>
          <w:p>
            <w:pPr>
              <w:spacing w:after="0"/>
              <w:rPr>
                <w:sz w:val="22"/>
                <w:szCs w:val="22"/>
                <w:color w:val="auto"/>
              </w:rPr>
            </w:pPr>
          </w:p>
        </w:tc>
        <w:tc>
          <w:tcPr>
            <w:tcW w:w="9660" w:type="dxa"/>
            <w:vAlign w:val="bottom"/>
          </w:tcPr>
          <w:p>
            <w:pPr>
              <w:ind w:left="140"/>
              <w:spacing w:after="0"/>
              <w:rPr>
                <w:sz w:val="20"/>
                <w:szCs w:val="20"/>
                <w:color w:val="auto"/>
              </w:rPr>
            </w:pPr>
            <w:r>
              <w:rPr>
                <w:rFonts w:ascii="Arial" w:cs="Arial" w:eastAsia="Arial" w:hAnsi="Arial"/>
                <w:sz w:val="19"/>
                <w:szCs w:val="19"/>
                <w:color w:val="auto"/>
              </w:rPr>
              <w:t>2024)</w:t>
            </w:r>
          </w:p>
        </w:tc>
      </w:tr>
      <w:tr>
        <w:trPr>
          <w:trHeight w:val="400"/>
        </w:trPr>
        <w:tc>
          <w:tcPr>
            <w:tcW w:w="1140" w:type="dxa"/>
            <w:vAlign w:val="bottom"/>
          </w:tcPr>
          <w:p>
            <w:pPr>
              <w:spacing w:after="0"/>
              <w:rPr>
                <w:sz w:val="20"/>
                <w:szCs w:val="20"/>
                <w:color w:val="auto"/>
              </w:rPr>
            </w:pPr>
            <w:r>
              <w:rPr>
                <w:rFonts w:ascii="Arial" w:cs="Arial" w:eastAsia="Arial" w:hAnsi="Arial"/>
                <w:sz w:val="19"/>
                <w:szCs w:val="19"/>
                <w:color w:val="auto"/>
              </w:rPr>
              <w:t>*10.19</w:t>
            </w:r>
          </w:p>
        </w:tc>
        <w:tc>
          <w:tcPr>
            <w:tcW w:w="9660" w:type="dxa"/>
            <w:vAlign w:val="bottom"/>
          </w:tcPr>
          <w:p>
            <w:pPr>
              <w:ind w:left="140"/>
              <w:spacing w:after="0"/>
              <w:rPr>
                <w:sz w:val="20"/>
                <w:szCs w:val="20"/>
                <w:color w:val="auto"/>
              </w:rPr>
            </w:pPr>
            <w:r>
              <w:rPr>
                <w:rFonts w:ascii="Arial" w:cs="Arial" w:eastAsia="Arial" w:hAnsi="Arial"/>
                <w:sz w:val="19"/>
                <w:szCs w:val="19"/>
                <w:color w:val="auto"/>
              </w:rPr>
              <w:t>Employment Non-Compete, Non-Solicit and Confidentiality Agreement, dated as of September 6, 2024, between</w:t>
            </w:r>
          </w:p>
        </w:tc>
      </w:tr>
      <w:tr>
        <w:trPr>
          <w:trHeight w:val="218"/>
        </w:trPr>
        <w:tc>
          <w:tcPr>
            <w:tcW w:w="1140" w:type="dxa"/>
            <w:vAlign w:val="bottom"/>
          </w:tcPr>
          <w:p>
            <w:pPr>
              <w:spacing w:after="0"/>
              <w:rPr>
                <w:sz w:val="18"/>
                <w:szCs w:val="18"/>
                <w:color w:val="auto"/>
              </w:rPr>
            </w:pPr>
          </w:p>
        </w:tc>
        <w:tc>
          <w:tcPr>
            <w:tcW w:w="9660" w:type="dxa"/>
            <w:vAlign w:val="bottom"/>
          </w:tcPr>
          <w:p>
            <w:pPr>
              <w:ind w:left="140"/>
              <w:spacing w:after="0"/>
              <w:rPr>
                <w:sz w:val="20"/>
                <w:szCs w:val="20"/>
                <w:color w:val="auto"/>
              </w:rPr>
            </w:pPr>
            <w:r>
              <w:rPr>
                <w:rFonts w:ascii="Arial" w:cs="Arial" w:eastAsia="Arial" w:hAnsi="Arial"/>
                <w:sz w:val="19"/>
                <w:szCs w:val="19"/>
                <w:color w:val="auto"/>
              </w:rPr>
              <w:t>Citi Trends, Inc. and Katrina George (incorporated by reference to Exhibit 10.5 to the Company’s Quarterly</w:t>
            </w:r>
          </w:p>
        </w:tc>
      </w:tr>
      <w:tr>
        <w:trPr>
          <w:trHeight w:val="256"/>
        </w:trPr>
        <w:tc>
          <w:tcPr>
            <w:tcW w:w="1140" w:type="dxa"/>
            <w:vAlign w:val="bottom"/>
          </w:tcPr>
          <w:p>
            <w:pPr>
              <w:spacing w:after="0"/>
              <w:rPr>
                <w:sz w:val="22"/>
                <w:szCs w:val="22"/>
                <w:color w:val="auto"/>
              </w:rPr>
            </w:pPr>
          </w:p>
        </w:tc>
        <w:tc>
          <w:tcPr>
            <w:tcW w:w="9660" w:type="dxa"/>
            <w:vAlign w:val="bottom"/>
          </w:tcPr>
          <w:p>
            <w:pPr>
              <w:ind w:left="140"/>
              <w:spacing w:after="0"/>
              <w:rPr>
                <w:sz w:val="20"/>
                <w:szCs w:val="20"/>
                <w:color w:val="auto"/>
              </w:rPr>
            </w:pPr>
            <w:r>
              <w:rPr>
                <w:rFonts w:ascii="Arial" w:cs="Arial" w:eastAsia="Arial" w:hAnsi="Arial"/>
                <w:sz w:val="19"/>
                <w:szCs w:val="19"/>
                <w:color w:val="auto"/>
              </w:rPr>
              <w:t>Report on Form 10-Q filed with the SEC on September 11, 2024)</w:t>
            </w:r>
          </w:p>
        </w:tc>
      </w:tr>
      <w:tr>
        <w:trPr>
          <w:trHeight w:val="389"/>
        </w:trPr>
        <w:tc>
          <w:tcPr>
            <w:tcW w:w="1140" w:type="dxa"/>
            <w:vAlign w:val="bottom"/>
          </w:tcPr>
          <w:p>
            <w:pPr>
              <w:spacing w:after="0"/>
              <w:rPr>
                <w:sz w:val="20"/>
                <w:szCs w:val="20"/>
                <w:color w:val="auto"/>
              </w:rPr>
            </w:pPr>
            <w:r>
              <w:rPr>
                <w:rFonts w:ascii="Arial" w:cs="Arial" w:eastAsia="Arial" w:hAnsi="Arial"/>
                <w:sz w:val="19"/>
                <w:szCs w:val="19"/>
                <w:color w:val="auto"/>
              </w:rPr>
              <w:t>*10.20</w:t>
            </w:r>
          </w:p>
        </w:tc>
        <w:tc>
          <w:tcPr>
            <w:tcW w:w="9660" w:type="dxa"/>
            <w:vAlign w:val="bottom"/>
          </w:tcPr>
          <w:p>
            <w:pPr>
              <w:ind w:left="140"/>
              <w:spacing w:after="0"/>
              <w:rPr>
                <w:sz w:val="20"/>
                <w:szCs w:val="20"/>
                <w:color w:val="auto"/>
              </w:rPr>
            </w:pPr>
            <w:r>
              <w:rPr>
                <w:rFonts w:ascii="Arial" w:cs="Arial" w:eastAsia="Arial" w:hAnsi="Arial"/>
                <w:sz w:val="19"/>
                <w:szCs w:val="19"/>
                <w:color w:val="auto"/>
              </w:rPr>
              <w:t>Severance Agreement, dated as of September 6, 2024, between Citi Trends, Inc. and Katrina George</w:t>
            </w:r>
          </w:p>
        </w:tc>
      </w:tr>
      <w:tr>
        <w:trPr>
          <w:trHeight w:val="218"/>
        </w:trPr>
        <w:tc>
          <w:tcPr>
            <w:tcW w:w="1140" w:type="dxa"/>
            <w:vAlign w:val="bottom"/>
          </w:tcPr>
          <w:p>
            <w:pPr>
              <w:spacing w:after="0"/>
              <w:rPr>
                <w:sz w:val="18"/>
                <w:szCs w:val="18"/>
                <w:color w:val="auto"/>
              </w:rPr>
            </w:pPr>
          </w:p>
        </w:tc>
        <w:tc>
          <w:tcPr>
            <w:tcW w:w="9660" w:type="dxa"/>
            <w:vAlign w:val="bottom"/>
          </w:tcPr>
          <w:p>
            <w:pPr>
              <w:ind w:left="140"/>
              <w:spacing w:after="0"/>
              <w:rPr>
                <w:sz w:val="20"/>
                <w:szCs w:val="20"/>
                <w:color w:val="auto"/>
              </w:rPr>
            </w:pPr>
            <w:r>
              <w:rPr>
                <w:rFonts w:ascii="Arial" w:cs="Arial" w:eastAsia="Arial" w:hAnsi="Arial"/>
                <w:sz w:val="19"/>
                <w:szCs w:val="19"/>
                <w:color w:val="auto"/>
              </w:rPr>
              <w:t>(incorporated by reference to Exhibit 10.6 to the Company’s Quarterly Report on Form 10-Q filed with the SEC</w:t>
            </w:r>
          </w:p>
        </w:tc>
      </w:tr>
      <w:tr>
        <w:trPr>
          <w:trHeight w:val="256"/>
        </w:trPr>
        <w:tc>
          <w:tcPr>
            <w:tcW w:w="1140" w:type="dxa"/>
            <w:vAlign w:val="bottom"/>
          </w:tcPr>
          <w:p>
            <w:pPr>
              <w:spacing w:after="0"/>
              <w:rPr>
                <w:sz w:val="22"/>
                <w:szCs w:val="22"/>
                <w:color w:val="auto"/>
              </w:rPr>
            </w:pPr>
          </w:p>
        </w:tc>
        <w:tc>
          <w:tcPr>
            <w:tcW w:w="9660" w:type="dxa"/>
            <w:vAlign w:val="bottom"/>
          </w:tcPr>
          <w:p>
            <w:pPr>
              <w:ind w:left="140"/>
              <w:spacing w:after="0"/>
              <w:rPr>
                <w:sz w:val="20"/>
                <w:szCs w:val="20"/>
                <w:color w:val="auto"/>
              </w:rPr>
            </w:pPr>
            <w:r>
              <w:rPr>
                <w:rFonts w:ascii="Arial" w:cs="Arial" w:eastAsia="Arial" w:hAnsi="Arial"/>
                <w:sz w:val="19"/>
                <w:szCs w:val="19"/>
                <w:color w:val="auto"/>
              </w:rPr>
              <w:t>on September 11, 2024)</w:t>
            </w:r>
          </w:p>
        </w:tc>
      </w:tr>
      <w:tr>
        <w:trPr>
          <w:trHeight w:val="389"/>
        </w:trPr>
        <w:tc>
          <w:tcPr>
            <w:tcW w:w="1140" w:type="dxa"/>
            <w:vAlign w:val="bottom"/>
          </w:tcPr>
          <w:p>
            <w:pPr>
              <w:spacing w:after="0"/>
              <w:rPr>
                <w:sz w:val="20"/>
                <w:szCs w:val="20"/>
                <w:color w:val="auto"/>
              </w:rPr>
            </w:pPr>
            <w:r>
              <w:rPr>
                <w:rFonts w:ascii="Arial" w:cs="Arial" w:eastAsia="Arial" w:hAnsi="Arial"/>
                <w:sz w:val="19"/>
                <w:szCs w:val="19"/>
                <w:color w:val="auto"/>
              </w:rPr>
              <w:t>*10.21</w:t>
            </w:r>
          </w:p>
        </w:tc>
        <w:tc>
          <w:tcPr>
            <w:tcW w:w="9660" w:type="dxa"/>
            <w:vAlign w:val="bottom"/>
          </w:tcPr>
          <w:p>
            <w:pPr>
              <w:ind w:left="140"/>
              <w:spacing w:after="0"/>
              <w:rPr>
                <w:sz w:val="20"/>
                <w:szCs w:val="20"/>
                <w:color w:val="auto"/>
              </w:rPr>
            </w:pPr>
            <w:r>
              <w:rPr>
                <w:rFonts w:ascii="Arial" w:cs="Arial" w:eastAsia="Arial" w:hAnsi="Arial"/>
                <w:sz w:val="19"/>
                <w:szCs w:val="19"/>
                <w:color w:val="auto"/>
              </w:rPr>
              <w:t>Separation Agreement, dated May 31, 2024 to be effective as of June 1, 2024, between David N. Makuen and</w:t>
            </w:r>
          </w:p>
        </w:tc>
      </w:tr>
      <w:tr>
        <w:trPr>
          <w:trHeight w:val="218"/>
        </w:trPr>
        <w:tc>
          <w:tcPr>
            <w:tcW w:w="1140" w:type="dxa"/>
            <w:vAlign w:val="bottom"/>
          </w:tcPr>
          <w:p>
            <w:pPr>
              <w:spacing w:after="0"/>
              <w:rPr>
                <w:sz w:val="18"/>
                <w:szCs w:val="18"/>
                <w:color w:val="auto"/>
              </w:rPr>
            </w:pPr>
          </w:p>
        </w:tc>
        <w:tc>
          <w:tcPr>
            <w:tcW w:w="9660" w:type="dxa"/>
            <w:vAlign w:val="bottom"/>
          </w:tcPr>
          <w:p>
            <w:pPr>
              <w:ind w:left="140"/>
              <w:spacing w:after="0"/>
              <w:rPr>
                <w:sz w:val="20"/>
                <w:szCs w:val="20"/>
                <w:color w:val="auto"/>
              </w:rPr>
            </w:pPr>
            <w:r>
              <w:rPr>
                <w:rFonts w:ascii="Arial" w:cs="Arial" w:eastAsia="Arial" w:hAnsi="Arial"/>
                <w:sz w:val="19"/>
                <w:szCs w:val="19"/>
                <w:color w:val="auto"/>
              </w:rPr>
              <w:t>Citi Trends, Inc. (incorporated by reference to Exhibit 10.1 to the Company’s Current Report on Form 8-K filed</w:t>
            </w:r>
          </w:p>
        </w:tc>
      </w:tr>
      <w:tr>
        <w:trPr>
          <w:trHeight w:val="256"/>
        </w:trPr>
        <w:tc>
          <w:tcPr>
            <w:tcW w:w="1140" w:type="dxa"/>
            <w:vAlign w:val="bottom"/>
          </w:tcPr>
          <w:p>
            <w:pPr>
              <w:spacing w:after="0"/>
              <w:rPr>
                <w:sz w:val="22"/>
                <w:szCs w:val="22"/>
                <w:color w:val="auto"/>
              </w:rPr>
            </w:pPr>
          </w:p>
        </w:tc>
        <w:tc>
          <w:tcPr>
            <w:tcW w:w="9660" w:type="dxa"/>
            <w:vAlign w:val="bottom"/>
          </w:tcPr>
          <w:p>
            <w:pPr>
              <w:ind w:left="140"/>
              <w:spacing w:after="0"/>
              <w:rPr>
                <w:sz w:val="20"/>
                <w:szCs w:val="20"/>
                <w:color w:val="auto"/>
              </w:rPr>
            </w:pPr>
            <w:r>
              <w:rPr>
                <w:rFonts w:ascii="Arial" w:cs="Arial" w:eastAsia="Arial" w:hAnsi="Arial"/>
                <w:sz w:val="19"/>
                <w:szCs w:val="19"/>
                <w:color w:val="auto"/>
              </w:rPr>
              <w:t>with the SEC on May 31, 2024)</w:t>
            </w:r>
          </w:p>
        </w:tc>
      </w:tr>
      <w:tr>
        <w:trPr>
          <w:trHeight w:val="388"/>
        </w:trPr>
        <w:tc>
          <w:tcPr>
            <w:tcW w:w="1140" w:type="dxa"/>
            <w:vAlign w:val="bottom"/>
          </w:tcPr>
          <w:p>
            <w:pPr>
              <w:spacing w:after="0"/>
              <w:rPr>
                <w:sz w:val="20"/>
                <w:szCs w:val="20"/>
                <w:color w:val="auto"/>
              </w:rPr>
            </w:pPr>
            <w:r>
              <w:rPr>
                <w:rFonts w:ascii="Arial" w:cs="Arial" w:eastAsia="Arial" w:hAnsi="Arial"/>
                <w:sz w:val="19"/>
                <w:szCs w:val="19"/>
                <w:color w:val="auto"/>
              </w:rPr>
              <w:t>*10.22</w:t>
            </w:r>
          </w:p>
        </w:tc>
        <w:tc>
          <w:tcPr>
            <w:tcW w:w="9660" w:type="dxa"/>
            <w:vAlign w:val="bottom"/>
          </w:tcPr>
          <w:p>
            <w:pPr>
              <w:ind w:left="140"/>
              <w:spacing w:after="0"/>
              <w:rPr>
                <w:sz w:val="20"/>
                <w:szCs w:val="20"/>
                <w:color w:val="auto"/>
              </w:rPr>
            </w:pPr>
            <w:r>
              <w:rPr>
                <w:rFonts w:ascii="Arial" w:cs="Arial" w:eastAsia="Arial" w:hAnsi="Arial"/>
                <w:sz w:val="19"/>
                <w:szCs w:val="19"/>
                <w:color w:val="auto"/>
                <w:w w:val="99"/>
              </w:rPr>
              <w:t>Employment Non-Compete, Non-Solicit and Confidentiality Agreement, dated as of November 18, 2024, between</w:t>
            </w:r>
          </w:p>
        </w:tc>
      </w:tr>
      <w:tr>
        <w:trPr>
          <w:trHeight w:val="218"/>
        </w:trPr>
        <w:tc>
          <w:tcPr>
            <w:tcW w:w="1140" w:type="dxa"/>
            <w:vAlign w:val="bottom"/>
          </w:tcPr>
          <w:p>
            <w:pPr>
              <w:spacing w:after="0"/>
              <w:rPr>
                <w:sz w:val="18"/>
                <w:szCs w:val="18"/>
                <w:color w:val="auto"/>
              </w:rPr>
            </w:pPr>
          </w:p>
        </w:tc>
        <w:tc>
          <w:tcPr>
            <w:tcW w:w="9660" w:type="dxa"/>
            <w:vAlign w:val="bottom"/>
          </w:tcPr>
          <w:p>
            <w:pPr>
              <w:ind w:left="140"/>
              <w:spacing w:after="0"/>
              <w:rPr>
                <w:sz w:val="20"/>
                <w:szCs w:val="20"/>
                <w:color w:val="auto"/>
              </w:rPr>
            </w:pPr>
            <w:r>
              <w:rPr>
                <w:rFonts w:ascii="Arial" w:cs="Arial" w:eastAsia="Arial" w:hAnsi="Arial"/>
                <w:sz w:val="19"/>
                <w:szCs w:val="19"/>
                <w:color w:val="auto"/>
              </w:rPr>
              <w:t>Citi Trends, Inc. and Kenneth D. Seipel (incorporated by reference to Exhibit 10.24 to the Company’s Annual</w:t>
            </w:r>
          </w:p>
        </w:tc>
      </w:tr>
      <w:tr>
        <w:trPr>
          <w:trHeight w:val="256"/>
        </w:trPr>
        <w:tc>
          <w:tcPr>
            <w:tcW w:w="1140" w:type="dxa"/>
            <w:vAlign w:val="bottom"/>
          </w:tcPr>
          <w:p>
            <w:pPr>
              <w:spacing w:after="0"/>
              <w:rPr>
                <w:sz w:val="22"/>
                <w:szCs w:val="22"/>
                <w:color w:val="auto"/>
              </w:rPr>
            </w:pPr>
          </w:p>
        </w:tc>
        <w:tc>
          <w:tcPr>
            <w:tcW w:w="9660" w:type="dxa"/>
            <w:vAlign w:val="bottom"/>
          </w:tcPr>
          <w:p>
            <w:pPr>
              <w:ind w:left="140"/>
              <w:spacing w:after="0"/>
              <w:rPr>
                <w:sz w:val="20"/>
                <w:szCs w:val="20"/>
                <w:color w:val="auto"/>
              </w:rPr>
            </w:pPr>
            <w:r>
              <w:rPr>
                <w:rFonts w:ascii="Arial" w:cs="Arial" w:eastAsia="Arial" w:hAnsi="Arial"/>
                <w:sz w:val="19"/>
                <w:szCs w:val="19"/>
                <w:color w:val="auto"/>
              </w:rPr>
              <w:t>Report on Form 10-K filed with the SEC on April 16, 2025)</w:t>
            </w:r>
          </w:p>
        </w:tc>
      </w:tr>
    </w:tbl>
    <w:p>
      <w:pPr>
        <w:spacing w:after="0" w:line="200" w:lineRule="exact"/>
        <w:rPr>
          <w:sz w:val="20"/>
          <w:szCs w:val="20"/>
          <w:color w:val="auto"/>
        </w:rPr>
      </w:pPr>
    </w:p>
    <w:p>
      <w:pPr>
        <w:sectPr>
          <w:pgSz w:w="11880" w:h="15480" w:orient="portrait"/>
          <w:cols w:equalWidth="0" w:num="1">
            <w:col w:w="10800"/>
          </w:cols>
          <w:pgMar w:left="540" w:top="804" w:right="540" w:bottom="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ectPr>
          <w:pgSz w:w="11880" w:h="15480" w:orient="portrait"/>
          <w:cols w:equalWidth="0" w:num="1">
            <w:col w:w="10800"/>
          </w:cols>
          <w:pgMar w:left="540" w:top="804" w:right="540" w:bottom="16" w:gutter="0" w:footer="0" w:header="0"/>
          <w:type w:val="continuous"/>
        </w:sectPr>
      </w:pPr>
    </w:p>
    <w:bookmarkStart w:id="53" w:name="page54"/>
    <w:bookmarkEnd w:id="53"/>
    <w:tbl>
      <w:tblPr>
        <w:tblLayout w:type="fixed"/>
        <w:tblInd w:w="0" w:type="dxa"/>
        <w:tblCellMar>
          <w:top w:w="0" w:type="dxa"/>
          <w:left w:w="0" w:type="dxa"/>
          <w:bottom w:w="0" w:type="dxa"/>
          <w:right w:w="0" w:type="dxa"/>
        </w:tblCellMar>
      </w:tblPr>
      <w:tr>
        <w:trPr>
          <w:trHeight w:val="270"/>
        </w:trPr>
        <w:tc>
          <w:tcPr>
            <w:tcW w:w="1140" w:type="dxa"/>
            <w:vAlign w:val="bottom"/>
          </w:tcPr>
          <w:p>
            <w:pPr>
              <w:spacing w:after="0"/>
              <w:rPr>
                <w:sz w:val="20"/>
                <w:szCs w:val="20"/>
                <w:color w:val="auto"/>
              </w:rPr>
            </w:pPr>
            <w:r>
              <w:rPr>
                <w:rFonts w:ascii="Arial" w:cs="Arial" w:eastAsia="Arial" w:hAnsi="Arial"/>
                <w:sz w:val="19"/>
                <w:szCs w:val="19"/>
                <w:b w:val="1"/>
                <w:bCs w:val="1"/>
                <w:color w:val="auto"/>
              </w:rPr>
              <w:t>Exhibit No.</w:t>
            </w:r>
          </w:p>
        </w:tc>
        <w:tc>
          <w:tcPr>
            <w:tcW w:w="9620" w:type="dxa"/>
            <w:vAlign w:val="bottom"/>
          </w:tcPr>
          <w:p>
            <w:pPr>
              <w:ind w:left="4380"/>
              <w:spacing w:after="0"/>
              <w:rPr>
                <w:sz w:val="20"/>
                <w:szCs w:val="20"/>
                <w:color w:val="auto"/>
              </w:rPr>
            </w:pPr>
            <w:r>
              <w:rPr>
                <w:rFonts w:ascii="Arial" w:cs="Arial" w:eastAsia="Arial" w:hAnsi="Arial"/>
                <w:sz w:val="19"/>
                <w:szCs w:val="19"/>
                <w:b w:val="1"/>
                <w:bCs w:val="1"/>
                <w:color w:val="auto"/>
              </w:rPr>
              <w:t>Description</w:t>
            </w:r>
          </w:p>
        </w:tc>
      </w:tr>
      <w:tr>
        <w:trPr>
          <w:trHeight w:val="330"/>
        </w:trPr>
        <w:tc>
          <w:tcPr>
            <w:tcW w:w="1140" w:type="dxa"/>
            <w:vAlign w:val="bottom"/>
          </w:tcPr>
          <w:p>
            <w:pPr>
              <w:spacing w:after="0"/>
              <w:rPr>
                <w:sz w:val="20"/>
                <w:szCs w:val="20"/>
                <w:color w:val="auto"/>
              </w:rPr>
            </w:pPr>
            <w:r>
              <w:rPr>
                <w:rFonts w:ascii="Arial" w:cs="Arial" w:eastAsia="Arial" w:hAnsi="Arial"/>
                <w:sz w:val="19"/>
                <w:szCs w:val="19"/>
                <w:color w:val="auto"/>
              </w:rPr>
              <w:t>*10.23</w:t>
            </w:r>
          </w:p>
        </w:tc>
        <w:tc>
          <w:tcPr>
            <w:tcW w:w="9620" w:type="dxa"/>
            <w:vAlign w:val="bottom"/>
          </w:tcPr>
          <w:p>
            <w:pPr>
              <w:ind w:left="140"/>
              <w:spacing w:after="0"/>
              <w:rPr>
                <w:sz w:val="20"/>
                <w:szCs w:val="20"/>
                <w:color w:val="auto"/>
              </w:rPr>
            </w:pPr>
            <w:r>
              <w:rPr>
                <w:rFonts w:ascii="Arial" w:cs="Arial" w:eastAsia="Arial" w:hAnsi="Arial"/>
                <w:sz w:val="19"/>
                <w:szCs w:val="19"/>
                <w:color w:val="auto"/>
              </w:rPr>
              <w:t>Severance Agreement, dated as of November 18, 2024, between Citi Trends, Inc. and Kenneth D. Seipel</w:t>
            </w:r>
          </w:p>
        </w:tc>
      </w:tr>
      <w:tr>
        <w:trPr>
          <w:trHeight w:val="218"/>
        </w:trPr>
        <w:tc>
          <w:tcPr>
            <w:tcW w:w="1140" w:type="dxa"/>
            <w:vAlign w:val="bottom"/>
          </w:tcPr>
          <w:p>
            <w:pPr>
              <w:spacing w:after="0"/>
              <w:rPr>
                <w:sz w:val="18"/>
                <w:szCs w:val="18"/>
                <w:color w:val="auto"/>
              </w:rPr>
            </w:pPr>
          </w:p>
        </w:tc>
        <w:tc>
          <w:tcPr>
            <w:tcW w:w="9620" w:type="dxa"/>
            <w:vAlign w:val="bottom"/>
          </w:tcPr>
          <w:p>
            <w:pPr>
              <w:ind w:left="140"/>
              <w:spacing w:after="0"/>
              <w:rPr>
                <w:sz w:val="20"/>
                <w:szCs w:val="20"/>
                <w:color w:val="auto"/>
              </w:rPr>
            </w:pPr>
            <w:r>
              <w:rPr>
                <w:rFonts w:ascii="Arial" w:cs="Arial" w:eastAsia="Arial" w:hAnsi="Arial"/>
                <w:sz w:val="19"/>
                <w:szCs w:val="19"/>
                <w:color w:val="auto"/>
              </w:rPr>
              <w:t>(incorporated by reference to Exhibit 10.25 to the Company’s Annual Report on Form 10-K filed with the SEC on</w:t>
            </w:r>
          </w:p>
        </w:tc>
      </w:tr>
      <w:tr>
        <w:trPr>
          <w:trHeight w:val="256"/>
        </w:trPr>
        <w:tc>
          <w:tcPr>
            <w:tcW w:w="1140" w:type="dxa"/>
            <w:vAlign w:val="bottom"/>
          </w:tcPr>
          <w:p>
            <w:pPr>
              <w:spacing w:after="0"/>
              <w:rPr>
                <w:sz w:val="22"/>
                <w:szCs w:val="22"/>
                <w:color w:val="auto"/>
              </w:rPr>
            </w:pPr>
          </w:p>
        </w:tc>
        <w:tc>
          <w:tcPr>
            <w:tcW w:w="9620" w:type="dxa"/>
            <w:vAlign w:val="bottom"/>
          </w:tcPr>
          <w:p>
            <w:pPr>
              <w:ind w:left="140"/>
              <w:spacing w:after="0"/>
              <w:rPr>
                <w:sz w:val="20"/>
                <w:szCs w:val="20"/>
                <w:color w:val="auto"/>
              </w:rPr>
            </w:pPr>
            <w:r>
              <w:rPr>
                <w:rFonts w:ascii="Arial" w:cs="Arial" w:eastAsia="Arial" w:hAnsi="Arial"/>
                <w:sz w:val="19"/>
                <w:szCs w:val="19"/>
                <w:color w:val="auto"/>
              </w:rPr>
              <w:t>April 16, 2025)</w:t>
            </w:r>
          </w:p>
        </w:tc>
      </w:tr>
      <w:tr>
        <w:trPr>
          <w:trHeight w:val="389"/>
        </w:trPr>
        <w:tc>
          <w:tcPr>
            <w:tcW w:w="1140" w:type="dxa"/>
            <w:vAlign w:val="bottom"/>
          </w:tcPr>
          <w:p>
            <w:pPr>
              <w:spacing w:after="0"/>
              <w:rPr>
                <w:sz w:val="20"/>
                <w:szCs w:val="20"/>
                <w:color w:val="auto"/>
              </w:rPr>
            </w:pPr>
            <w:r>
              <w:rPr>
                <w:rFonts w:ascii="Arial" w:cs="Arial" w:eastAsia="Arial" w:hAnsi="Arial"/>
                <w:sz w:val="19"/>
                <w:szCs w:val="19"/>
                <w:color w:val="auto"/>
              </w:rPr>
              <w:t>*10.24</w:t>
            </w:r>
          </w:p>
        </w:tc>
        <w:tc>
          <w:tcPr>
            <w:tcW w:w="9620" w:type="dxa"/>
            <w:vAlign w:val="bottom"/>
          </w:tcPr>
          <w:p>
            <w:pPr>
              <w:ind w:left="140"/>
              <w:spacing w:after="0"/>
              <w:rPr>
                <w:sz w:val="20"/>
                <w:szCs w:val="20"/>
                <w:color w:val="auto"/>
              </w:rPr>
            </w:pPr>
            <w:r>
              <w:rPr>
                <w:rFonts w:ascii="Arial" w:cs="Arial" w:eastAsia="Arial" w:hAnsi="Arial"/>
                <w:sz w:val="19"/>
                <w:szCs w:val="19"/>
                <w:color w:val="auto"/>
              </w:rPr>
              <w:t>Performance-Based Restricted Stock Award Agreement, dated as of November 18, 2024, between Citi Trends,</w:t>
            </w:r>
          </w:p>
        </w:tc>
      </w:tr>
      <w:tr>
        <w:trPr>
          <w:trHeight w:val="218"/>
        </w:trPr>
        <w:tc>
          <w:tcPr>
            <w:tcW w:w="1140" w:type="dxa"/>
            <w:vAlign w:val="bottom"/>
          </w:tcPr>
          <w:p>
            <w:pPr>
              <w:spacing w:after="0"/>
              <w:rPr>
                <w:sz w:val="18"/>
                <w:szCs w:val="18"/>
                <w:color w:val="auto"/>
              </w:rPr>
            </w:pPr>
          </w:p>
        </w:tc>
        <w:tc>
          <w:tcPr>
            <w:tcW w:w="9620" w:type="dxa"/>
            <w:vAlign w:val="bottom"/>
          </w:tcPr>
          <w:p>
            <w:pPr>
              <w:ind w:left="140"/>
              <w:spacing w:after="0"/>
              <w:rPr>
                <w:sz w:val="20"/>
                <w:szCs w:val="20"/>
                <w:color w:val="auto"/>
              </w:rPr>
            </w:pPr>
            <w:r>
              <w:rPr>
                <w:rFonts w:ascii="Arial" w:cs="Arial" w:eastAsia="Arial" w:hAnsi="Arial"/>
                <w:sz w:val="19"/>
                <w:szCs w:val="19"/>
                <w:color w:val="auto"/>
                <w:w w:val="99"/>
              </w:rPr>
              <w:t>Inc. and Kenneth D. Seipel (incorporated by reference to Exhibit 10.26 to the Company’s Annual Report on Form</w:t>
            </w:r>
          </w:p>
        </w:tc>
      </w:tr>
      <w:tr>
        <w:trPr>
          <w:trHeight w:val="256"/>
        </w:trPr>
        <w:tc>
          <w:tcPr>
            <w:tcW w:w="1140" w:type="dxa"/>
            <w:vAlign w:val="bottom"/>
          </w:tcPr>
          <w:p>
            <w:pPr>
              <w:spacing w:after="0"/>
              <w:rPr>
                <w:sz w:val="22"/>
                <w:szCs w:val="22"/>
                <w:color w:val="auto"/>
              </w:rPr>
            </w:pPr>
          </w:p>
        </w:tc>
        <w:tc>
          <w:tcPr>
            <w:tcW w:w="9620" w:type="dxa"/>
            <w:vAlign w:val="bottom"/>
          </w:tcPr>
          <w:p>
            <w:pPr>
              <w:ind w:left="140"/>
              <w:spacing w:after="0"/>
              <w:rPr>
                <w:sz w:val="20"/>
                <w:szCs w:val="20"/>
                <w:color w:val="auto"/>
              </w:rPr>
            </w:pPr>
            <w:r>
              <w:rPr>
                <w:rFonts w:ascii="Arial" w:cs="Arial" w:eastAsia="Arial" w:hAnsi="Arial"/>
                <w:sz w:val="19"/>
                <w:szCs w:val="19"/>
                <w:color w:val="auto"/>
              </w:rPr>
              <w:t>10-K filed with the SEC on April 16, 2025)</w:t>
            </w:r>
          </w:p>
        </w:tc>
      </w:tr>
      <w:tr>
        <w:trPr>
          <w:trHeight w:val="389"/>
        </w:trPr>
        <w:tc>
          <w:tcPr>
            <w:tcW w:w="1140" w:type="dxa"/>
            <w:vAlign w:val="bottom"/>
          </w:tcPr>
          <w:p>
            <w:pPr>
              <w:spacing w:after="0"/>
              <w:rPr>
                <w:sz w:val="20"/>
                <w:szCs w:val="20"/>
                <w:color w:val="auto"/>
              </w:rPr>
            </w:pPr>
            <w:r>
              <w:rPr>
                <w:rFonts w:ascii="Arial" w:cs="Arial" w:eastAsia="Arial" w:hAnsi="Arial"/>
                <w:sz w:val="19"/>
                <w:szCs w:val="19"/>
                <w:color w:val="auto"/>
              </w:rPr>
              <w:t>10.25</w:t>
            </w:r>
          </w:p>
        </w:tc>
        <w:tc>
          <w:tcPr>
            <w:tcW w:w="9620" w:type="dxa"/>
            <w:vAlign w:val="bottom"/>
          </w:tcPr>
          <w:p>
            <w:pPr>
              <w:ind w:left="140"/>
              <w:spacing w:after="0"/>
              <w:rPr>
                <w:sz w:val="20"/>
                <w:szCs w:val="20"/>
                <w:color w:val="auto"/>
              </w:rPr>
            </w:pPr>
            <w:r>
              <w:rPr>
                <w:rFonts w:ascii="Arial" w:cs="Arial" w:eastAsia="Arial" w:hAnsi="Arial"/>
                <w:sz w:val="19"/>
                <w:szCs w:val="19"/>
                <w:color w:val="auto"/>
              </w:rPr>
              <w:t>Agreement for Purchase and Sale of Real Property, dated as of March 14, 2022, between Citi Trends, Inc. and</w:t>
            </w:r>
          </w:p>
        </w:tc>
      </w:tr>
      <w:tr>
        <w:trPr>
          <w:trHeight w:val="218"/>
        </w:trPr>
        <w:tc>
          <w:tcPr>
            <w:tcW w:w="1140" w:type="dxa"/>
            <w:vAlign w:val="bottom"/>
          </w:tcPr>
          <w:p>
            <w:pPr>
              <w:spacing w:after="0"/>
              <w:rPr>
                <w:sz w:val="18"/>
                <w:szCs w:val="18"/>
                <w:color w:val="auto"/>
              </w:rPr>
            </w:pPr>
          </w:p>
        </w:tc>
        <w:tc>
          <w:tcPr>
            <w:tcW w:w="9620" w:type="dxa"/>
            <w:vAlign w:val="bottom"/>
          </w:tcPr>
          <w:p>
            <w:pPr>
              <w:ind w:left="140"/>
              <w:spacing w:after="0"/>
              <w:rPr>
                <w:sz w:val="20"/>
                <w:szCs w:val="20"/>
                <w:color w:val="auto"/>
              </w:rPr>
            </w:pPr>
            <w:r>
              <w:rPr>
                <w:rFonts w:ascii="Arial" w:cs="Arial" w:eastAsia="Arial" w:hAnsi="Arial"/>
                <w:sz w:val="19"/>
                <w:szCs w:val="19"/>
                <w:color w:val="auto"/>
              </w:rPr>
              <w:t>an affiliate of Oak Street Real Estate Capital, LLC (incorporated by reference to Exhibit 10.2 to the Company’s</w:t>
            </w:r>
          </w:p>
        </w:tc>
      </w:tr>
      <w:tr>
        <w:trPr>
          <w:trHeight w:val="256"/>
        </w:trPr>
        <w:tc>
          <w:tcPr>
            <w:tcW w:w="1140" w:type="dxa"/>
            <w:vAlign w:val="bottom"/>
          </w:tcPr>
          <w:p>
            <w:pPr>
              <w:spacing w:after="0"/>
              <w:rPr>
                <w:sz w:val="22"/>
                <w:szCs w:val="22"/>
                <w:color w:val="auto"/>
              </w:rPr>
            </w:pPr>
          </w:p>
        </w:tc>
        <w:tc>
          <w:tcPr>
            <w:tcW w:w="9620" w:type="dxa"/>
            <w:vAlign w:val="bottom"/>
          </w:tcPr>
          <w:p>
            <w:pPr>
              <w:ind w:left="140"/>
              <w:spacing w:after="0"/>
              <w:rPr>
                <w:sz w:val="20"/>
                <w:szCs w:val="20"/>
                <w:color w:val="auto"/>
              </w:rPr>
            </w:pPr>
            <w:r>
              <w:rPr>
                <w:rFonts w:ascii="Arial" w:cs="Arial" w:eastAsia="Arial" w:hAnsi="Arial"/>
                <w:sz w:val="19"/>
                <w:szCs w:val="19"/>
                <w:color w:val="auto"/>
              </w:rPr>
              <w:t>Quarterly Report on Form 10-Q filed with the SEC on June 9, 2022)</w:t>
            </w:r>
          </w:p>
        </w:tc>
      </w:tr>
      <w:tr>
        <w:trPr>
          <w:trHeight w:val="388"/>
        </w:trPr>
        <w:tc>
          <w:tcPr>
            <w:tcW w:w="1140" w:type="dxa"/>
            <w:vAlign w:val="bottom"/>
          </w:tcPr>
          <w:p>
            <w:pPr>
              <w:spacing w:after="0"/>
              <w:rPr>
                <w:sz w:val="20"/>
                <w:szCs w:val="20"/>
                <w:color w:val="auto"/>
              </w:rPr>
            </w:pPr>
            <w:r>
              <w:rPr>
                <w:rFonts w:ascii="Arial" w:cs="Arial" w:eastAsia="Arial" w:hAnsi="Arial"/>
                <w:sz w:val="19"/>
                <w:szCs w:val="19"/>
                <w:color w:val="auto"/>
              </w:rPr>
              <w:t>10.26</w:t>
            </w:r>
          </w:p>
        </w:tc>
        <w:tc>
          <w:tcPr>
            <w:tcW w:w="9620" w:type="dxa"/>
            <w:vAlign w:val="bottom"/>
          </w:tcPr>
          <w:p>
            <w:pPr>
              <w:ind w:left="140"/>
              <w:spacing w:after="0"/>
              <w:rPr>
                <w:sz w:val="20"/>
                <w:szCs w:val="20"/>
                <w:color w:val="auto"/>
              </w:rPr>
            </w:pPr>
            <w:r>
              <w:rPr>
                <w:rFonts w:ascii="Arial" w:cs="Arial" w:eastAsia="Arial" w:hAnsi="Arial"/>
                <w:sz w:val="19"/>
                <w:szCs w:val="19"/>
                <w:color w:val="auto"/>
              </w:rPr>
              <w:t>Lease Agreement, dated April 19, 2022, between Citi Trends, Inc. and CTDASC001 LLC (incorporated by</w:t>
            </w:r>
          </w:p>
        </w:tc>
      </w:tr>
      <w:tr>
        <w:trPr>
          <w:trHeight w:val="220"/>
        </w:trPr>
        <w:tc>
          <w:tcPr>
            <w:tcW w:w="1140" w:type="dxa"/>
            <w:vAlign w:val="bottom"/>
          </w:tcPr>
          <w:p>
            <w:pPr>
              <w:spacing w:after="0"/>
              <w:rPr>
                <w:sz w:val="19"/>
                <w:szCs w:val="19"/>
                <w:color w:val="auto"/>
              </w:rPr>
            </w:pPr>
          </w:p>
        </w:tc>
        <w:tc>
          <w:tcPr>
            <w:tcW w:w="9620" w:type="dxa"/>
            <w:vAlign w:val="bottom"/>
          </w:tcPr>
          <w:p>
            <w:pPr>
              <w:ind w:left="140"/>
              <w:spacing w:after="0"/>
              <w:rPr>
                <w:sz w:val="20"/>
                <w:szCs w:val="20"/>
                <w:color w:val="auto"/>
              </w:rPr>
            </w:pPr>
            <w:r>
              <w:rPr>
                <w:rFonts w:ascii="Arial" w:cs="Arial" w:eastAsia="Arial" w:hAnsi="Arial"/>
                <w:sz w:val="19"/>
                <w:szCs w:val="19"/>
                <w:color w:val="auto"/>
              </w:rPr>
              <w:t>reference to Exhibit 10.3 to the Company’s Quarterly Report on Form 10-Q filed with the SEC on September 8,</w:t>
            </w:r>
          </w:p>
        </w:tc>
      </w:tr>
      <w:tr>
        <w:trPr>
          <w:trHeight w:val="256"/>
        </w:trPr>
        <w:tc>
          <w:tcPr>
            <w:tcW w:w="1140" w:type="dxa"/>
            <w:vAlign w:val="bottom"/>
          </w:tcPr>
          <w:p>
            <w:pPr>
              <w:spacing w:after="0"/>
              <w:rPr>
                <w:sz w:val="22"/>
                <w:szCs w:val="22"/>
                <w:color w:val="auto"/>
              </w:rPr>
            </w:pPr>
          </w:p>
        </w:tc>
        <w:tc>
          <w:tcPr>
            <w:tcW w:w="9620" w:type="dxa"/>
            <w:vAlign w:val="bottom"/>
          </w:tcPr>
          <w:p>
            <w:pPr>
              <w:ind w:left="140"/>
              <w:spacing w:after="0"/>
              <w:rPr>
                <w:sz w:val="20"/>
                <w:szCs w:val="20"/>
                <w:color w:val="auto"/>
              </w:rPr>
            </w:pPr>
            <w:r>
              <w:rPr>
                <w:rFonts w:ascii="Arial" w:cs="Arial" w:eastAsia="Arial" w:hAnsi="Arial"/>
                <w:sz w:val="19"/>
                <w:szCs w:val="19"/>
                <w:color w:val="auto"/>
              </w:rPr>
              <w:t>2022)</w:t>
            </w:r>
          </w:p>
        </w:tc>
      </w:tr>
      <w:tr>
        <w:trPr>
          <w:trHeight w:val="388"/>
        </w:trPr>
        <w:tc>
          <w:tcPr>
            <w:tcW w:w="1140" w:type="dxa"/>
            <w:vAlign w:val="bottom"/>
          </w:tcPr>
          <w:p>
            <w:pPr>
              <w:spacing w:after="0"/>
              <w:rPr>
                <w:sz w:val="20"/>
                <w:szCs w:val="20"/>
                <w:color w:val="auto"/>
              </w:rPr>
            </w:pPr>
            <w:r>
              <w:rPr>
                <w:rFonts w:ascii="Arial" w:cs="Arial" w:eastAsia="Arial" w:hAnsi="Arial"/>
                <w:sz w:val="19"/>
                <w:szCs w:val="19"/>
                <w:color w:val="auto"/>
              </w:rPr>
              <w:t>10.27</w:t>
            </w:r>
          </w:p>
        </w:tc>
        <w:tc>
          <w:tcPr>
            <w:tcW w:w="9620" w:type="dxa"/>
            <w:vAlign w:val="bottom"/>
          </w:tcPr>
          <w:p>
            <w:pPr>
              <w:ind w:left="140"/>
              <w:spacing w:after="0"/>
              <w:rPr>
                <w:sz w:val="20"/>
                <w:szCs w:val="20"/>
                <w:color w:val="auto"/>
              </w:rPr>
            </w:pPr>
            <w:r>
              <w:rPr>
                <w:rFonts w:ascii="Arial" w:cs="Arial" w:eastAsia="Arial" w:hAnsi="Arial"/>
                <w:sz w:val="19"/>
                <w:szCs w:val="19"/>
                <w:color w:val="auto"/>
              </w:rPr>
              <w:t>Lease Agreement, dated September 6, 2022, between Citi Trends, Inc. and CTROOK2 LLC (incorporated by</w:t>
            </w:r>
          </w:p>
        </w:tc>
      </w:tr>
      <w:tr>
        <w:trPr>
          <w:trHeight w:val="218"/>
        </w:trPr>
        <w:tc>
          <w:tcPr>
            <w:tcW w:w="1140" w:type="dxa"/>
            <w:vAlign w:val="bottom"/>
          </w:tcPr>
          <w:p>
            <w:pPr>
              <w:spacing w:after="0"/>
              <w:rPr>
                <w:sz w:val="18"/>
                <w:szCs w:val="18"/>
                <w:color w:val="auto"/>
              </w:rPr>
            </w:pPr>
          </w:p>
        </w:tc>
        <w:tc>
          <w:tcPr>
            <w:tcW w:w="9620" w:type="dxa"/>
            <w:vAlign w:val="bottom"/>
          </w:tcPr>
          <w:p>
            <w:pPr>
              <w:ind w:left="140"/>
              <w:spacing w:after="0"/>
              <w:rPr>
                <w:sz w:val="20"/>
                <w:szCs w:val="20"/>
                <w:color w:val="auto"/>
              </w:rPr>
            </w:pPr>
            <w:r>
              <w:rPr>
                <w:rFonts w:ascii="Arial" w:cs="Arial" w:eastAsia="Arial" w:hAnsi="Arial"/>
                <w:sz w:val="19"/>
                <w:szCs w:val="19"/>
                <w:color w:val="auto"/>
              </w:rPr>
              <w:t>reference to Exhibit 10.1 to the Company’s Quarterly Report on Form 10-Q filed with the SEC on December 8,</w:t>
            </w:r>
          </w:p>
        </w:tc>
      </w:tr>
      <w:tr>
        <w:trPr>
          <w:trHeight w:val="256"/>
        </w:trPr>
        <w:tc>
          <w:tcPr>
            <w:tcW w:w="1140" w:type="dxa"/>
            <w:vAlign w:val="bottom"/>
          </w:tcPr>
          <w:p>
            <w:pPr>
              <w:spacing w:after="0"/>
              <w:rPr>
                <w:sz w:val="22"/>
                <w:szCs w:val="22"/>
                <w:color w:val="auto"/>
              </w:rPr>
            </w:pPr>
          </w:p>
        </w:tc>
        <w:tc>
          <w:tcPr>
            <w:tcW w:w="9620" w:type="dxa"/>
            <w:vAlign w:val="bottom"/>
          </w:tcPr>
          <w:p>
            <w:pPr>
              <w:ind w:left="140"/>
              <w:spacing w:after="0"/>
              <w:rPr>
                <w:sz w:val="20"/>
                <w:szCs w:val="20"/>
                <w:color w:val="auto"/>
              </w:rPr>
            </w:pPr>
            <w:r>
              <w:rPr>
                <w:rFonts w:ascii="Arial" w:cs="Arial" w:eastAsia="Arial" w:hAnsi="Arial"/>
                <w:sz w:val="19"/>
                <w:szCs w:val="19"/>
                <w:color w:val="auto"/>
              </w:rPr>
              <w:t>2022)</w:t>
            </w:r>
          </w:p>
        </w:tc>
      </w:tr>
      <w:tr>
        <w:trPr>
          <w:trHeight w:val="389"/>
        </w:trPr>
        <w:tc>
          <w:tcPr>
            <w:tcW w:w="1140" w:type="dxa"/>
            <w:vAlign w:val="bottom"/>
          </w:tcPr>
          <w:p>
            <w:pPr>
              <w:spacing w:after="0"/>
              <w:rPr>
                <w:sz w:val="20"/>
                <w:szCs w:val="20"/>
                <w:color w:val="auto"/>
              </w:rPr>
            </w:pPr>
            <w:r>
              <w:rPr>
                <w:rFonts w:ascii="Arial" w:cs="Arial" w:eastAsia="Arial" w:hAnsi="Arial"/>
                <w:sz w:val="19"/>
                <w:szCs w:val="19"/>
                <w:color w:val="auto"/>
              </w:rPr>
              <w:t>10.28</w:t>
            </w:r>
          </w:p>
        </w:tc>
        <w:tc>
          <w:tcPr>
            <w:tcW w:w="9620" w:type="dxa"/>
            <w:vAlign w:val="bottom"/>
          </w:tcPr>
          <w:p>
            <w:pPr>
              <w:ind w:left="140"/>
              <w:spacing w:after="0"/>
              <w:rPr>
                <w:sz w:val="20"/>
                <w:szCs w:val="20"/>
                <w:color w:val="auto"/>
              </w:rPr>
            </w:pPr>
            <w:r>
              <w:rPr>
                <w:rFonts w:ascii="Arial" w:cs="Arial" w:eastAsia="Arial" w:hAnsi="Arial"/>
                <w:sz w:val="19"/>
                <w:szCs w:val="19"/>
                <w:color w:val="auto"/>
              </w:rPr>
              <w:t>Amended and Restated Cooperation Agreement, dated March 25, 2025, by and between Citi Trends, Inc. and</w:t>
            </w:r>
          </w:p>
        </w:tc>
      </w:tr>
      <w:tr>
        <w:trPr>
          <w:trHeight w:val="218"/>
        </w:trPr>
        <w:tc>
          <w:tcPr>
            <w:tcW w:w="1140" w:type="dxa"/>
            <w:vAlign w:val="bottom"/>
          </w:tcPr>
          <w:p>
            <w:pPr>
              <w:spacing w:after="0"/>
              <w:rPr>
                <w:sz w:val="18"/>
                <w:szCs w:val="18"/>
                <w:color w:val="auto"/>
              </w:rPr>
            </w:pPr>
          </w:p>
        </w:tc>
        <w:tc>
          <w:tcPr>
            <w:tcW w:w="9620" w:type="dxa"/>
            <w:vAlign w:val="bottom"/>
          </w:tcPr>
          <w:p>
            <w:pPr>
              <w:ind w:left="140"/>
              <w:spacing w:after="0"/>
              <w:rPr>
                <w:sz w:val="20"/>
                <w:szCs w:val="20"/>
                <w:color w:val="auto"/>
              </w:rPr>
            </w:pPr>
            <w:r>
              <w:rPr>
                <w:rFonts w:ascii="Arial" w:cs="Arial" w:eastAsia="Arial" w:hAnsi="Arial"/>
                <w:sz w:val="19"/>
                <w:szCs w:val="19"/>
                <w:color w:val="auto"/>
                <w:w w:val="99"/>
              </w:rPr>
              <w:t>Fund 1 Investments, LLC (incorporated by reference to Exhibit 10.1 to the Company’s Current Report on Form 8-</w:t>
            </w:r>
          </w:p>
        </w:tc>
      </w:tr>
      <w:tr>
        <w:trPr>
          <w:trHeight w:val="256"/>
        </w:trPr>
        <w:tc>
          <w:tcPr>
            <w:tcW w:w="1140" w:type="dxa"/>
            <w:vAlign w:val="bottom"/>
          </w:tcPr>
          <w:p>
            <w:pPr>
              <w:spacing w:after="0"/>
              <w:rPr>
                <w:sz w:val="22"/>
                <w:szCs w:val="22"/>
                <w:color w:val="auto"/>
              </w:rPr>
            </w:pPr>
          </w:p>
        </w:tc>
        <w:tc>
          <w:tcPr>
            <w:tcW w:w="9620" w:type="dxa"/>
            <w:vAlign w:val="bottom"/>
          </w:tcPr>
          <w:p>
            <w:pPr>
              <w:ind w:left="140"/>
              <w:spacing w:after="0"/>
              <w:rPr>
                <w:sz w:val="20"/>
                <w:szCs w:val="20"/>
                <w:color w:val="auto"/>
              </w:rPr>
            </w:pPr>
            <w:r>
              <w:rPr>
                <w:rFonts w:ascii="Arial" w:cs="Arial" w:eastAsia="Arial" w:hAnsi="Arial"/>
                <w:sz w:val="19"/>
                <w:szCs w:val="19"/>
                <w:color w:val="auto"/>
              </w:rPr>
              <w:t>K filed with the SEC on March 27, 2025)</w:t>
            </w:r>
          </w:p>
        </w:tc>
      </w:tr>
      <w:tr>
        <w:trPr>
          <w:trHeight w:val="400"/>
        </w:trPr>
        <w:tc>
          <w:tcPr>
            <w:tcW w:w="1140" w:type="dxa"/>
            <w:vAlign w:val="bottom"/>
          </w:tcPr>
          <w:p>
            <w:pPr>
              <w:spacing w:after="0"/>
              <w:rPr>
                <w:sz w:val="20"/>
                <w:szCs w:val="20"/>
                <w:color w:val="auto"/>
              </w:rPr>
            </w:pPr>
            <w:r>
              <w:rPr>
                <w:rFonts w:ascii="Arial" w:cs="Arial" w:eastAsia="Arial" w:hAnsi="Arial"/>
                <w:sz w:val="19"/>
                <w:szCs w:val="19"/>
                <w:color w:val="auto"/>
              </w:rPr>
              <w:t>19.1</w:t>
            </w:r>
          </w:p>
        </w:tc>
        <w:tc>
          <w:tcPr>
            <w:tcW w:w="9620" w:type="dxa"/>
            <w:vAlign w:val="bottom"/>
          </w:tcPr>
          <w:p>
            <w:pPr>
              <w:ind w:left="140"/>
              <w:spacing w:after="0"/>
              <w:rPr>
                <w:sz w:val="20"/>
                <w:szCs w:val="20"/>
                <w:color w:val="auto"/>
              </w:rPr>
            </w:pPr>
            <w:r>
              <w:rPr>
                <w:rFonts w:ascii="Arial" w:cs="Arial" w:eastAsia="Arial" w:hAnsi="Arial"/>
                <w:sz w:val="19"/>
                <w:szCs w:val="19"/>
                <w:color w:val="auto"/>
              </w:rPr>
              <w:t>Citi Trends, Inc. Insider Trading Policy (incorporated by reference to Exhibit 19.1 to the Company’s Annual</w:t>
            </w:r>
          </w:p>
        </w:tc>
      </w:tr>
      <w:tr>
        <w:trPr>
          <w:trHeight w:val="256"/>
        </w:trPr>
        <w:tc>
          <w:tcPr>
            <w:tcW w:w="1140" w:type="dxa"/>
            <w:vAlign w:val="bottom"/>
          </w:tcPr>
          <w:p>
            <w:pPr>
              <w:spacing w:after="0"/>
              <w:rPr>
                <w:sz w:val="22"/>
                <w:szCs w:val="22"/>
                <w:color w:val="auto"/>
              </w:rPr>
            </w:pPr>
          </w:p>
        </w:tc>
        <w:tc>
          <w:tcPr>
            <w:tcW w:w="9620" w:type="dxa"/>
            <w:vAlign w:val="bottom"/>
          </w:tcPr>
          <w:p>
            <w:pPr>
              <w:ind w:left="140"/>
              <w:spacing w:after="0"/>
              <w:rPr>
                <w:sz w:val="20"/>
                <w:szCs w:val="20"/>
                <w:color w:val="auto"/>
              </w:rPr>
            </w:pPr>
            <w:r>
              <w:rPr>
                <w:rFonts w:ascii="Arial" w:cs="Arial" w:eastAsia="Arial" w:hAnsi="Arial"/>
                <w:sz w:val="19"/>
                <w:szCs w:val="19"/>
                <w:color w:val="auto"/>
              </w:rPr>
              <w:t>Report on Form 10-K filed with the SEC on April 16, 2025)</w:t>
            </w:r>
          </w:p>
        </w:tc>
      </w:tr>
      <w:tr>
        <w:trPr>
          <w:trHeight w:val="426"/>
        </w:trPr>
        <w:tc>
          <w:tcPr>
            <w:tcW w:w="1140" w:type="dxa"/>
            <w:vAlign w:val="bottom"/>
          </w:tcPr>
          <w:p>
            <w:pPr>
              <w:spacing w:after="0"/>
              <w:rPr>
                <w:sz w:val="20"/>
                <w:szCs w:val="20"/>
                <w:color w:val="auto"/>
              </w:rPr>
            </w:pPr>
            <w:r>
              <w:rPr>
                <w:rFonts w:ascii="Arial" w:cs="Arial" w:eastAsia="Arial" w:hAnsi="Arial"/>
                <w:sz w:val="19"/>
                <w:szCs w:val="19"/>
                <w:color w:val="auto"/>
              </w:rPr>
              <w:t>+21.1</w:t>
            </w:r>
          </w:p>
        </w:tc>
        <w:tc>
          <w:tcPr>
            <w:tcW w:w="9620" w:type="dxa"/>
            <w:vAlign w:val="bottom"/>
          </w:tcPr>
          <w:p>
            <w:pPr>
              <w:ind w:left="140"/>
              <w:spacing w:after="0"/>
              <w:rPr>
                <w:sz w:val="20"/>
                <w:szCs w:val="20"/>
                <w:color w:val="auto"/>
              </w:rPr>
            </w:pPr>
            <w:r>
              <w:rPr>
                <w:rFonts w:ascii="Arial" w:cs="Arial" w:eastAsia="Arial" w:hAnsi="Arial"/>
                <w:sz w:val="19"/>
                <w:szCs w:val="19"/>
                <w:color w:val="auto"/>
              </w:rPr>
              <w:t>Subsidiary of the Registrant</w:t>
            </w:r>
          </w:p>
        </w:tc>
      </w:tr>
      <w:tr>
        <w:trPr>
          <w:trHeight w:val="425"/>
        </w:trPr>
        <w:tc>
          <w:tcPr>
            <w:tcW w:w="1140" w:type="dxa"/>
            <w:vAlign w:val="bottom"/>
          </w:tcPr>
          <w:p>
            <w:pPr>
              <w:spacing w:after="0"/>
              <w:rPr>
                <w:sz w:val="20"/>
                <w:szCs w:val="20"/>
                <w:color w:val="auto"/>
              </w:rPr>
            </w:pPr>
            <w:r>
              <w:rPr>
                <w:rFonts w:ascii="Arial" w:cs="Arial" w:eastAsia="Arial" w:hAnsi="Arial"/>
                <w:sz w:val="19"/>
                <w:szCs w:val="19"/>
                <w:color w:val="auto"/>
              </w:rPr>
              <w:t>+23.1</w:t>
            </w:r>
          </w:p>
        </w:tc>
        <w:tc>
          <w:tcPr>
            <w:tcW w:w="9620" w:type="dxa"/>
            <w:vAlign w:val="bottom"/>
          </w:tcPr>
          <w:p>
            <w:pPr>
              <w:ind w:left="140"/>
              <w:spacing w:after="0"/>
              <w:rPr>
                <w:sz w:val="20"/>
                <w:szCs w:val="20"/>
                <w:color w:val="auto"/>
              </w:rPr>
            </w:pPr>
            <w:r>
              <w:rPr>
                <w:rFonts w:ascii="Arial" w:cs="Arial" w:eastAsia="Arial" w:hAnsi="Arial"/>
                <w:sz w:val="19"/>
                <w:szCs w:val="19"/>
                <w:color w:val="auto"/>
              </w:rPr>
              <w:t>Consent of Deloitte &amp; Touche LLP</w:t>
            </w:r>
          </w:p>
        </w:tc>
      </w:tr>
      <w:tr>
        <w:trPr>
          <w:trHeight w:val="389"/>
        </w:trPr>
        <w:tc>
          <w:tcPr>
            <w:tcW w:w="1140" w:type="dxa"/>
            <w:vAlign w:val="bottom"/>
          </w:tcPr>
          <w:p>
            <w:pPr>
              <w:spacing w:after="0"/>
              <w:rPr>
                <w:sz w:val="20"/>
                <w:szCs w:val="20"/>
                <w:color w:val="auto"/>
              </w:rPr>
            </w:pPr>
            <w:r>
              <w:rPr>
                <w:rFonts w:ascii="Arial" w:cs="Arial" w:eastAsia="Arial" w:hAnsi="Arial"/>
                <w:sz w:val="19"/>
                <w:szCs w:val="19"/>
                <w:color w:val="auto"/>
              </w:rPr>
              <w:t>+31.1</w:t>
            </w:r>
          </w:p>
        </w:tc>
        <w:tc>
          <w:tcPr>
            <w:tcW w:w="9620" w:type="dxa"/>
            <w:vAlign w:val="bottom"/>
          </w:tcPr>
          <w:p>
            <w:pPr>
              <w:ind w:left="140"/>
              <w:spacing w:after="0"/>
              <w:rPr>
                <w:sz w:val="20"/>
                <w:szCs w:val="20"/>
                <w:color w:val="auto"/>
              </w:rPr>
            </w:pPr>
            <w:r>
              <w:rPr>
                <w:rFonts w:ascii="Arial" w:cs="Arial" w:eastAsia="Arial" w:hAnsi="Arial"/>
                <w:sz w:val="19"/>
                <w:szCs w:val="19"/>
                <w:color w:val="auto"/>
              </w:rPr>
              <w:t>Certification of Principal Executive Officer, as adopted pursuant to Section 302 of the Sarbanes-Oxley Act of</w:t>
            </w:r>
          </w:p>
        </w:tc>
      </w:tr>
      <w:tr>
        <w:trPr>
          <w:trHeight w:val="256"/>
        </w:trPr>
        <w:tc>
          <w:tcPr>
            <w:tcW w:w="1140" w:type="dxa"/>
            <w:vAlign w:val="bottom"/>
          </w:tcPr>
          <w:p>
            <w:pPr>
              <w:spacing w:after="0"/>
              <w:rPr>
                <w:sz w:val="22"/>
                <w:szCs w:val="22"/>
                <w:color w:val="auto"/>
              </w:rPr>
            </w:pPr>
          </w:p>
        </w:tc>
        <w:tc>
          <w:tcPr>
            <w:tcW w:w="9620" w:type="dxa"/>
            <w:vAlign w:val="bottom"/>
          </w:tcPr>
          <w:p>
            <w:pPr>
              <w:ind w:left="140"/>
              <w:spacing w:after="0"/>
              <w:rPr>
                <w:sz w:val="20"/>
                <w:szCs w:val="20"/>
                <w:color w:val="auto"/>
              </w:rPr>
            </w:pPr>
            <w:r>
              <w:rPr>
                <w:rFonts w:ascii="Arial" w:cs="Arial" w:eastAsia="Arial" w:hAnsi="Arial"/>
                <w:sz w:val="19"/>
                <w:szCs w:val="19"/>
                <w:color w:val="auto"/>
              </w:rPr>
              <w:t>2002</w:t>
            </w:r>
          </w:p>
        </w:tc>
      </w:tr>
      <w:tr>
        <w:trPr>
          <w:trHeight w:val="425"/>
        </w:trPr>
        <w:tc>
          <w:tcPr>
            <w:tcW w:w="1140" w:type="dxa"/>
            <w:vAlign w:val="bottom"/>
          </w:tcPr>
          <w:p>
            <w:pPr>
              <w:spacing w:after="0"/>
              <w:rPr>
                <w:sz w:val="20"/>
                <w:szCs w:val="20"/>
                <w:color w:val="auto"/>
              </w:rPr>
            </w:pPr>
            <w:r>
              <w:rPr>
                <w:rFonts w:ascii="Arial" w:cs="Arial" w:eastAsia="Arial" w:hAnsi="Arial"/>
                <w:sz w:val="19"/>
                <w:szCs w:val="19"/>
                <w:color w:val="auto"/>
              </w:rPr>
              <w:t>+31.2</w:t>
            </w:r>
          </w:p>
        </w:tc>
        <w:tc>
          <w:tcPr>
            <w:tcW w:w="9620" w:type="dxa"/>
            <w:vAlign w:val="bottom"/>
          </w:tcPr>
          <w:p>
            <w:pPr>
              <w:ind w:left="140"/>
              <w:spacing w:after="0"/>
              <w:rPr>
                <w:sz w:val="20"/>
                <w:szCs w:val="20"/>
                <w:color w:val="auto"/>
              </w:rPr>
            </w:pPr>
            <w:r>
              <w:rPr>
                <w:rFonts w:ascii="Arial" w:cs="Arial" w:eastAsia="Arial" w:hAnsi="Arial"/>
                <w:sz w:val="19"/>
                <w:szCs w:val="19"/>
                <w:color w:val="auto"/>
                <w:w w:val="99"/>
              </w:rPr>
              <w:t>Certification of Principal Financial Officer, as adopted pursuant to Section 302 of the Sarbanes-Oxley Act of 2002</w:t>
            </w:r>
          </w:p>
        </w:tc>
      </w:tr>
      <w:tr>
        <w:trPr>
          <w:trHeight w:val="389"/>
        </w:trPr>
        <w:tc>
          <w:tcPr>
            <w:tcW w:w="1140" w:type="dxa"/>
            <w:vAlign w:val="bottom"/>
          </w:tcPr>
          <w:p>
            <w:pPr>
              <w:spacing w:after="0"/>
              <w:rPr>
                <w:sz w:val="20"/>
                <w:szCs w:val="20"/>
                <w:color w:val="auto"/>
              </w:rPr>
            </w:pPr>
            <w:r>
              <w:rPr>
                <w:rFonts w:ascii="Arial" w:cs="Arial" w:eastAsia="Arial" w:hAnsi="Arial"/>
                <w:sz w:val="19"/>
                <w:szCs w:val="19"/>
                <w:color w:val="auto"/>
              </w:rPr>
              <w:t>+32.1</w:t>
            </w:r>
          </w:p>
        </w:tc>
        <w:tc>
          <w:tcPr>
            <w:tcW w:w="9620" w:type="dxa"/>
            <w:vAlign w:val="bottom"/>
          </w:tcPr>
          <w:p>
            <w:pPr>
              <w:ind w:left="140"/>
              <w:spacing w:after="0"/>
              <w:rPr>
                <w:sz w:val="20"/>
                <w:szCs w:val="20"/>
                <w:color w:val="auto"/>
              </w:rPr>
            </w:pPr>
            <w:r>
              <w:rPr>
                <w:rFonts w:ascii="Arial" w:cs="Arial" w:eastAsia="Arial" w:hAnsi="Arial"/>
                <w:sz w:val="19"/>
                <w:szCs w:val="19"/>
                <w:color w:val="auto"/>
              </w:rPr>
              <w:t>Certification of Principal Executive Officer, pursuant to 18 U.S.C. Section 1350, as adopted pursuant to Section</w:t>
            </w:r>
          </w:p>
        </w:tc>
      </w:tr>
      <w:tr>
        <w:trPr>
          <w:trHeight w:val="256"/>
        </w:trPr>
        <w:tc>
          <w:tcPr>
            <w:tcW w:w="1140" w:type="dxa"/>
            <w:vAlign w:val="bottom"/>
          </w:tcPr>
          <w:p>
            <w:pPr>
              <w:spacing w:after="0"/>
              <w:rPr>
                <w:sz w:val="22"/>
                <w:szCs w:val="22"/>
                <w:color w:val="auto"/>
              </w:rPr>
            </w:pPr>
          </w:p>
        </w:tc>
        <w:tc>
          <w:tcPr>
            <w:tcW w:w="9620" w:type="dxa"/>
            <w:vAlign w:val="bottom"/>
          </w:tcPr>
          <w:p>
            <w:pPr>
              <w:ind w:left="140"/>
              <w:spacing w:after="0"/>
              <w:rPr>
                <w:sz w:val="20"/>
                <w:szCs w:val="20"/>
                <w:color w:val="auto"/>
              </w:rPr>
            </w:pPr>
            <w:r>
              <w:rPr>
                <w:rFonts w:ascii="Arial" w:cs="Arial" w:eastAsia="Arial" w:hAnsi="Arial"/>
                <w:sz w:val="19"/>
                <w:szCs w:val="19"/>
                <w:color w:val="auto"/>
              </w:rPr>
              <w:t>906 of the Sarbanes-Oxley Act of 2002</w:t>
            </w:r>
          </w:p>
        </w:tc>
      </w:tr>
      <w:tr>
        <w:trPr>
          <w:trHeight w:val="389"/>
        </w:trPr>
        <w:tc>
          <w:tcPr>
            <w:tcW w:w="1140" w:type="dxa"/>
            <w:vAlign w:val="bottom"/>
          </w:tcPr>
          <w:p>
            <w:pPr>
              <w:spacing w:after="0"/>
              <w:rPr>
                <w:sz w:val="20"/>
                <w:szCs w:val="20"/>
                <w:color w:val="auto"/>
              </w:rPr>
            </w:pPr>
            <w:r>
              <w:rPr>
                <w:rFonts w:ascii="Arial" w:cs="Arial" w:eastAsia="Arial" w:hAnsi="Arial"/>
                <w:sz w:val="19"/>
                <w:szCs w:val="19"/>
                <w:color w:val="auto"/>
              </w:rPr>
              <w:t>+32.2</w:t>
            </w:r>
          </w:p>
        </w:tc>
        <w:tc>
          <w:tcPr>
            <w:tcW w:w="9620" w:type="dxa"/>
            <w:vAlign w:val="bottom"/>
          </w:tcPr>
          <w:p>
            <w:pPr>
              <w:ind w:left="140"/>
              <w:spacing w:after="0"/>
              <w:rPr>
                <w:sz w:val="20"/>
                <w:szCs w:val="20"/>
                <w:color w:val="auto"/>
              </w:rPr>
            </w:pPr>
            <w:r>
              <w:rPr>
                <w:rFonts w:ascii="Arial" w:cs="Arial" w:eastAsia="Arial" w:hAnsi="Arial"/>
                <w:sz w:val="19"/>
                <w:szCs w:val="19"/>
                <w:color w:val="auto"/>
              </w:rPr>
              <w:t>Certification of Principal Financial Officer, pursuant to 18 U.S.C. Section 1350, as adopted pursuant to Section</w:t>
            </w:r>
          </w:p>
        </w:tc>
      </w:tr>
      <w:tr>
        <w:trPr>
          <w:trHeight w:val="256"/>
        </w:trPr>
        <w:tc>
          <w:tcPr>
            <w:tcW w:w="1140" w:type="dxa"/>
            <w:vAlign w:val="bottom"/>
          </w:tcPr>
          <w:p>
            <w:pPr>
              <w:spacing w:after="0"/>
              <w:rPr>
                <w:sz w:val="22"/>
                <w:szCs w:val="22"/>
                <w:color w:val="auto"/>
              </w:rPr>
            </w:pPr>
          </w:p>
        </w:tc>
        <w:tc>
          <w:tcPr>
            <w:tcW w:w="9620" w:type="dxa"/>
            <w:vAlign w:val="bottom"/>
          </w:tcPr>
          <w:p>
            <w:pPr>
              <w:ind w:left="140"/>
              <w:spacing w:after="0"/>
              <w:rPr>
                <w:sz w:val="20"/>
                <w:szCs w:val="20"/>
                <w:color w:val="auto"/>
              </w:rPr>
            </w:pPr>
            <w:r>
              <w:rPr>
                <w:rFonts w:ascii="Arial" w:cs="Arial" w:eastAsia="Arial" w:hAnsi="Arial"/>
                <w:sz w:val="19"/>
                <w:szCs w:val="19"/>
                <w:color w:val="auto"/>
              </w:rPr>
              <w:t>906 of the Sarbanes-Oxley Act of 2002</w:t>
            </w:r>
          </w:p>
        </w:tc>
      </w:tr>
      <w:tr>
        <w:trPr>
          <w:trHeight w:val="388"/>
        </w:trPr>
        <w:tc>
          <w:tcPr>
            <w:tcW w:w="1140" w:type="dxa"/>
            <w:vAlign w:val="bottom"/>
          </w:tcPr>
          <w:p>
            <w:pPr>
              <w:spacing w:after="0"/>
              <w:rPr>
                <w:sz w:val="20"/>
                <w:szCs w:val="20"/>
                <w:color w:val="auto"/>
              </w:rPr>
            </w:pPr>
            <w:r>
              <w:rPr>
                <w:rFonts w:ascii="Arial" w:cs="Arial" w:eastAsia="Arial" w:hAnsi="Arial"/>
                <w:sz w:val="19"/>
                <w:szCs w:val="19"/>
                <w:color w:val="auto"/>
              </w:rPr>
              <w:t>97.1</w:t>
            </w:r>
          </w:p>
        </w:tc>
        <w:tc>
          <w:tcPr>
            <w:tcW w:w="9620" w:type="dxa"/>
            <w:vAlign w:val="bottom"/>
          </w:tcPr>
          <w:p>
            <w:pPr>
              <w:ind w:left="140"/>
              <w:spacing w:after="0"/>
              <w:rPr>
                <w:sz w:val="20"/>
                <w:szCs w:val="20"/>
                <w:color w:val="auto"/>
              </w:rPr>
            </w:pPr>
            <w:r>
              <w:rPr>
                <w:rFonts w:ascii="Arial" w:cs="Arial" w:eastAsia="Arial" w:hAnsi="Arial"/>
                <w:sz w:val="19"/>
                <w:szCs w:val="19"/>
                <w:color w:val="auto"/>
              </w:rPr>
              <w:t>Citi Trends, Inc. Policy for Recovery of Erroneously Awarded Compensation, adopted December 1, 2023</w:t>
            </w:r>
          </w:p>
        </w:tc>
      </w:tr>
      <w:tr>
        <w:trPr>
          <w:trHeight w:val="218"/>
        </w:trPr>
        <w:tc>
          <w:tcPr>
            <w:tcW w:w="1140" w:type="dxa"/>
            <w:vAlign w:val="bottom"/>
          </w:tcPr>
          <w:p>
            <w:pPr>
              <w:spacing w:after="0"/>
              <w:rPr>
                <w:sz w:val="18"/>
                <w:szCs w:val="18"/>
                <w:color w:val="auto"/>
              </w:rPr>
            </w:pPr>
          </w:p>
        </w:tc>
        <w:tc>
          <w:tcPr>
            <w:tcW w:w="9620" w:type="dxa"/>
            <w:vAlign w:val="bottom"/>
          </w:tcPr>
          <w:p>
            <w:pPr>
              <w:ind w:left="140"/>
              <w:spacing w:after="0"/>
              <w:rPr>
                <w:sz w:val="20"/>
                <w:szCs w:val="20"/>
                <w:color w:val="auto"/>
              </w:rPr>
            </w:pPr>
            <w:r>
              <w:rPr>
                <w:rFonts w:ascii="Arial" w:cs="Arial" w:eastAsia="Arial" w:hAnsi="Arial"/>
                <w:sz w:val="19"/>
                <w:szCs w:val="19"/>
                <w:color w:val="auto"/>
              </w:rPr>
              <w:t>(incorporated by reference to Exhibit 97.1 to the Company’s Annual Report on Form 10-K filed with the SEC on</w:t>
            </w:r>
          </w:p>
        </w:tc>
      </w:tr>
      <w:tr>
        <w:trPr>
          <w:trHeight w:val="256"/>
        </w:trPr>
        <w:tc>
          <w:tcPr>
            <w:tcW w:w="1140" w:type="dxa"/>
            <w:vAlign w:val="bottom"/>
          </w:tcPr>
          <w:p>
            <w:pPr>
              <w:spacing w:after="0"/>
              <w:rPr>
                <w:sz w:val="22"/>
                <w:szCs w:val="22"/>
                <w:color w:val="auto"/>
              </w:rPr>
            </w:pPr>
          </w:p>
        </w:tc>
        <w:tc>
          <w:tcPr>
            <w:tcW w:w="9620" w:type="dxa"/>
            <w:vAlign w:val="bottom"/>
          </w:tcPr>
          <w:p>
            <w:pPr>
              <w:ind w:left="140"/>
              <w:spacing w:after="0"/>
              <w:rPr>
                <w:sz w:val="20"/>
                <w:szCs w:val="20"/>
                <w:color w:val="auto"/>
              </w:rPr>
            </w:pPr>
            <w:r>
              <w:rPr>
                <w:rFonts w:ascii="Arial" w:cs="Arial" w:eastAsia="Arial" w:hAnsi="Arial"/>
                <w:sz w:val="19"/>
                <w:szCs w:val="19"/>
                <w:color w:val="auto"/>
              </w:rPr>
              <w:t>April 18, 2024)</w:t>
            </w:r>
          </w:p>
        </w:tc>
      </w:tr>
      <w:tr>
        <w:trPr>
          <w:trHeight w:val="389"/>
        </w:trPr>
        <w:tc>
          <w:tcPr>
            <w:tcW w:w="1140" w:type="dxa"/>
            <w:vAlign w:val="bottom"/>
          </w:tcPr>
          <w:p>
            <w:pPr>
              <w:spacing w:after="0"/>
              <w:rPr>
                <w:sz w:val="20"/>
                <w:szCs w:val="20"/>
                <w:color w:val="auto"/>
              </w:rPr>
            </w:pPr>
            <w:r>
              <w:rPr>
                <w:rFonts w:ascii="Arial" w:cs="Arial" w:eastAsia="Arial" w:hAnsi="Arial"/>
                <w:sz w:val="19"/>
                <w:szCs w:val="19"/>
                <w:color w:val="auto"/>
              </w:rPr>
              <w:t>+101</w:t>
            </w:r>
          </w:p>
        </w:tc>
        <w:tc>
          <w:tcPr>
            <w:tcW w:w="9620" w:type="dxa"/>
            <w:vAlign w:val="bottom"/>
          </w:tcPr>
          <w:p>
            <w:pPr>
              <w:ind w:left="140"/>
              <w:spacing w:after="0"/>
              <w:rPr>
                <w:sz w:val="20"/>
                <w:szCs w:val="20"/>
                <w:color w:val="auto"/>
              </w:rPr>
            </w:pPr>
            <w:r>
              <w:rPr>
                <w:rFonts w:ascii="Arial" w:cs="Arial" w:eastAsia="Arial" w:hAnsi="Arial"/>
                <w:sz w:val="19"/>
                <w:szCs w:val="19"/>
                <w:color w:val="auto"/>
              </w:rPr>
              <w:t>Inline XBRL Document Set for the consolidated financial statements and accompanying notes in Part II, Item 8,</w:t>
            </w:r>
          </w:p>
        </w:tc>
      </w:tr>
      <w:tr>
        <w:trPr>
          <w:trHeight w:val="256"/>
        </w:trPr>
        <w:tc>
          <w:tcPr>
            <w:tcW w:w="1140" w:type="dxa"/>
            <w:vAlign w:val="bottom"/>
          </w:tcPr>
          <w:p>
            <w:pPr>
              <w:spacing w:after="0"/>
              <w:rPr>
                <w:sz w:val="22"/>
                <w:szCs w:val="22"/>
                <w:color w:val="auto"/>
              </w:rPr>
            </w:pPr>
          </w:p>
        </w:tc>
        <w:tc>
          <w:tcPr>
            <w:tcW w:w="9620" w:type="dxa"/>
            <w:vAlign w:val="bottom"/>
          </w:tcPr>
          <w:p>
            <w:pPr>
              <w:ind w:left="140"/>
              <w:spacing w:after="0"/>
              <w:rPr>
                <w:sz w:val="20"/>
                <w:szCs w:val="20"/>
                <w:color w:val="auto"/>
              </w:rPr>
            </w:pPr>
            <w:r>
              <w:rPr>
                <w:rFonts w:ascii="Arial" w:cs="Arial" w:eastAsia="Arial" w:hAnsi="Arial"/>
                <w:sz w:val="19"/>
                <w:szCs w:val="19"/>
                <w:color w:val="auto"/>
              </w:rPr>
              <w:t>“Financial Statements and Supplementary Data” of this Annual Report on Form 10-K</w:t>
            </w:r>
          </w:p>
        </w:tc>
      </w:tr>
      <w:tr>
        <w:trPr>
          <w:trHeight w:val="389"/>
        </w:trPr>
        <w:tc>
          <w:tcPr>
            <w:tcW w:w="1140" w:type="dxa"/>
            <w:vAlign w:val="bottom"/>
          </w:tcPr>
          <w:p>
            <w:pPr>
              <w:spacing w:after="0"/>
              <w:rPr>
                <w:sz w:val="20"/>
                <w:szCs w:val="20"/>
                <w:color w:val="auto"/>
              </w:rPr>
            </w:pPr>
            <w:r>
              <w:rPr>
                <w:rFonts w:ascii="Arial" w:cs="Arial" w:eastAsia="Arial" w:hAnsi="Arial"/>
                <w:sz w:val="19"/>
                <w:szCs w:val="19"/>
                <w:color w:val="auto"/>
              </w:rPr>
              <w:t>+104</w:t>
            </w:r>
          </w:p>
        </w:tc>
        <w:tc>
          <w:tcPr>
            <w:tcW w:w="9620" w:type="dxa"/>
            <w:vAlign w:val="bottom"/>
          </w:tcPr>
          <w:p>
            <w:pPr>
              <w:ind w:left="140"/>
              <w:spacing w:after="0"/>
              <w:rPr>
                <w:sz w:val="20"/>
                <w:szCs w:val="20"/>
                <w:color w:val="auto"/>
              </w:rPr>
            </w:pPr>
            <w:r>
              <w:rPr>
                <w:rFonts w:ascii="Arial" w:cs="Arial" w:eastAsia="Arial" w:hAnsi="Arial"/>
                <w:sz w:val="19"/>
                <w:szCs w:val="19"/>
                <w:color w:val="auto"/>
              </w:rPr>
              <w:t>Inline XBRL for the cover page of this Annual Report on Form 10-K, included in the Exhibit 101 Inline XBRL</w:t>
            </w:r>
          </w:p>
        </w:tc>
      </w:tr>
      <w:tr>
        <w:trPr>
          <w:trHeight w:val="256"/>
        </w:trPr>
        <w:tc>
          <w:tcPr>
            <w:tcW w:w="1140" w:type="dxa"/>
            <w:vAlign w:val="bottom"/>
          </w:tcPr>
          <w:p>
            <w:pPr>
              <w:spacing w:after="0"/>
              <w:rPr>
                <w:sz w:val="22"/>
                <w:szCs w:val="22"/>
                <w:color w:val="auto"/>
              </w:rPr>
            </w:pPr>
          </w:p>
        </w:tc>
        <w:tc>
          <w:tcPr>
            <w:tcW w:w="9620" w:type="dxa"/>
            <w:vAlign w:val="bottom"/>
          </w:tcPr>
          <w:p>
            <w:pPr>
              <w:ind w:left="140"/>
              <w:spacing w:after="0"/>
              <w:rPr>
                <w:sz w:val="20"/>
                <w:szCs w:val="20"/>
                <w:color w:val="auto"/>
              </w:rPr>
            </w:pPr>
            <w:r>
              <w:rPr>
                <w:rFonts w:ascii="Arial" w:cs="Arial" w:eastAsia="Arial" w:hAnsi="Arial"/>
                <w:sz w:val="19"/>
                <w:szCs w:val="19"/>
                <w:color w:val="auto"/>
              </w:rPr>
              <w:t>Document Set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149225</wp:posOffset>
            </wp:positionV>
            <wp:extent cx="1713865" cy="12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9">
                      <a:extLst>
                        <a:ext uri="{28A0092B-C50C-407E-A947-70E740481C1C}"/>
                      </a:extLst>
                    </a:blip>
                    <a:srcRect/>
                    <a:stretch>
                      <a:fillRect/>
                    </a:stretch>
                  </pic:blipFill>
                  <pic:spPr bwMode="auto">
                    <a:xfrm>
                      <a:off x="0" y="0"/>
                      <a:ext cx="1713865" cy="12700"/>
                    </a:xfrm>
                    <a:prstGeom prst="rect">
                      <a:avLst/>
                    </a:prstGeom>
                    <a:noFill/>
                  </pic:spPr>
                </pic:pic>
              </a:graphicData>
            </a:graphic>
          </wp:anchor>
        </w:drawing>
      </w:r>
    </w:p>
    <w:p>
      <w:pPr>
        <w:spacing w:after="0" w:line="270" w:lineRule="exact"/>
        <w:rPr>
          <w:sz w:val="20"/>
          <w:szCs w:val="20"/>
          <w:color w:val="auto"/>
        </w:rPr>
      </w:pPr>
    </w:p>
    <w:p>
      <w:pPr>
        <w:ind w:left="440" w:hanging="440"/>
        <w:spacing w:after="0"/>
        <w:tabs>
          <w:tab w:leader="none" w:pos="440" w:val="left"/>
        </w:tabs>
        <w:numPr>
          <w:ilvl w:val="0"/>
          <w:numId w:val="19"/>
        </w:numPr>
        <w:rPr>
          <w:rFonts w:ascii="Arial" w:cs="Arial" w:eastAsia="Arial" w:hAnsi="Arial"/>
          <w:sz w:val="19"/>
          <w:szCs w:val="19"/>
          <w:color w:val="auto"/>
        </w:rPr>
      </w:pPr>
      <w:r>
        <w:rPr>
          <w:rFonts w:ascii="Arial" w:cs="Arial" w:eastAsia="Arial" w:hAnsi="Arial"/>
          <w:sz w:val="19"/>
          <w:szCs w:val="19"/>
          <w:color w:val="auto"/>
        </w:rPr>
        <w:t>Filed herewith</w:t>
      </w:r>
    </w:p>
    <w:p>
      <w:pPr>
        <w:spacing w:after="0" w:line="158" w:lineRule="exact"/>
        <w:rPr>
          <w:sz w:val="20"/>
          <w:szCs w:val="20"/>
          <w:color w:val="auto"/>
        </w:rPr>
      </w:pPr>
    </w:p>
    <w:p>
      <w:pPr>
        <w:ind w:left="440" w:hanging="440"/>
        <w:spacing w:after="0"/>
        <w:tabs>
          <w:tab w:leader="none" w:pos="440" w:val="left"/>
        </w:tabs>
        <w:numPr>
          <w:ilvl w:val="0"/>
          <w:numId w:val="20"/>
        </w:numPr>
        <w:rPr>
          <w:rFonts w:ascii="Arial" w:cs="Arial" w:eastAsia="Arial" w:hAnsi="Arial"/>
          <w:sz w:val="19"/>
          <w:szCs w:val="19"/>
          <w:color w:val="auto"/>
        </w:rPr>
      </w:pPr>
      <w:r>
        <w:rPr>
          <w:rFonts w:ascii="Arial" w:cs="Arial" w:eastAsia="Arial" w:hAnsi="Arial"/>
          <w:sz w:val="19"/>
          <w:szCs w:val="19"/>
          <w:color w:val="auto"/>
        </w:rPr>
        <w:t>Indicates management contract or compensatory plan or arrangement.</w:t>
      </w:r>
    </w:p>
    <w:p>
      <w:pPr>
        <w:spacing w:after="0" w:line="217" w:lineRule="exact"/>
        <w:rPr>
          <w:sz w:val="20"/>
          <w:szCs w:val="20"/>
          <w:color w:val="auto"/>
        </w:rPr>
      </w:pPr>
    </w:p>
    <w:p>
      <w:pPr>
        <w:spacing w:after="0"/>
        <w:tabs>
          <w:tab w:leader="none" w:pos="1060" w:val="left"/>
        </w:tabs>
        <w:rPr>
          <w:sz w:val="20"/>
          <w:szCs w:val="20"/>
          <w:color w:val="auto"/>
        </w:rPr>
      </w:pPr>
      <w:r>
        <w:rPr>
          <w:rFonts w:ascii="Arial" w:cs="Arial" w:eastAsia="Arial" w:hAnsi="Arial"/>
          <w:sz w:val="19"/>
          <w:szCs w:val="19"/>
          <w:b w:val="1"/>
          <w:bCs w:val="1"/>
          <w:color w:val="auto"/>
        </w:rPr>
        <w:t>ITEM 16.</w:t>
      </w:r>
      <w:r>
        <w:rPr>
          <w:sz w:val="20"/>
          <w:szCs w:val="20"/>
          <w:color w:val="auto"/>
        </w:rPr>
        <w:tab/>
      </w:r>
      <w:r>
        <w:rPr>
          <w:rFonts w:ascii="Arial" w:cs="Arial" w:eastAsia="Arial" w:hAnsi="Arial"/>
          <w:sz w:val="19"/>
          <w:szCs w:val="19"/>
          <w:b w:val="1"/>
          <w:bCs w:val="1"/>
          <w:u w:val="single" w:color="auto"/>
          <w:color w:val="auto"/>
        </w:rPr>
        <w:t>FORM 10-K SUMMARY</w:t>
      </w:r>
    </w:p>
    <w:p>
      <w:pPr>
        <w:spacing w:after="0" w:line="164" w:lineRule="exact"/>
        <w:rPr>
          <w:sz w:val="20"/>
          <w:szCs w:val="20"/>
          <w:color w:val="auto"/>
        </w:rPr>
      </w:pPr>
    </w:p>
    <w:p>
      <w:pPr>
        <w:spacing w:after="0"/>
        <w:rPr>
          <w:sz w:val="20"/>
          <w:szCs w:val="20"/>
          <w:color w:val="auto"/>
        </w:rPr>
      </w:pPr>
      <w:r>
        <w:rPr>
          <w:rFonts w:ascii="Arial" w:cs="Arial" w:eastAsia="Arial" w:hAnsi="Arial"/>
          <w:sz w:val="19"/>
          <w:szCs w:val="19"/>
          <w:color w:val="auto"/>
        </w:rPr>
        <w:t>None.</w:t>
      </w:r>
    </w:p>
    <w:p>
      <w:pPr>
        <w:sectPr>
          <w:pgSz w:w="11880" w:h="15480" w:orient="portrait"/>
          <w:cols w:equalWidth="0" w:num="1">
            <w:col w:w="10760"/>
          </w:cols>
          <w:pgMar w:left="540" w:top="804" w:right="580" w:bottom="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54</w:t>
      </w:r>
    </w:p>
    <w:p>
      <w:pPr>
        <w:sectPr>
          <w:pgSz w:w="11880" w:h="15480" w:orient="portrait"/>
          <w:cols w:equalWidth="0" w:num="1">
            <w:col w:w="10760"/>
          </w:cols>
          <w:pgMar w:left="540" w:top="804" w:right="580" w:bottom="16" w:gutter="0" w:footer="0" w:header="0"/>
          <w:type w:val="continuous"/>
        </w:sectPr>
      </w:pPr>
    </w:p>
    <w:bookmarkStart w:id="54" w:name="page55"/>
    <w:bookmarkEnd w:id="54"/>
    <w:p>
      <w:pPr>
        <w:jc w:val="center"/>
        <w:ind w:right="-99"/>
        <w:spacing w:after="0"/>
        <w:rPr>
          <w:sz w:val="20"/>
          <w:szCs w:val="20"/>
          <w:color w:val="auto"/>
        </w:rPr>
      </w:pPr>
      <w:r>
        <w:rPr>
          <w:rFonts w:ascii="Arial" w:cs="Arial" w:eastAsia="Arial" w:hAnsi="Arial"/>
          <w:sz w:val="19"/>
          <w:szCs w:val="19"/>
          <w:b w:val="1"/>
          <w:bCs w:val="1"/>
          <w:color w:val="auto"/>
        </w:rPr>
        <w:t>SIGNATURES</w:t>
      </w:r>
    </w:p>
    <w:p>
      <w:pPr>
        <w:spacing w:after="0" w:line="123" w:lineRule="exact"/>
        <w:rPr>
          <w:sz w:val="20"/>
          <w:szCs w:val="20"/>
          <w:color w:val="auto"/>
        </w:rPr>
      </w:pPr>
    </w:p>
    <w:p>
      <w:pPr>
        <w:ind w:right="60"/>
        <w:spacing w:after="0" w:line="281" w:lineRule="auto"/>
        <w:rPr>
          <w:sz w:val="20"/>
          <w:szCs w:val="20"/>
          <w:color w:val="auto"/>
        </w:rPr>
      </w:pPr>
      <w:r>
        <w:rPr>
          <w:rFonts w:ascii="Arial" w:cs="Arial" w:eastAsia="Arial" w:hAnsi="Arial"/>
          <w:sz w:val="19"/>
          <w:szCs w:val="19"/>
          <w:color w:val="auto"/>
        </w:rPr>
        <w:t>Pursuant to the requirements of Section 13 or 15(d) of the Securities Exchange Act of 1934, the registrant has duly caused this report to be signed on its behalf by the undersigned, thereunto duly authorized.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120" w:type="dxa"/>
            <w:vAlign w:val="bottom"/>
          </w:tcPr>
          <w:p>
            <w:pPr>
              <w:spacing w:after="0"/>
              <w:rPr>
                <w:sz w:val="18"/>
                <w:szCs w:val="18"/>
                <w:color w:val="auto"/>
              </w:rPr>
            </w:pPr>
          </w:p>
        </w:tc>
        <w:tc>
          <w:tcPr>
            <w:tcW w:w="7580" w:type="dxa"/>
            <w:vAlign w:val="bottom"/>
            <w:gridSpan w:val="2"/>
          </w:tcPr>
          <w:p>
            <w:pPr>
              <w:jc w:val="center"/>
              <w:ind w:right="2925"/>
              <w:spacing w:after="0"/>
              <w:rPr>
                <w:sz w:val="20"/>
                <w:szCs w:val="20"/>
                <w:color w:val="auto"/>
              </w:rPr>
            </w:pPr>
            <w:r>
              <w:rPr>
                <w:rFonts w:ascii="Arial" w:cs="Arial" w:eastAsia="Arial" w:hAnsi="Arial"/>
                <w:sz w:val="19"/>
                <w:szCs w:val="19"/>
                <w:color w:val="auto"/>
              </w:rPr>
              <w:t>CITI TRENDS, INC.</w:t>
            </w:r>
          </w:p>
        </w:tc>
      </w:tr>
      <w:tr>
        <w:trPr>
          <w:trHeight w:val="256"/>
        </w:trPr>
        <w:tc>
          <w:tcPr>
            <w:tcW w:w="3120" w:type="dxa"/>
            <w:vAlign w:val="bottom"/>
          </w:tcPr>
          <w:p>
            <w:pPr>
              <w:spacing w:after="0"/>
              <w:rPr>
                <w:sz w:val="22"/>
                <w:szCs w:val="22"/>
                <w:color w:val="auto"/>
              </w:rPr>
            </w:pPr>
          </w:p>
        </w:tc>
        <w:tc>
          <w:tcPr>
            <w:tcW w:w="7580" w:type="dxa"/>
            <w:vAlign w:val="bottom"/>
            <w:gridSpan w:val="2"/>
          </w:tcPr>
          <w:p>
            <w:pPr>
              <w:jc w:val="center"/>
              <w:ind w:right="2925"/>
              <w:spacing w:after="0"/>
              <w:rPr>
                <w:sz w:val="20"/>
                <w:szCs w:val="20"/>
                <w:color w:val="auto"/>
              </w:rPr>
            </w:pPr>
            <w:r>
              <w:rPr>
                <w:rFonts w:ascii="Arial" w:cs="Arial" w:eastAsia="Arial" w:hAnsi="Arial"/>
                <w:sz w:val="19"/>
                <w:szCs w:val="19"/>
                <w:color w:val="auto"/>
              </w:rPr>
              <w:t>(Registrant)</w:t>
            </w:r>
          </w:p>
        </w:tc>
      </w:tr>
      <w:tr>
        <w:trPr>
          <w:trHeight w:val="438"/>
        </w:trPr>
        <w:tc>
          <w:tcPr>
            <w:tcW w:w="3120" w:type="dxa"/>
            <w:vAlign w:val="bottom"/>
          </w:tcPr>
          <w:p>
            <w:pPr>
              <w:spacing w:after="0"/>
              <w:rPr>
                <w:sz w:val="20"/>
                <w:szCs w:val="20"/>
                <w:color w:val="auto"/>
              </w:rPr>
            </w:pPr>
            <w:r>
              <w:rPr>
                <w:rFonts w:ascii="Arial" w:cs="Arial" w:eastAsia="Arial" w:hAnsi="Arial"/>
                <w:sz w:val="19"/>
                <w:szCs w:val="19"/>
                <w:color w:val="auto"/>
              </w:rPr>
              <w:t>Date: April 15, 2026</w:t>
            </w:r>
          </w:p>
        </w:tc>
        <w:tc>
          <w:tcPr>
            <w:tcW w:w="7580" w:type="dxa"/>
            <w:vAlign w:val="bottom"/>
            <w:gridSpan w:val="2"/>
          </w:tcPr>
          <w:p>
            <w:pPr>
              <w:ind w:left="3720"/>
              <w:spacing w:after="0"/>
              <w:rPr>
                <w:sz w:val="20"/>
                <w:szCs w:val="20"/>
                <w:color w:val="auto"/>
              </w:rPr>
            </w:pPr>
            <w:r>
              <w:rPr>
                <w:rFonts w:ascii="Arial" w:cs="Arial" w:eastAsia="Arial" w:hAnsi="Arial"/>
                <w:sz w:val="19"/>
                <w:szCs w:val="19"/>
                <w:color w:val="auto"/>
              </w:rPr>
              <w:t>By  /s/ Kenneth D. Seipel</w:t>
            </w:r>
          </w:p>
        </w:tc>
      </w:tr>
      <w:tr>
        <w:trPr>
          <w:trHeight w:val="190"/>
        </w:trPr>
        <w:tc>
          <w:tcPr>
            <w:tcW w:w="312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3500" w:type="dxa"/>
            <w:vAlign w:val="bottom"/>
            <w:tcBorders>
              <w:top w:val="single" w:sz="8" w:color="auto"/>
            </w:tcBorders>
          </w:tcPr>
          <w:p>
            <w:pPr>
              <w:spacing w:after="0" w:line="190" w:lineRule="exact"/>
              <w:rPr>
                <w:sz w:val="20"/>
                <w:szCs w:val="20"/>
                <w:color w:val="auto"/>
              </w:rPr>
            </w:pPr>
            <w:r>
              <w:rPr>
                <w:rFonts w:ascii="Arial" w:cs="Arial" w:eastAsia="Arial" w:hAnsi="Arial"/>
                <w:sz w:val="19"/>
                <w:szCs w:val="19"/>
                <w:color w:val="auto"/>
              </w:rPr>
              <w:t>Kenneth D. Seipel</w:t>
            </w:r>
          </w:p>
        </w:tc>
      </w:tr>
      <w:tr>
        <w:trPr>
          <w:trHeight w:val="220"/>
        </w:trPr>
        <w:tc>
          <w:tcPr>
            <w:tcW w:w="312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9"/>
                <w:szCs w:val="19"/>
                <w:color w:val="auto"/>
              </w:rPr>
              <w:t>Chief Executive Officer</w:t>
            </w:r>
          </w:p>
        </w:tc>
      </w:tr>
      <w:tr>
        <w:trPr>
          <w:trHeight w:val="256"/>
        </w:trPr>
        <w:tc>
          <w:tcPr>
            <w:tcW w:w="3120" w:type="dxa"/>
            <w:vAlign w:val="bottom"/>
          </w:tcPr>
          <w:p>
            <w:pPr>
              <w:spacing w:after="0"/>
              <w:rPr>
                <w:sz w:val="22"/>
                <w:szCs w:val="22"/>
                <w:color w:val="auto"/>
              </w:rPr>
            </w:pPr>
          </w:p>
        </w:tc>
        <w:tc>
          <w:tcPr>
            <w:tcW w:w="4080" w:type="dxa"/>
            <w:vAlign w:val="bottom"/>
          </w:tcPr>
          <w:p>
            <w:pPr>
              <w:spacing w:after="0"/>
              <w:rPr>
                <w:sz w:val="22"/>
                <w:szCs w:val="22"/>
                <w:color w:val="auto"/>
              </w:rPr>
            </w:pPr>
          </w:p>
        </w:tc>
        <w:tc>
          <w:tcPr>
            <w:tcW w:w="3500" w:type="dxa"/>
            <w:vAlign w:val="bottom"/>
          </w:tcPr>
          <w:p>
            <w:pPr>
              <w:spacing w:after="0"/>
              <w:rPr>
                <w:sz w:val="20"/>
                <w:szCs w:val="20"/>
                <w:color w:val="auto"/>
              </w:rPr>
            </w:pPr>
            <w:r>
              <w:rPr>
                <w:rFonts w:ascii="Arial" w:cs="Arial" w:eastAsia="Arial" w:hAnsi="Arial"/>
                <w:sz w:val="19"/>
                <w:szCs w:val="19"/>
                <w:color w:val="auto"/>
              </w:rPr>
              <w:t>(Principal Executive Officer)</w:t>
            </w:r>
          </w:p>
        </w:tc>
      </w:tr>
    </w:tbl>
    <w:p>
      <w:pPr>
        <w:spacing w:after="0" w:line="203" w:lineRule="exact"/>
        <w:rPr>
          <w:sz w:val="20"/>
          <w:szCs w:val="20"/>
          <w:color w:val="auto"/>
        </w:rPr>
      </w:pPr>
    </w:p>
    <w:p>
      <w:pPr>
        <w:ind w:right="620"/>
        <w:spacing w:after="0" w:line="281" w:lineRule="auto"/>
        <w:rPr>
          <w:sz w:val="20"/>
          <w:szCs w:val="20"/>
          <w:color w:val="auto"/>
        </w:rPr>
      </w:pPr>
      <w:r>
        <w:rPr>
          <w:rFonts w:ascii="Arial" w:cs="Arial" w:eastAsia="Arial" w:hAnsi="Arial"/>
          <w:sz w:val="19"/>
          <w:szCs w:val="19"/>
          <w:color w:val="auto"/>
        </w:rPr>
        <w:t>Pursuant to the requirements of the Securities Exchange Act of 1934, this report has been signed below by the following persons on behalf of the registrant and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780" w:type="dxa"/>
            <w:vAlign w:val="bottom"/>
            <w:tcBorders>
              <w:bottom w:val="single" w:sz="8" w:color="auto"/>
            </w:tcBorders>
          </w:tcPr>
          <w:p>
            <w:pPr>
              <w:ind w:left="940"/>
              <w:spacing w:after="0"/>
              <w:rPr>
                <w:sz w:val="20"/>
                <w:szCs w:val="20"/>
                <w:color w:val="auto"/>
              </w:rPr>
            </w:pPr>
            <w:r>
              <w:rPr>
                <w:rFonts w:ascii="Arial" w:cs="Arial" w:eastAsia="Arial" w:hAnsi="Arial"/>
                <w:sz w:val="19"/>
                <w:szCs w:val="19"/>
                <w:b w:val="1"/>
                <w:bCs w:val="1"/>
                <w:color w:val="auto"/>
              </w:rPr>
              <w:t>Signature</w:t>
            </w:r>
          </w:p>
        </w:tc>
        <w:tc>
          <w:tcPr>
            <w:tcW w:w="360" w:type="dxa"/>
            <w:vAlign w:val="bottom"/>
          </w:tcPr>
          <w:p>
            <w:pPr>
              <w:spacing w:after="0"/>
              <w:rPr>
                <w:sz w:val="20"/>
                <w:szCs w:val="20"/>
                <w:color w:val="auto"/>
              </w:rPr>
            </w:pPr>
          </w:p>
        </w:tc>
        <w:tc>
          <w:tcPr>
            <w:tcW w:w="5340" w:type="dxa"/>
            <w:vAlign w:val="bottom"/>
            <w:tcBorders>
              <w:bottom w:val="single" w:sz="8" w:color="auto"/>
            </w:tcBorders>
          </w:tcPr>
          <w:p>
            <w:pPr>
              <w:ind w:left="2480"/>
              <w:spacing w:after="0"/>
              <w:rPr>
                <w:sz w:val="20"/>
                <w:szCs w:val="20"/>
                <w:color w:val="auto"/>
              </w:rPr>
            </w:pPr>
            <w:r>
              <w:rPr>
                <w:rFonts w:ascii="Arial" w:cs="Arial" w:eastAsia="Arial" w:hAnsi="Arial"/>
                <w:sz w:val="19"/>
                <w:szCs w:val="19"/>
                <w:b w:val="1"/>
                <w:bCs w:val="1"/>
                <w:color w:val="auto"/>
              </w:rPr>
              <w:t>Title</w:t>
            </w:r>
          </w:p>
        </w:tc>
        <w:tc>
          <w:tcPr>
            <w:tcW w:w="360" w:type="dxa"/>
            <w:vAlign w:val="bottom"/>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9"/>
                <w:szCs w:val="19"/>
                <w:b w:val="1"/>
                <w:bCs w:val="1"/>
                <w:color w:val="auto"/>
                <w:w w:val="97"/>
              </w:rPr>
              <w:t>Date</w:t>
            </w:r>
          </w:p>
        </w:tc>
      </w:tr>
      <w:tr>
        <w:trPr>
          <w:trHeight w:val="429"/>
        </w:trPr>
        <w:tc>
          <w:tcPr>
            <w:tcW w:w="278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Kenneth D. Seipel</w:t>
            </w:r>
          </w:p>
        </w:tc>
        <w:tc>
          <w:tcPr>
            <w:tcW w:w="5700" w:type="dxa"/>
            <w:vAlign w:val="bottom"/>
            <w:gridSpan w:val="2"/>
          </w:tcPr>
          <w:p>
            <w:pPr>
              <w:ind w:left="360"/>
              <w:spacing w:after="0"/>
              <w:rPr>
                <w:sz w:val="20"/>
                <w:szCs w:val="20"/>
                <w:color w:val="auto"/>
              </w:rPr>
            </w:pPr>
            <w:r>
              <w:rPr>
                <w:rFonts w:ascii="Arial" w:cs="Arial" w:eastAsia="Arial" w:hAnsi="Arial"/>
                <w:sz w:val="19"/>
                <w:szCs w:val="19"/>
                <w:color w:val="auto"/>
              </w:rPr>
              <w:t>Chief Executive Officer</w:t>
            </w:r>
          </w:p>
        </w:tc>
        <w:tc>
          <w:tcPr>
            <w:tcW w:w="36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9"/>
                <w:szCs w:val="19"/>
                <w:color w:val="auto"/>
                <w:w w:val="98"/>
              </w:rPr>
              <w:t>April 15, 2026</w:t>
            </w:r>
          </w:p>
        </w:tc>
      </w:tr>
      <w:tr>
        <w:trPr>
          <w:trHeight w:val="245"/>
        </w:trPr>
        <w:tc>
          <w:tcPr>
            <w:tcW w:w="2780" w:type="dxa"/>
            <w:vAlign w:val="bottom"/>
          </w:tcPr>
          <w:p>
            <w:pPr>
              <w:spacing w:after="0"/>
              <w:rPr>
                <w:sz w:val="20"/>
                <w:szCs w:val="20"/>
                <w:color w:val="auto"/>
              </w:rPr>
            </w:pPr>
            <w:r>
              <w:rPr>
                <w:rFonts w:ascii="Arial" w:cs="Arial" w:eastAsia="Arial" w:hAnsi="Arial"/>
                <w:sz w:val="19"/>
                <w:szCs w:val="19"/>
                <w:color w:val="auto"/>
              </w:rPr>
              <w:t>Kenneth D. Seipel</w:t>
            </w:r>
          </w:p>
        </w:tc>
        <w:tc>
          <w:tcPr>
            <w:tcW w:w="5700" w:type="dxa"/>
            <w:vAlign w:val="bottom"/>
            <w:gridSpan w:val="2"/>
          </w:tcPr>
          <w:p>
            <w:pPr>
              <w:ind w:left="360"/>
              <w:spacing w:after="0"/>
              <w:rPr>
                <w:sz w:val="20"/>
                <w:szCs w:val="20"/>
                <w:color w:val="auto"/>
              </w:rPr>
            </w:pPr>
            <w:r>
              <w:rPr>
                <w:rFonts w:ascii="Arial" w:cs="Arial" w:eastAsia="Arial" w:hAnsi="Arial"/>
                <w:sz w:val="19"/>
                <w:szCs w:val="19"/>
                <w:color w:val="auto"/>
              </w:rPr>
              <w:t>(Principal Executive Officer) and Chairman</w:t>
            </w:r>
          </w:p>
        </w:tc>
        <w:tc>
          <w:tcPr>
            <w:tcW w:w="36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403"/>
        </w:trPr>
        <w:tc>
          <w:tcPr>
            <w:tcW w:w="278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Heather Plutino</w:t>
            </w:r>
          </w:p>
        </w:tc>
        <w:tc>
          <w:tcPr>
            <w:tcW w:w="5700" w:type="dxa"/>
            <w:vAlign w:val="bottom"/>
            <w:gridSpan w:val="2"/>
          </w:tcPr>
          <w:p>
            <w:pPr>
              <w:ind w:left="360"/>
              <w:spacing w:after="0"/>
              <w:rPr>
                <w:sz w:val="20"/>
                <w:szCs w:val="20"/>
                <w:color w:val="auto"/>
              </w:rPr>
            </w:pPr>
            <w:r>
              <w:rPr>
                <w:rFonts w:ascii="Arial" w:cs="Arial" w:eastAsia="Arial" w:hAnsi="Arial"/>
                <w:sz w:val="19"/>
                <w:szCs w:val="19"/>
                <w:color w:val="auto"/>
              </w:rPr>
              <w:t>Chief Financial Officer</w:t>
            </w:r>
          </w:p>
        </w:tc>
        <w:tc>
          <w:tcPr>
            <w:tcW w:w="36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9"/>
                <w:szCs w:val="19"/>
                <w:color w:val="auto"/>
                <w:w w:val="98"/>
              </w:rPr>
              <w:t>April 15, 2026</w:t>
            </w:r>
          </w:p>
        </w:tc>
      </w:tr>
      <w:tr>
        <w:trPr>
          <w:trHeight w:val="245"/>
        </w:trPr>
        <w:tc>
          <w:tcPr>
            <w:tcW w:w="2780" w:type="dxa"/>
            <w:vAlign w:val="bottom"/>
          </w:tcPr>
          <w:p>
            <w:pPr>
              <w:spacing w:after="0"/>
              <w:rPr>
                <w:sz w:val="20"/>
                <w:szCs w:val="20"/>
                <w:color w:val="auto"/>
              </w:rPr>
            </w:pPr>
            <w:r>
              <w:rPr>
                <w:rFonts w:ascii="Arial" w:cs="Arial" w:eastAsia="Arial" w:hAnsi="Arial"/>
                <w:sz w:val="19"/>
                <w:szCs w:val="19"/>
                <w:color w:val="auto"/>
              </w:rPr>
              <w:t>Heather Plutino</w:t>
            </w:r>
          </w:p>
        </w:tc>
        <w:tc>
          <w:tcPr>
            <w:tcW w:w="360" w:type="dxa"/>
            <w:vAlign w:val="bottom"/>
          </w:tcPr>
          <w:p>
            <w:pPr>
              <w:spacing w:after="0"/>
              <w:rPr>
                <w:sz w:val="21"/>
                <w:szCs w:val="21"/>
                <w:color w:val="auto"/>
              </w:rPr>
            </w:pPr>
          </w:p>
        </w:tc>
        <w:tc>
          <w:tcPr>
            <w:tcW w:w="5340" w:type="dxa"/>
            <w:vAlign w:val="bottom"/>
          </w:tcPr>
          <w:p>
            <w:pPr>
              <w:spacing w:after="0"/>
              <w:rPr>
                <w:sz w:val="20"/>
                <w:szCs w:val="20"/>
                <w:color w:val="auto"/>
              </w:rPr>
            </w:pPr>
            <w:r>
              <w:rPr>
                <w:rFonts w:ascii="Arial" w:cs="Arial" w:eastAsia="Arial" w:hAnsi="Arial"/>
                <w:sz w:val="19"/>
                <w:szCs w:val="19"/>
                <w:color w:val="auto"/>
              </w:rPr>
              <w:t>(Principal Financial and Accounting Officer)</w:t>
            </w:r>
          </w:p>
        </w:tc>
        <w:tc>
          <w:tcPr>
            <w:tcW w:w="36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404"/>
        </w:trPr>
        <w:tc>
          <w:tcPr>
            <w:tcW w:w="278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Pamela Edwards</w:t>
            </w:r>
          </w:p>
        </w:tc>
        <w:tc>
          <w:tcPr>
            <w:tcW w:w="5700" w:type="dxa"/>
            <w:vAlign w:val="bottom"/>
            <w:gridSpan w:val="2"/>
          </w:tcPr>
          <w:p>
            <w:pPr>
              <w:ind w:left="360"/>
              <w:spacing w:after="0"/>
              <w:rPr>
                <w:sz w:val="20"/>
                <w:szCs w:val="20"/>
                <w:color w:val="auto"/>
              </w:rPr>
            </w:pPr>
            <w:r>
              <w:rPr>
                <w:rFonts w:ascii="Arial" w:cs="Arial" w:eastAsia="Arial" w:hAnsi="Arial"/>
                <w:sz w:val="19"/>
                <w:szCs w:val="19"/>
                <w:color w:val="auto"/>
              </w:rPr>
              <w:t>Director</w:t>
            </w:r>
          </w:p>
        </w:tc>
        <w:tc>
          <w:tcPr>
            <w:tcW w:w="36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9"/>
                <w:szCs w:val="19"/>
                <w:color w:val="auto"/>
                <w:w w:val="98"/>
              </w:rPr>
              <w:t>April 15, 2026</w:t>
            </w:r>
          </w:p>
        </w:tc>
      </w:tr>
      <w:tr>
        <w:trPr>
          <w:trHeight w:val="245"/>
        </w:trPr>
        <w:tc>
          <w:tcPr>
            <w:tcW w:w="2780" w:type="dxa"/>
            <w:vAlign w:val="bottom"/>
          </w:tcPr>
          <w:p>
            <w:pPr>
              <w:spacing w:after="0"/>
              <w:rPr>
                <w:sz w:val="20"/>
                <w:szCs w:val="20"/>
                <w:color w:val="auto"/>
              </w:rPr>
            </w:pPr>
            <w:r>
              <w:rPr>
                <w:rFonts w:ascii="Arial" w:cs="Arial" w:eastAsia="Arial" w:hAnsi="Arial"/>
                <w:sz w:val="19"/>
                <w:szCs w:val="19"/>
                <w:color w:val="auto"/>
              </w:rPr>
              <w:t>Pamela Edwards</w:t>
            </w:r>
          </w:p>
        </w:tc>
        <w:tc>
          <w:tcPr>
            <w:tcW w:w="360" w:type="dxa"/>
            <w:vAlign w:val="bottom"/>
          </w:tcPr>
          <w:p>
            <w:pPr>
              <w:spacing w:after="0"/>
              <w:rPr>
                <w:sz w:val="21"/>
                <w:szCs w:val="21"/>
                <w:color w:val="auto"/>
              </w:rPr>
            </w:pPr>
          </w:p>
        </w:tc>
        <w:tc>
          <w:tcPr>
            <w:tcW w:w="5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403"/>
        </w:trPr>
        <w:tc>
          <w:tcPr>
            <w:tcW w:w="278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Benjamin Faw</w:t>
            </w:r>
          </w:p>
        </w:tc>
        <w:tc>
          <w:tcPr>
            <w:tcW w:w="360" w:type="dxa"/>
            <w:vAlign w:val="bottom"/>
          </w:tcPr>
          <w:p>
            <w:pPr>
              <w:spacing w:after="0"/>
              <w:rPr>
                <w:sz w:val="24"/>
                <w:szCs w:val="24"/>
                <w:color w:val="auto"/>
              </w:rPr>
            </w:pPr>
          </w:p>
        </w:tc>
        <w:tc>
          <w:tcPr>
            <w:tcW w:w="5340" w:type="dxa"/>
            <w:vAlign w:val="bottom"/>
          </w:tcPr>
          <w:p>
            <w:pPr>
              <w:spacing w:after="0"/>
              <w:rPr>
                <w:sz w:val="20"/>
                <w:szCs w:val="20"/>
                <w:color w:val="auto"/>
              </w:rPr>
            </w:pPr>
            <w:r>
              <w:rPr>
                <w:rFonts w:ascii="Arial" w:cs="Arial" w:eastAsia="Arial" w:hAnsi="Arial"/>
                <w:sz w:val="19"/>
                <w:szCs w:val="19"/>
                <w:color w:val="auto"/>
              </w:rPr>
              <w:t>Director</w:t>
            </w:r>
          </w:p>
        </w:tc>
        <w:tc>
          <w:tcPr>
            <w:tcW w:w="36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9"/>
                <w:szCs w:val="19"/>
                <w:color w:val="auto"/>
                <w:w w:val="98"/>
              </w:rPr>
              <w:t>April 15, 2026</w:t>
            </w:r>
          </w:p>
        </w:tc>
      </w:tr>
      <w:tr>
        <w:trPr>
          <w:trHeight w:val="245"/>
        </w:trPr>
        <w:tc>
          <w:tcPr>
            <w:tcW w:w="2780" w:type="dxa"/>
            <w:vAlign w:val="bottom"/>
          </w:tcPr>
          <w:p>
            <w:pPr>
              <w:spacing w:after="0"/>
              <w:rPr>
                <w:sz w:val="20"/>
                <w:szCs w:val="20"/>
                <w:color w:val="auto"/>
              </w:rPr>
            </w:pPr>
            <w:r>
              <w:rPr>
                <w:rFonts w:ascii="Arial" w:cs="Arial" w:eastAsia="Arial" w:hAnsi="Arial"/>
                <w:sz w:val="19"/>
                <w:szCs w:val="19"/>
                <w:color w:val="auto"/>
              </w:rPr>
              <w:t>Benjamin Faw</w:t>
            </w:r>
          </w:p>
        </w:tc>
        <w:tc>
          <w:tcPr>
            <w:tcW w:w="360" w:type="dxa"/>
            <w:vAlign w:val="bottom"/>
          </w:tcPr>
          <w:p>
            <w:pPr>
              <w:spacing w:after="0"/>
              <w:rPr>
                <w:sz w:val="21"/>
                <w:szCs w:val="21"/>
                <w:color w:val="auto"/>
              </w:rPr>
            </w:pPr>
          </w:p>
        </w:tc>
        <w:tc>
          <w:tcPr>
            <w:tcW w:w="5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403"/>
        </w:trPr>
        <w:tc>
          <w:tcPr>
            <w:tcW w:w="278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David Heath</w:t>
            </w:r>
          </w:p>
        </w:tc>
        <w:tc>
          <w:tcPr>
            <w:tcW w:w="360" w:type="dxa"/>
            <w:vAlign w:val="bottom"/>
          </w:tcPr>
          <w:p>
            <w:pPr>
              <w:spacing w:after="0"/>
              <w:rPr>
                <w:sz w:val="24"/>
                <w:szCs w:val="24"/>
                <w:color w:val="auto"/>
              </w:rPr>
            </w:pPr>
          </w:p>
        </w:tc>
        <w:tc>
          <w:tcPr>
            <w:tcW w:w="5340" w:type="dxa"/>
            <w:vAlign w:val="bottom"/>
          </w:tcPr>
          <w:p>
            <w:pPr>
              <w:spacing w:after="0"/>
              <w:rPr>
                <w:sz w:val="20"/>
                <w:szCs w:val="20"/>
                <w:color w:val="auto"/>
              </w:rPr>
            </w:pPr>
            <w:r>
              <w:rPr>
                <w:rFonts w:ascii="Arial" w:cs="Arial" w:eastAsia="Arial" w:hAnsi="Arial"/>
                <w:sz w:val="19"/>
                <w:szCs w:val="19"/>
                <w:color w:val="auto"/>
              </w:rPr>
              <w:t>Director</w:t>
            </w:r>
          </w:p>
        </w:tc>
        <w:tc>
          <w:tcPr>
            <w:tcW w:w="36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9"/>
                <w:szCs w:val="19"/>
                <w:color w:val="auto"/>
                <w:w w:val="98"/>
              </w:rPr>
              <w:t>April 15, 2026</w:t>
            </w:r>
          </w:p>
        </w:tc>
      </w:tr>
      <w:tr>
        <w:trPr>
          <w:trHeight w:val="245"/>
        </w:trPr>
        <w:tc>
          <w:tcPr>
            <w:tcW w:w="2780" w:type="dxa"/>
            <w:vAlign w:val="bottom"/>
          </w:tcPr>
          <w:p>
            <w:pPr>
              <w:spacing w:after="0"/>
              <w:rPr>
                <w:sz w:val="20"/>
                <w:szCs w:val="20"/>
                <w:color w:val="auto"/>
              </w:rPr>
            </w:pPr>
            <w:r>
              <w:rPr>
                <w:rFonts w:ascii="Arial" w:cs="Arial" w:eastAsia="Arial" w:hAnsi="Arial"/>
                <w:sz w:val="19"/>
                <w:szCs w:val="19"/>
                <w:color w:val="auto"/>
              </w:rPr>
              <w:t>David Heath</w:t>
            </w:r>
          </w:p>
        </w:tc>
        <w:tc>
          <w:tcPr>
            <w:tcW w:w="360" w:type="dxa"/>
            <w:vAlign w:val="bottom"/>
          </w:tcPr>
          <w:p>
            <w:pPr>
              <w:spacing w:after="0"/>
              <w:rPr>
                <w:sz w:val="21"/>
                <w:szCs w:val="21"/>
                <w:color w:val="auto"/>
              </w:rPr>
            </w:pPr>
          </w:p>
        </w:tc>
        <w:tc>
          <w:tcPr>
            <w:tcW w:w="5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403"/>
        </w:trPr>
        <w:tc>
          <w:tcPr>
            <w:tcW w:w="278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Margaret L. Jenkins</w:t>
            </w:r>
          </w:p>
        </w:tc>
        <w:tc>
          <w:tcPr>
            <w:tcW w:w="5700" w:type="dxa"/>
            <w:vAlign w:val="bottom"/>
            <w:gridSpan w:val="2"/>
          </w:tcPr>
          <w:p>
            <w:pPr>
              <w:ind w:left="360"/>
              <w:spacing w:after="0"/>
              <w:rPr>
                <w:sz w:val="20"/>
                <w:szCs w:val="20"/>
                <w:color w:val="auto"/>
              </w:rPr>
            </w:pPr>
            <w:r>
              <w:rPr>
                <w:rFonts w:ascii="Arial" w:cs="Arial" w:eastAsia="Arial" w:hAnsi="Arial"/>
                <w:sz w:val="19"/>
                <w:szCs w:val="19"/>
                <w:color w:val="auto"/>
              </w:rPr>
              <w:t>Director</w:t>
            </w:r>
          </w:p>
        </w:tc>
        <w:tc>
          <w:tcPr>
            <w:tcW w:w="36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9"/>
                <w:szCs w:val="19"/>
                <w:color w:val="auto"/>
                <w:w w:val="98"/>
              </w:rPr>
              <w:t>April 15, 2026</w:t>
            </w:r>
          </w:p>
        </w:tc>
      </w:tr>
      <w:tr>
        <w:trPr>
          <w:trHeight w:val="245"/>
        </w:trPr>
        <w:tc>
          <w:tcPr>
            <w:tcW w:w="2780" w:type="dxa"/>
            <w:vAlign w:val="bottom"/>
          </w:tcPr>
          <w:p>
            <w:pPr>
              <w:spacing w:after="0"/>
              <w:rPr>
                <w:sz w:val="20"/>
                <w:szCs w:val="20"/>
                <w:color w:val="auto"/>
              </w:rPr>
            </w:pPr>
            <w:r>
              <w:rPr>
                <w:rFonts w:ascii="Arial" w:cs="Arial" w:eastAsia="Arial" w:hAnsi="Arial"/>
                <w:sz w:val="19"/>
                <w:szCs w:val="19"/>
                <w:color w:val="auto"/>
              </w:rPr>
              <w:t>Margaret L. Jenkins</w:t>
            </w:r>
          </w:p>
        </w:tc>
        <w:tc>
          <w:tcPr>
            <w:tcW w:w="360" w:type="dxa"/>
            <w:vAlign w:val="bottom"/>
          </w:tcPr>
          <w:p>
            <w:pPr>
              <w:spacing w:after="0"/>
              <w:rPr>
                <w:sz w:val="21"/>
                <w:szCs w:val="21"/>
                <w:color w:val="auto"/>
              </w:rPr>
            </w:pPr>
          </w:p>
        </w:tc>
        <w:tc>
          <w:tcPr>
            <w:tcW w:w="5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403"/>
        </w:trPr>
        <w:tc>
          <w:tcPr>
            <w:tcW w:w="278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Michael S. Kvitko</w:t>
            </w:r>
          </w:p>
        </w:tc>
        <w:tc>
          <w:tcPr>
            <w:tcW w:w="360" w:type="dxa"/>
            <w:vAlign w:val="bottom"/>
          </w:tcPr>
          <w:p>
            <w:pPr>
              <w:spacing w:after="0"/>
              <w:rPr>
                <w:sz w:val="24"/>
                <w:szCs w:val="24"/>
                <w:color w:val="auto"/>
              </w:rPr>
            </w:pPr>
          </w:p>
        </w:tc>
        <w:tc>
          <w:tcPr>
            <w:tcW w:w="5340" w:type="dxa"/>
            <w:vAlign w:val="bottom"/>
          </w:tcPr>
          <w:p>
            <w:pPr>
              <w:spacing w:after="0"/>
              <w:rPr>
                <w:sz w:val="20"/>
                <w:szCs w:val="20"/>
                <w:color w:val="auto"/>
              </w:rPr>
            </w:pPr>
            <w:r>
              <w:rPr>
                <w:rFonts w:ascii="Arial" w:cs="Arial" w:eastAsia="Arial" w:hAnsi="Arial"/>
                <w:sz w:val="19"/>
                <w:szCs w:val="19"/>
                <w:color w:val="auto"/>
              </w:rPr>
              <w:t>Director</w:t>
            </w:r>
          </w:p>
        </w:tc>
        <w:tc>
          <w:tcPr>
            <w:tcW w:w="36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9"/>
                <w:szCs w:val="19"/>
                <w:color w:val="auto"/>
                <w:w w:val="98"/>
              </w:rPr>
              <w:t>April 15, 2026</w:t>
            </w:r>
          </w:p>
        </w:tc>
      </w:tr>
      <w:tr>
        <w:trPr>
          <w:trHeight w:val="245"/>
        </w:trPr>
        <w:tc>
          <w:tcPr>
            <w:tcW w:w="2780" w:type="dxa"/>
            <w:vAlign w:val="bottom"/>
          </w:tcPr>
          <w:p>
            <w:pPr>
              <w:spacing w:after="0"/>
              <w:rPr>
                <w:sz w:val="20"/>
                <w:szCs w:val="20"/>
                <w:color w:val="auto"/>
              </w:rPr>
            </w:pPr>
            <w:r>
              <w:rPr>
                <w:rFonts w:ascii="Arial" w:cs="Arial" w:eastAsia="Arial" w:hAnsi="Arial"/>
                <w:sz w:val="19"/>
                <w:szCs w:val="19"/>
                <w:color w:val="auto"/>
              </w:rPr>
              <w:t>Michael S. Kvitko</w:t>
            </w:r>
          </w:p>
        </w:tc>
        <w:tc>
          <w:tcPr>
            <w:tcW w:w="360" w:type="dxa"/>
            <w:vAlign w:val="bottom"/>
          </w:tcPr>
          <w:p>
            <w:pPr>
              <w:spacing w:after="0"/>
              <w:rPr>
                <w:sz w:val="21"/>
                <w:szCs w:val="21"/>
                <w:color w:val="auto"/>
              </w:rPr>
            </w:pPr>
          </w:p>
        </w:tc>
        <w:tc>
          <w:tcPr>
            <w:tcW w:w="5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403"/>
        </w:trPr>
        <w:tc>
          <w:tcPr>
            <w:tcW w:w="278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Charles Liu</w:t>
            </w:r>
          </w:p>
        </w:tc>
        <w:tc>
          <w:tcPr>
            <w:tcW w:w="360" w:type="dxa"/>
            <w:vAlign w:val="bottom"/>
          </w:tcPr>
          <w:p>
            <w:pPr>
              <w:spacing w:after="0"/>
              <w:rPr>
                <w:sz w:val="24"/>
                <w:szCs w:val="24"/>
                <w:color w:val="auto"/>
              </w:rPr>
            </w:pPr>
          </w:p>
        </w:tc>
        <w:tc>
          <w:tcPr>
            <w:tcW w:w="5340" w:type="dxa"/>
            <w:vAlign w:val="bottom"/>
          </w:tcPr>
          <w:p>
            <w:pPr>
              <w:spacing w:after="0"/>
              <w:rPr>
                <w:sz w:val="20"/>
                <w:szCs w:val="20"/>
                <w:color w:val="auto"/>
              </w:rPr>
            </w:pPr>
            <w:r>
              <w:rPr>
                <w:rFonts w:ascii="Arial" w:cs="Arial" w:eastAsia="Arial" w:hAnsi="Arial"/>
                <w:sz w:val="19"/>
                <w:szCs w:val="19"/>
                <w:color w:val="auto"/>
              </w:rPr>
              <w:t>Director</w:t>
            </w:r>
          </w:p>
        </w:tc>
        <w:tc>
          <w:tcPr>
            <w:tcW w:w="36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9"/>
                <w:szCs w:val="19"/>
                <w:color w:val="auto"/>
                <w:w w:val="98"/>
              </w:rPr>
              <w:t>April 15, 2026</w:t>
            </w:r>
          </w:p>
        </w:tc>
      </w:tr>
      <w:tr>
        <w:trPr>
          <w:trHeight w:val="245"/>
        </w:trPr>
        <w:tc>
          <w:tcPr>
            <w:tcW w:w="2780" w:type="dxa"/>
            <w:vAlign w:val="bottom"/>
          </w:tcPr>
          <w:p>
            <w:pPr>
              <w:spacing w:after="0"/>
              <w:rPr>
                <w:sz w:val="20"/>
                <w:szCs w:val="20"/>
                <w:color w:val="auto"/>
              </w:rPr>
            </w:pPr>
            <w:r>
              <w:rPr>
                <w:rFonts w:ascii="Arial" w:cs="Arial" w:eastAsia="Arial" w:hAnsi="Arial"/>
                <w:sz w:val="19"/>
                <w:szCs w:val="19"/>
                <w:color w:val="auto"/>
              </w:rPr>
              <w:t>Charles Liu</w:t>
            </w:r>
          </w:p>
        </w:tc>
        <w:tc>
          <w:tcPr>
            <w:tcW w:w="360" w:type="dxa"/>
            <w:vAlign w:val="bottom"/>
          </w:tcPr>
          <w:p>
            <w:pPr>
              <w:spacing w:after="0"/>
              <w:rPr>
                <w:sz w:val="21"/>
                <w:szCs w:val="21"/>
                <w:color w:val="auto"/>
              </w:rPr>
            </w:pPr>
          </w:p>
        </w:tc>
        <w:tc>
          <w:tcPr>
            <w:tcW w:w="5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403"/>
        </w:trPr>
        <w:tc>
          <w:tcPr>
            <w:tcW w:w="278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Cara Robinson</w:t>
            </w:r>
          </w:p>
        </w:tc>
        <w:tc>
          <w:tcPr>
            <w:tcW w:w="5700" w:type="dxa"/>
            <w:vAlign w:val="bottom"/>
            <w:gridSpan w:val="2"/>
          </w:tcPr>
          <w:p>
            <w:pPr>
              <w:ind w:left="360"/>
              <w:spacing w:after="0"/>
              <w:rPr>
                <w:sz w:val="20"/>
                <w:szCs w:val="20"/>
                <w:color w:val="auto"/>
              </w:rPr>
            </w:pPr>
            <w:r>
              <w:rPr>
                <w:rFonts w:ascii="Arial" w:cs="Arial" w:eastAsia="Arial" w:hAnsi="Arial"/>
                <w:sz w:val="19"/>
                <w:szCs w:val="19"/>
                <w:color w:val="auto"/>
              </w:rPr>
              <w:t>Director</w:t>
            </w:r>
          </w:p>
        </w:tc>
        <w:tc>
          <w:tcPr>
            <w:tcW w:w="36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9"/>
                <w:szCs w:val="19"/>
                <w:color w:val="auto"/>
                <w:w w:val="98"/>
              </w:rPr>
              <w:t>April 15, 2026</w:t>
            </w:r>
          </w:p>
        </w:tc>
      </w:tr>
      <w:tr>
        <w:trPr>
          <w:trHeight w:val="245"/>
        </w:trPr>
        <w:tc>
          <w:tcPr>
            <w:tcW w:w="2780" w:type="dxa"/>
            <w:vAlign w:val="bottom"/>
          </w:tcPr>
          <w:p>
            <w:pPr>
              <w:spacing w:after="0"/>
              <w:rPr>
                <w:sz w:val="20"/>
                <w:szCs w:val="20"/>
                <w:color w:val="auto"/>
              </w:rPr>
            </w:pPr>
            <w:r>
              <w:rPr>
                <w:rFonts w:ascii="Arial" w:cs="Arial" w:eastAsia="Arial" w:hAnsi="Arial"/>
                <w:sz w:val="19"/>
                <w:szCs w:val="19"/>
                <w:color w:val="auto"/>
              </w:rPr>
              <w:t>Cara Robinson</w:t>
            </w:r>
          </w:p>
        </w:tc>
        <w:tc>
          <w:tcPr>
            <w:tcW w:w="360" w:type="dxa"/>
            <w:vAlign w:val="bottom"/>
          </w:tcPr>
          <w:p>
            <w:pPr>
              <w:spacing w:after="0"/>
              <w:rPr>
                <w:sz w:val="21"/>
                <w:szCs w:val="21"/>
                <w:color w:val="auto"/>
              </w:rPr>
            </w:pPr>
          </w:p>
        </w:tc>
        <w:tc>
          <w:tcPr>
            <w:tcW w:w="5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00" w:type="dxa"/>
            <w:vAlign w:val="bottom"/>
          </w:tcPr>
          <w:p>
            <w:pPr>
              <w:spacing w:after="0"/>
              <w:rPr>
                <w:sz w:val="21"/>
                <w:szCs w:val="21"/>
                <w:color w:val="auto"/>
              </w:rPr>
            </w:pPr>
          </w:p>
        </w:tc>
      </w:tr>
    </w:tbl>
    <w:p>
      <w:pPr>
        <w:spacing w:after="0" w:line="200" w:lineRule="exact"/>
        <w:rPr>
          <w:sz w:val="20"/>
          <w:szCs w:val="20"/>
          <w:color w:val="auto"/>
        </w:rPr>
      </w:pPr>
    </w:p>
    <w:p>
      <w:pPr>
        <w:sectPr>
          <w:pgSz w:w="11880" w:h="15480" w:orient="portrait"/>
          <w:cols w:equalWidth="0" w:num="1">
            <w:col w:w="10700"/>
          </w:cols>
          <w:pgMar w:left="540" w:top="804" w:right="640" w:bottom="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55</w:t>
      </w:r>
    </w:p>
    <w:sectPr>
      <w:pgSz w:w="11880" w:h="15480" w:orient="portrait"/>
      <w:cols w:equalWidth="0" w:num="1">
        <w:col w:w="10700"/>
      </w:cols>
      <w:pgMar w:left="540" w:top="804" w:right="640" w:bottom="1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Segoe UI Symbol">
    <w:panose1 w:val="020B0502040204020203"/>
    <w:charset w:val="00"/>
    <w:family w:val="swiss"/>
    <w:pitch w:val="variable"/>
    <w:sig w:usb0="800001E3" w:usb1="1200FFEF" w:usb2="00040000" w:usb3="04000000" w:csb0="00000001" w:csb1="40000000"/>
  </w:font>
  <w:font w:name="Symbol">
    <w:panose1 w:val="05050102010706020507"/>
    <w:charset w:val="00"/>
    <w:family w:val="auto"/>
    <w:pitch w:val="variable"/>
    <w:sig w:usb0="00000000" w:usb1="00000000" w:usb2="00000000" w:usb3="00000000" w:csb0="80000000" w:csb1="00000000"/>
  </w:font>
  <w:font w:name="Cambria Math">
    <w:panose1 w:val="02040503050406030204"/>
    <w:charset w:val="00"/>
    <w:family w:val="roman"/>
    <w:pitch w:val="variable"/>
    <w:sig w:usb0="E00002FF" w:usb1="420024FF" w:usb2="00000000" w:usb3="00000000" w:csb0="2000019F" w:csb1="0000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lowerRoman"/>
      <w:start w:val="3"/>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1"/>
      <w:numFmt w:val="lowerLetter"/>
      <w:start w:val="15"/>
    </w:lvl>
  </w:abstractNum>
  <w:abstractNum w:abstractNumId="13">
    <w:nsid w:val="25E45D32"/>
    <w:multiLevelType w:val="hybridMultilevel"/>
    <w:lvl w:ilvl="0">
      <w:lvlJc w:val="left"/>
      <w:lvlText w:val="%1"/>
      <w:numFmt w:val="lowerLetter"/>
      <w:start w:val="15"/>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1)"/>
      <w:numFmt w:val="decimal"/>
      <w:start w:val="1"/>
    </w:lvl>
  </w:abstractNum>
  <w:abstractNum w:abstractNumId="17">
    <w:nsid w:val="7C83E458"/>
    <w:multiLevelType w:val="hybridMultilevel"/>
    <w:lvl w:ilvl="0">
      <w:lvlJc w:val="left"/>
      <w:lvlText w:val="(%1)"/>
      <w:numFmt w:val="lowerLetter"/>
      <w:start w:val="1"/>
    </w:lvl>
  </w:abstractNum>
  <w:abstractNum w:abstractNumId="18">
    <w:nsid w:val="257130A3"/>
    <w:multiLevelType w:val="hybridMultilevel"/>
    <w:lvl w:ilvl="0">
      <w:lvlJc w:val="left"/>
      <w:lvlText w:val="+"/>
      <w:numFmt w:val="bullet"/>
      <w:start w:val="1"/>
    </w:lvl>
  </w:abstractNum>
  <w:abstractNum w:abstractNumId="19">
    <w:nsid w:val="62BBD9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2026-05-01T10:52:10Z</dcterms:created>
  <dcterms:modified xsi:type="dcterms:W3CDTF">2026-05-01T10:52:10Z</dcterms:modified>
</cp:coreProperties>
</file>