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220980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246380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112" w:lineRule="exact"/>
        <w:rPr>
          <w:sz w:val="24"/>
          <w:szCs w:val="24"/>
          <w:color w:val="auto"/>
        </w:rPr>
      </w:pPr>
    </w:p>
    <w:p>
      <w:pPr>
        <w:ind w:left="281" w:hanging="281"/>
        <w:spacing w:after="0"/>
        <w:tabs>
          <w:tab w:leader="none" w:pos="28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February 3, 2018</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1" w:hanging="301"/>
        <w:spacing w:after="0"/>
        <w:tabs>
          <w:tab w:leader="none" w:pos="30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9" w:lineRule="exact"/>
        <w:rPr>
          <w:sz w:val="24"/>
          <w:szCs w:val="24"/>
          <w:color w:val="auto"/>
        </w:rPr>
      </w:pPr>
    </w:p>
    <w:p>
      <w:pPr>
        <w:ind w:left="3461"/>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000-51315</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CITI TRENDS,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tbl>
      <w:tblPr>
        <w:tblLayout w:type="fixed"/>
        <w:tblInd w:w="1"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50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spacing w:after="0"/>
              <w:rPr>
                <w:sz w:val="14"/>
                <w:szCs w:val="14"/>
                <w:color w:val="auto"/>
              </w:rPr>
            </w:pPr>
          </w:p>
        </w:tc>
        <w:tc>
          <w:tcPr>
            <w:tcW w:w="1780" w:type="dxa"/>
            <w:vAlign w:val="bottom"/>
          </w:tcPr>
          <w:p>
            <w:pPr>
              <w:jc w:val="right"/>
              <w:ind w:right="1008"/>
              <w:spacing w:after="0"/>
              <w:rPr>
                <w:sz w:val="20"/>
                <w:szCs w:val="20"/>
                <w:color w:val="auto"/>
              </w:rPr>
            </w:pPr>
            <w:r>
              <w:rPr>
                <w:rFonts w:ascii="Arial" w:cs="Arial" w:eastAsia="Arial" w:hAnsi="Arial"/>
                <w:sz w:val="14"/>
                <w:szCs w:val="14"/>
                <w:b w:val="1"/>
                <w:bCs w:val="1"/>
                <w:color w:val="auto"/>
                <w:w w:val="90"/>
              </w:rPr>
              <w:t>52-2150697</w:t>
            </w:r>
          </w:p>
        </w:tc>
      </w:tr>
      <w:tr>
        <w:trPr>
          <w:trHeight w:val="149"/>
        </w:trPr>
        <w:tc>
          <w:tcPr>
            <w:tcW w:w="1020" w:type="dxa"/>
            <w:vAlign w:val="bottom"/>
          </w:tcPr>
          <w:p>
            <w:pPr>
              <w:spacing w:after="0"/>
              <w:rPr>
                <w:sz w:val="12"/>
                <w:szCs w:val="12"/>
                <w:color w:val="auto"/>
              </w:rPr>
            </w:pPr>
          </w:p>
        </w:tc>
        <w:tc>
          <w:tcPr>
            <w:tcW w:w="5040" w:type="dxa"/>
            <w:vAlign w:val="bottom"/>
            <w:gridSpan w:val="3"/>
          </w:tcPr>
          <w:p>
            <w:pPr>
              <w:jc w:val="center"/>
              <w:ind w:right="2040"/>
              <w:spacing w:after="0" w:line="149" w:lineRule="exact"/>
              <w:rPr>
                <w:sz w:val="20"/>
                <w:szCs w:val="20"/>
                <w:color w:val="auto"/>
              </w:rPr>
            </w:pPr>
            <w:r>
              <w:rPr>
                <w:rFonts w:ascii="Arial" w:cs="Arial" w:eastAsia="Arial" w:hAnsi="Arial"/>
                <w:sz w:val="14"/>
                <w:szCs w:val="14"/>
                <w:color w:val="auto"/>
                <w:w w:val="95"/>
              </w:rPr>
              <w:t>(State or other jurisdiction of</w:t>
            </w:r>
          </w:p>
        </w:tc>
        <w:tc>
          <w:tcPr>
            <w:tcW w:w="3000" w:type="dxa"/>
            <w:vAlign w:val="bottom"/>
            <w:gridSpan w:val="2"/>
          </w:tcPr>
          <w:p>
            <w:pPr>
              <w:jc w:val="center"/>
              <w:ind w:left="95"/>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1020" w:type="dxa"/>
            <w:vAlign w:val="bottom"/>
          </w:tcPr>
          <w:p>
            <w:pPr>
              <w:spacing w:after="0"/>
              <w:rPr>
                <w:sz w:val="15"/>
                <w:szCs w:val="15"/>
                <w:color w:val="auto"/>
              </w:rPr>
            </w:pPr>
          </w:p>
        </w:tc>
        <w:tc>
          <w:tcPr>
            <w:tcW w:w="5040" w:type="dxa"/>
            <w:vAlign w:val="bottom"/>
            <w:gridSpan w:val="3"/>
          </w:tcPr>
          <w:p>
            <w:pPr>
              <w:jc w:val="center"/>
              <w:ind w:right="2060"/>
              <w:spacing w:after="0"/>
              <w:rPr>
                <w:sz w:val="20"/>
                <w:szCs w:val="20"/>
                <w:color w:val="auto"/>
              </w:rPr>
            </w:pPr>
            <w:r>
              <w:rPr>
                <w:rFonts w:ascii="Arial" w:cs="Arial" w:eastAsia="Arial" w:hAnsi="Arial"/>
                <w:sz w:val="14"/>
                <w:szCs w:val="14"/>
                <w:color w:val="auto"/>
                <w:w w:val="95"/>
              </w:rPr>
              <w:t>incorporation or organization)</w:t>
            </w:r>
          </w:p>
        </w:tc>
        <w:tc>
          <w:tcPr>
            <w:tcW w:w="12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9"/>
        </w:trPr>
        <w:tc>
          <w:tcPr>
            <w:tcW w:w="1020" w:type="dxa"/>
            <w:vAlign w:val="bottom"/>
          </w:tcPr>
          <w:p>
            <w:pPr>
              <w:spacing w:after="0"/>
              <w:rPr>
                <w:sz w:val="18"/>
                <w:szCs w:val="18"/>
                <w:color w:val="auto"/>
              </w:rPr>
            </w:pPr>
          </w:p>
        </w:tc>
        <w:tc>
          <w:tcPr>
            <w:tcW w:w="50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2"/>
              </w:rPr>
              <w:t>104 Coleman Boulevard, Savannah, Georgia</w:t>
            </w:r>
          </w:p>
        </w:tc>
        <w:tc>
          <w:tcPr>
            <w:tcW w:w="1220" w:type="dxa"/>
            <w:vAlign w:val="bottom"/>
          </w:tcPr>
          <w:p>
            <w:pPr>
              <w:spacing w:after="0"/>
              <w:rPr>
                <w:sz w:val="18"/>
                <w:szCs w:val="18"/>
                <w:color w:val="auto"/>
              </w:rPr>
            </w:pPr>
          </w:p>
        </w:tc>
        <w:tc>
          <w:tcPr>
            <w:tcW w:w="1780" w:type="dxa"/>
            <w:vAlign w:val="bottom"/>
          </w:tcPr>
          <w:p>
            <w:pPr>
              <w:jc w:val="right"/>
              <w:ind w:right="1168"/>
              <w:spacing w:after="0"/>
              <w:rPr>
                <w:sz w:val="20"/>
                <w:szCs w:val="20"/>
                <w:color w:val="auto"/>
              </w:rPr>
            </w:pPr>
            <w:r>
              <w:rPr>
                <w:rFonts w:ascii="Arial" w:cs="Arial" w:eastAsia="Arial" w:hAnsi="Arial"/>
                <w:sz w:val="14"/>
                <w:szCs w:val="14"/>
                <w:b w:val="1"/>
                <w:bCs w:val="1"/>
                <w:color w:val="auto"/>
              </w:rPr>
              <w:t>31408</w:t>
            </w:r>
          </w:p>
        </w:tc>
      </w:tr>
      <w:tr>
        <w:trPr>
          <w:trHeight w:val="182"/>
        </w:trPr>
        <w:tc>
          <w:tcPr>
            <w:tcW w:w="1020" w:type="dxa"/>
            <w:vAlign w:val="bottom"/>
          </w:tcPr>
          <w:p>
            <w:pPr>
              <w:spacing w:after="0"/>
              <w:rPr>
                <w:sz w:val="15"/>
                <w:szCs w:val="15"/>
                <w:color w:val="auto"/>
              </w:rPr>
            </w:pPr>
          </w:p>
        </w:tc>
        <w:tc>
          <w:tcPr>
            <w:tcW w:w="5040" w:type="dxa"/>
            <w:vAlign w:val="bottom"/>
            <w:gridSpan w:val="3"/>
          </w:tcPr>
          <w:p>
            <w:pPr>
              <w:jc w:val="center"/>
              <w:ind w:right="2040"/>
              <w:spacing w:after="0"/>
              <w:rPr>
                <w:sz w:val="20"/>
                <w:szCs w:val="20"/>
                <w:color w:val="auto"/>
              </w:rPr>
            </w:pPr>
            <w:r>
              <w:rPr>
                <w:rFonts w:ascii="Arial" w:cs="Arial" w:eastAsia="Arial" w:hAnsi="Arial"/>
                <w:sz w:val="14"/>
                <w:szCs w:val="14"/>
                <w:color w:val="auto"/>
                <w:w w:val="95"/>
              </w:rPr>
              <w:t>(Address of principal executive offices)</w:t>
            </w:r>
          </w:p>
        </w:tc>
        <w:tc>
          <w:tcPr>
            <w:tcW w:w="1220" w:type="dxa"/>
            <w:vAlign w:val="bottom"/>
          </w:tcPr>
          <w:p>
            <w:pPr>
              <w:spacing w:after="0"/>
              <w:rPr>
                <w:sz w:val="15"/>
                <w:szCs w:val="15"/>
                <w:color w:val="auto"/>
              </w:rPr>
            </w:pPr>
          </w:p>
        </w:tc>
        <w:tc>
          <w:tcPr>
            <w:tcW w:w="1780" w:type="dxa"/>
            <w:vAlign w:val="bottom"/>
          </w:tcPr>
          <w:p>
            <w:pPr>
              <w:jc w:val="center"/>
              <w:ind w:right="988"/>
              <w:spacing w:after="0"/>
              <w:rPr>
                <w:sz w:val="20"/>
                <w:szCs w:val="20"/>
                <w:color w:val="auto"/>
              </w:rPr>
            </w:pPr>
            <w:r>
              <w:rPr>
                <w:rFonts w:ascii="Arial" w:cs="Arial" w:eastAsia="Arial" w:hAnsi="Arial"/>
                <w:sz w:val="14"/>
                <w:szCs w:val="14"/>
                <w:color w:val="auto"/>
                <w:w w:val="96"/>
              </w:rPr>
              <w:t>(Zip Code)</w:t>
            </w:r>
          </w:p>
        </w:tc>
      </w:tr>
      <w:tr>
        <w:trPr>
          <w:trHeight w:val="243"/>
        </w:trPr>
        <w:tc>
          <w:tcPr>
            <w:tcW w:w="1020" w:type="dxa"/>
            <w:vAlign w:val="bottom"/>
          </w:tcPr>
          <w:p>
            <w:pPr>
              <w:spacing w:after="0"/>
              <w:rPr>
                <w:sz w:val="21"/>
                <w:szCs w:val="21"/>
                <w:color w:val="auto"/>
              </w:rPr>
            </w:pPr>
          </w:p>
        </w:tc>
        <w:tc>
          <w:tcPr>
            <w:tcW w:w="5040" w:type="dxa"/>
            <w:vAlign w:val="bottom"/>
            <w:gridSpan w:val="3"/>
          </w:tcPr>
          <w:p>
            <w:pPr>
              <w:ind w:left="2040"/>
              <w:spacing w:after="0"/>
              <w:rPr>
                <w:sz w:val="20"/>
                <w:szCs w:val="20"/>
                <w:color w:val="auto"/>
              </w:rPr>
            </w:pPr>
            <w:r>
              <w:rPr>
                <w:rFonts w:ascii="Arial" w:cs="Arial" w:eastAsia="Arial" w:hAnsi="Arial"/>
                <w:sz w:val="14"/>
                <w:szCs w:val="14"/>
                <w:color w:val="auto"/>
                <w:w w:val="93"/>
              </w:rPr>
              <w:t>Registrant’s telephone number, including area code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(912) 236-1561</w:t>
            </w:r>
          </w:p>
        </w:tc>
        <w:tc>
          <w:tcPr>
            <w:tcW w:w="1780" w:type="dxa"/>
            <w:vAlign w:val="bottom"/>
          </w:tcPr>
          <w:p>
            <w:pPr>
              <w:spacing w:after="0"/>
              <w:rPr>
                <w:sz w:val="21"/>
                <w:szCs w:val="21"/>
                <w:color w:val="auto"/>
              </w:rPr>
            </w:pPr>
          </w:p>
        </w:tc>
      </w:tr>
      <w:tr>
        <w:trPr>
          <w:trHeight w:val="243"/>
        </w:trPr>
        <w:tc>
          <w:tcPr>
            <w:tcW w:w="1020" w:type="dxa"/>
            <w:vAlign w:val="bottom"/>
          </w:tcPr>
          <w:p>
            <w:pPr>
              <w:spacing w:after="0"/>
              <w:rPr>
                <w:sz w:val="21"/>
                <w:szCs w:val="21"/>
                <w:color w:val="auto"/>
              </w:rPr>
            </w:pPr>
          </w:p>
        </w:tc>
        <w:tc>
          <w:tcPr>
            <w:tcW w:w="6260" w:type="dxa"/>
            <w:vAlign w:val="bottom"/>
            <w:gridSpan w:val="4"/>
          </w:tcPr>
          <w:p>
            <w:pPr>
              <w:jc w:val="center"/>
              <w:ind w:left="171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1780" w:type="dxa"/>
            <w:vAlign w:val="bottom"/>
          </w:tcPr>
          <w:p>
            <w:pPr>
              <w:spacing w:after="0"/>
              <w:rPr>
                <w:sz w:val="21"/>
                <w:szCs w:val="21"/>
                <w:color w:val="auto"/>
              </w:rPr>
            </w:pPr>
          </w:p>
        </w:tc>
      </w:tr>
      <w:tr>
        <w:trPr>
          <w:trHeight w:val="187"/>
        </w:trPr>
        <w:tc>
          <w:tcPr>
            <w:tcW w:w="10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0" w:type="dxa"/>
            <w:vAlign w:val="bottom"/>
            <w:gridSpan w:val="2"/>
          </w:tcPr>
          <w:p>
            <w:pPr>
              <w:jc w:val="center"/>
              <w:ind w:right="808"/>
              <w:spacing w:after="0"/>
              <w:rPr>
                <w:sz w:val="20"/>
                <w:szCs w:val="20"/>
                <w:color w:val="auto"/>
              </w:rPr>
            </w:pPr>
            <w:r>
              <w:rPr>
                <w:rFonts w:ascii="Arial" w:cs="Arial" w:eastAsia="Arial" w:hAnsi="Arial"/>
                <w:sz w:val="11"/>
                <w:szCs w:val="11"/>
                <w:b w:val="1"/>
                <w:bCs w:val="1"/>
                <w:color w:val="auto"/>
                <w:w w:val="86"/>
              </w:rPr>
              <w:t>Name of each exchange</w:t>
            </w:r>
          </w:p>
        </w:tc>
      </w:tr>
      <w:tr>
        <w:trPr>
          <w:trHeight w:val="135"/>
        </w:trPr>
        <w:tc>
          <w:tcPr>
            <w:tcW w:w="1020" w:type="dxa"/>
            <w:vAlign w:val="bottom"/>
          </w:tcPr>
          <w:p>
            <w:pPr>
              <w:spacing w:after="0"/>
              <w:rPr>
                <w:sz w:val="11"/>
                <w:szCs w:val="11"/>
                <w:color w:val="auto"/>
              </w:rPr>
            </w:pPr>
          </w:p>
        </w:tc>
        <w:tc>
          <w:tcPr>
            <w:tcW w:w="5040" w:type="dxa"/>
            <w:vAlign w:val="bottom"/>
            <w:gridSpan w:val="3"/>
          </w:tcPr>
          <w:p>
            <w:pPr>
              <w:jc w:val="center"/>
              <w:ind w:right="1040"/>
              <w:spacing w:after="0"/>
              <w:rPr>
                <w:sz w:val="20"/>
                <w:szCs w:val="20"/>
                <w:color w:val="auto"/>
              </w:rPr>
            </w:pPr>
            <w:r>
              <w:rPr>
                <w:rFonts w:ascii="Arial" w:cs="Arial" w:eastAsia="Arial" w:hAnsi="Arial"/>
                <w:sz w:val="11"/>
                <w:szCs w:val="11"/>
                <w:b w:val="1"/>
                <w:bCs w:val="1"/>
                <w:color w:val="auto"/>
                <w:w w:val="84"/>
              </w:rPr>
              <w:t>Title of each class</w:t>
            </w:r>
          </w:p>
        </w:tc>
        <w:tc>
          <w:tcPr>
            <w:tcW w:w="3000" w:type="dxa"/>
            <w:vAlign w:val="bottom"/>
            <w:gridSpan w:val="2"/>
          </w:tcPr>
          <w:p>
            <w:pPr>
              <w:jc w:val="center"/>
              <w:ind w:right="828"/>
              <w:spacing w:after="0"/>
              <w:rPr>
                <w:sz w:val="20"/>
                <w:szCs w:val="20"/>
                <w:color w:val="auto"/>
              </w:rPr>
            </w:pPr>
            <w:r>
              <w:rPr>
                <w:rFonts w:ascii="Arial" w:cs="Arial" w:eastAsia="Arial" w:hAnsi="Arial"/>
                <w:sz w:val="11"/>
                <w:szCs w:val="11"/>
                <w:b w:val="1"/>
                <w:bCs w:val="1"/>
                <w:color w:val="auto"/>
                <w:w w:val="86"/>
              </w:rPr>
              <w:t>on which registered</w:t>
            </w:r>
          </w:p>
        </w:tc>
      </w:tr>
      <w:tr>
        <w:trPr>
          <w:trHeight w:val="176"/>
        </w:trPr>
        <w:tc>
          <w:tcPr>
            <w:tcW w:w="1020" w:type="dxa"/>
            <w:vAlign w:val="bottom"/>
          </w:tcPr>
          <w:p>
            <w:pPr>
              <w:spacing w:after="0"/>
              <w:rPr>
                <w:sz w:val="15"/>
                <w:szCs w:val="15"/>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$.01 Par Value</w:t>
            </w: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2"/>
          </w:tcPr>
          <w:p>
            <w:pPr>
              <w:jc w:val="center"/>
              <w:ind w:right="828"/>
              <w:spacing w:after="0"/>
              <w:rPr>
                <w:sz w:val="20"/>
                <w:szCs w:val="20"/>
                <w:color w:val="auto"/>
              </w:rPr>
            </w:pPr>
            <w:r>
              <w:rPr>
                <w:rFonts w:ascii="Arial" w:cs="Arial" w:eastAsia="Arial" w:hAnsi="Arial"/>
                <w:sz w:val="14"/>
                <w:szCs w:val="14"/>
                <w:color w:val="auto"/>
                <w:w w:val="98"/>
              </w:rPr>
              <w:t>NASDAQ Stock Market</w:t>
            </w:r>
          </w:p>
        </w:tc>
      </w:tr>
      <w:tr>
        <w:trPr>
          <w:trHeight w:val="187"/>
        </w:trPr>
        <w:tc>
          <w:tcPr>
            <w:tcW w:w="1020" w:type="dxa"/>
            <w:vAlign w:val="bottom"/>
          </w:tcPr>
          <w:p>
            <w:pPr>
              <w:spacing w:after="0"/>
              <w:rPr>
                <w:sz w:val="16"/>
                <w:szCs w:val="16"/>
                <w:color w:val="auto"/>
              </w:rPr>
            </w:pPr>
          </w:p>
        </w:tc>
        <w:tc>
          <w:tcPr>
            <w:tcW w:w="6260" w:type="dxa"/>
            <w:vAlign w:val="bottom"/>
            <w:gridSpan w:val="4"/>
          </w:tcPr>
          <w:p>
            <w:pPr>
              <w:jc w:val="center"/>
              <w:ind w:left="171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1780" w:type="dxa"/>
            <w:vAlign w:val="bottom"/>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5040" w:type="dxa"/>
            <w:vAlign w:val="bottom"/>
            <w:gridSpan w:val="3"/>
          </w:tcPr>
          <w:p>
            <w:pPr>
              <w:jc w:val="center"/>
              <w:ind w:left="2930"/>
              <w:spacing w:after="0"/>
              <w:rPr>
                <w:sz w:val="20"/>
                <w:szCs w:val="20"/>
                <w:color w:val="auto"/>
              </w:rPr>
            </w:pPr>
            <w:r>
              <w:rPr>
                <w:rFonts w:ascii="Arial" w:cs="Arial" w:eastAsia="Arial" w:hAnsi="Arial"/>
                <w:sz w:val="14"/>
                <w:szCs w:val="14"/>
                <w:b w:val="1"/>
                <w:bCs w:val="1"/>
                <w:color w:val="auto"/>
                <w:w w:val="91"/>
              </w:rPr>
              <w:t>None</w:t>
            </w:r>
          </w:p>
        </w:tc>
        <w:tc>
          <w:tcPr>
            <w:tcW w:w="1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73"/>
        </w:trPr>
        <w:tc>
          <w:tcPr>
            <w:tcW w:w="7280" w:type="dxa"/>
            <w:vAlign w:val="bottom"/>
            <w:gridSpan w:val="5"/>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1780" w:type="dxa"/>
            <w:vAlign w:val="bottom"/>
          </w:tcPr>
          <w:p>
            <w:pPr>
              <w:jc w:val="center"/>
              <w:ind w:right="104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728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1780" w:type="dxa"/>
            <w:vAlign w:val="bottom"/>
          </w:tcPr>
          <w:p>
            <w:pPr>
              <w:jc w:val="center"/>
              <w:ind w:right="104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58" w:lineRule="exact"/>
        <w:rPr>
          <w:sz w:val="24"/>
          <w:szCs w:val="24"/>
          <w:color w:val="auto"/>
        </w:rPr>
      </w:pPr>
    </w:p>
    <w:p>
      <w:pPr>
        <w:ind w:left="1" w:right="8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left="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81" w:hanging="280"/>
        <w:spacing w:after="0" w:line="161" w:lineRule="exact"/>
        <w:tabs>
          <w:tab w:leader="none" w:pos="28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ind w:left="1" w:right="40"/>
        <w:spacing w:after="0" w:line="254"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181" w:hanging="180"/>
        <w:spacing w:after="0" w:line="161" w:lineRule="exact"/>
        <w:tabs>
          <w:tab w:leader="none" w:pos="181"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ind w:left="1" w:right="18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1"/>
          </w:cols>
          <w:pgMar w:left="919" w:top="233" w:right="919" w:bottom="1440" w:gutter="0" w:footer="0" w:header="0"/>
        </w:sectPr>
      </w:pPr>
    </w:p>
    <w:p>
      <w:pPr>
        <w:spacing w:after="0" w:line="61" w:lineRule="exact"/>
        <w:rPr>
          <w:sz w:val="24"/>
          <w:szCs w:val="24"/>
          <w:color w:val="auto"/>
        </w:rPr>
      </w:pPr>
    </w:p>
    <w:p>
      <w:pPr>
        <w:ind w:left="1"/>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45" w:lineRule="exact"/>
        <w:rPr>
          <w:sz w:val="24"/>
          <w:szCs w:val="24"/>
          <w:color w:val="auto"/>
        </w:rPr>
      </w:pPr>
    </w:p>
    <w:p>
      <w:pPr>
        <w:sectPr>
          <w:pgSz w:w="11900" w:h="16838" w:orient="portrait"/>
          <w:cols w:equalWidth="0" w:num="7">
            <w:col w:w="1301" w:space="100"/>
            <w:col w:w="1080" w:space="720"/>
            <w:col w:w="960" w:space="120"/>
            <w:col w:w="460" w:space="720"/>
            <w:col w:w="1220" w:space="60"/>
            <w:col w:w="140" w:space="100"/>
            <w:col w:w="3080"/>
          </w:cols>
          <w:pgMar w:left="919" w:top="233" w:right="91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ectPr>
          <w:pgSz w:w="11900" w:h="16838" w:orient="portrait"/>
          <w:cols w:equalWidth="0" w:num="4">
            <w:col w:w="1661" w:space="100"/>
            <w:col w:w="720" w:space="720"/>
            <w:col w:w="1580" w:space="100"/>
            <w:col w:w="5180"/>
          </w:cols>
          <w:pgMar w:left="919" w:top="233" w:right="919" w:bottom="1440" w:gutter="0" w:footer="0" w:header="0"/>
          <w:type w:val="continuous"/>
        </w:sectPr>
      </w:pPr>
    </w:p>
    <w:p>
      <w:pPr>
        <w:ind w:left="1" w:right="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
        <w:spacing w:after="0" w:line="161" w:lineRule="exact"/>
        <w:tabs>
          <w:tab w:leader="none" w:pos="71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1" w:right="100"/>
        <w:spacing w:after="0" w:line="238"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$283,782,706 as of July 29, 2017.</w:t>
      </w:r>
    </w:p>
    <w:p>
      <w:pPr>
        <w:spacing w:after="0" w:line="61" w:lineRule="exact"/>
        <w:rPr>
          <w:sz w:val="24"/>
          <w:szCs w:val="24"/>
          <w:color w:val="auto"/>
        </w:rPr>
      </w:pPr>
    </w:p>
    <w:p>
      <w:pPr>
        <w:ind w:left="1" w:right="380"/>
        <w:spacing w:after="0" w:line="253"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$.01 per share, 13,760,229 shares outstanding as of April 3, 2018.</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left="1" w:right="100"/>
        <w:spacing w:after="0" w:line="291" w:lineRule="auto"/>
        <w:rPr>
          <w:sz w:val="20"/>
          <w:szCs w:val="20"/>
          <w:color w:val="auto"/>
        </w:rPr>
      </w:pPr>
      <w:r>
        <w:rPr>
          <w:rFonts w:ascii="Arial" w:cs="Arial" w:eastAsia="Arial" w:hAnsi="Arial"/>
          <w:sz w:val="13"/>
          <w:szCs w:val="13"/>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433705</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33"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FORM 10-K REPORT INDEX</w:t>
      </w:r>
    </w:p>
    <w:p>
      <w:pPr>
        <w:spacing w:after="0" w:line="229" w:lineRule="exact"/>
        <w:rPr>
          <w:sz w:val="20"/>
          <w:szCs w:val="20"/>
          <w:color w:val="auto"/>
        </w:rPr>
      </w:pPr>
    </w:p>
    <w:p>
      <w:pPr>
        <w:jc w:val="center"/>
        <w:ind w:left="900"/>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10-K Part and Item No.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660" w:type="dxa"/>
            <w:vAlign w:val="bottom"/>
            <w:gridSpan w:val="7"/>
            <w:vMerge w:val="restart"/>
          </w:tcPr>
          <w:p>
            <w:pPr>
              <w:spacing w:after="0" w:line="18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Item 1A.</w:t>
              </w:r>
            </w:hyperlink>
          </w:p>
        </w:tc>
        <w:tc>
          <w:tcPr>
            <w:tcW w:w="160" w:type="dxa"/>
            <w:vAlign w:val="bottom"/>
            <w:gridSpan w:val="2"/>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7"/>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920" w:type="dxa"/>
            <w:vAlign w:val="bottom"/>
            <w:tcBorders>
              <w:bottom w:val="single" w:sz="8" w:color="0000EE"/>
            </w:tcBorders>
            <w:gridSpan w:val="3"/>
          </w:tcPr>
          <w:p>
            <w:pPr>
              <w:spacing w:after="0" w:line="170"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74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63"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1B.</w:t>
              </w:r>
            </w:hyperlink>
          </w:p>
        </w:tc>
        <w:tc>
          <w:tcPr>
            <w:tcW w:w="180" w:type="dxa"/>
            <w:vAlign w:val="bottom"/>
            <w:gridSpan w:val="3"/>
          </w:tcPr>
          <w:p>
            <w:pPr>
              <w:spacing w:after="0"/>
              <w:rPr>
                <w:sz w:val="17"/>
                <w:szCs w:val="17"/>
                <w:color w:val="auto"/>
              </w:rPr>
            </w:pPr>
          </w:p>
        </w:tc>
        <w:tc>
          <w:tcPr>
            <w:tcW w:w="2060" w:type="dxa"/>
            <w:vAlign w:val="bottom"/>
            <w:tcBorders>
              <w:bottom w:val="single" w:sz="8" w:color="0000EE"/>
            </w:tcBorders>
            <w:gridSpan w:val="9"/>
          </w:tcPr>
          <w:p>
            <w:pPr>
              <w:spacing w:after="0" w:line="170"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Unresolved Staff Comments</w:t>
              </w:r>
            </w:hyperlink>
          </w:p>
        </w:tc>
        <w:tc>
          <w:tcPr>
            <w:tcW w:w="6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300" w:type="dxa"/>
            <w:vAlign w:val="bottom"/>
            <w:gridSpan w:val="8"/>
          </w:tcPr>
          <w:p>
            <w:pPr>
              <w:spacing w:after="0"/>
              <w:rPr>
                <w:sz w:val="17"/>
                <w:szCs w:val="17"/>
                <w:color w:val="auto"/>
              </w:rPr>
            </w:pPr>
          </w:p>
        </w:tc>
        <w:tc>
          <w:tcPr>
            <w:tcW w:w="740" w:type="dxa"/>
            <w:vAlign w:val="bottom"/>
            <w:tcBorders>
              <w:bottom w:val="single" w:sz="8" w:color="0000EE"/>
            </w:tcBorders>
            <w:gridSpan w:val="2"/>
          </w:tcPr>
          <w:p>
            <w:pPr>
              <w:spacing w:after="0" w:line="170"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Properties</w:t>
              </w:r>
            </w:hyperlink>
          </w:p>
        </w:tc>
        <w:tc>
          <w:tcPr>
            <w:tcW w:w="7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bottom w:val="single" w:sz="8" w:color="0000EE"/>
            </w:tcBorders>
          </w:tcPr>
          <w:p>
            <w:pPr>
              <w:spacing w:after="0" w:line="163"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300" w:type="dxa"/>
            <w:vAlign w:val="bottom"/>
            <w:gridSpan w:val="8"/>
          </w:tcPr>
          <w:p>
            <w:pPr>
              <w:spacing w:after="0"/>
              <w:rPr>
                <w:sz w:val="15"/>
                <w:szCs w:val="15"/>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182"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4.</w:t>
              </w:r>
            </w:hyperlink>
          </w:p>
        </w:tc>
        <w:tc>
          <w:tcPr>
            <w:tcW w:w="300" w:type="dxa"/>
            <w:vAlign w:val="bottom"/>
            <w:gridSpan w:val="8"/>
            <w:vMerge w:val="restart"/>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vMerge w:val="continue"/>
          </w:tcPr>
          <w:p>
            <w:pPr>
              <w:spacing w:after="0"/>
              <w:rPr>
                <w:sz w:val="17"/>
                <w:szCs w:val="17"/>
                <w:color w:val="auto"/>
              </w:rPr>
            </w:pPr>
          </w:p>
        </w:tc>
        <w:tc>
          <w:tcPr>
            <w:tcW w:w="300" w:type="dxa"/>
            <w:vAlign w:val="bottom"/>
            <w:gridSpan w:val="8"/>
            <w:vMerge w:val="continue"/>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379"/>
        </w:trPr>
        <w:tc>
          <w:tcPr>
            <w:tcW w:w="820" w:type="dxa"/>
            <w:vAlign w:val="bottom"/>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5.</w:t>
              </w:r>
            </w:hyperlink>
          </w:p>
        </w:tc>
        <w:tc>
          <w:tcPr>
            <w:tcW w:w="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tcBorders>
              <w:bottom w:val="single" w:sz="8" w:color="0000EE"/>
            </w:tcBorders>
            <w:gridSpan w:val="19"/>
          </w:tcPr>
          <w:p>
            <w:pPr>
              <w:spacing w:after="0" w:line="170"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Market for the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6.</w:t>
              </w:r>
            </w:hyperlink>
          </w:p>
        </w:tc>
        <w:tc>
          <w:tcPr>
            <w:tcW w:w="300" w:type="dxa"/>
            <w:vAlign w:val="bottom"/>
            <w:gridSpan w:val="8"/>
          </w:tcPr>
          <w:p>
            <w:pPr>
              <w:spacing w:after="0"/>
              <w:rPr>
                <w:sz w:val="17"/>
                <w:szCs w:val="17"/>
                <w:color w:val="auto"/>
              </w:rPr>
            </w:pPr>
          </w:p>
        </w:tc>
        <w:tc>
          <w:tcPr>
            <w:tcW w:w="1720" w:type="dxa"/>
            <w:vAlign w:val="bottom"/>
            <w:tcBorders>
              <w:bottom w:val="single" w:sz="8" w:color="0000EE"/>
            </w:tcBorders>
            <w:gridSpan w:val="6"/>
          </w:tcPr>
          <w:p>
            <w:pPr>
              <w:spacing w:after="0" w:line="170"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6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7.</w:t>
              </w:r>
            </w:hyperlink>
          </w:p>
        </w:tc>
        <w:tc>
          <w:tcPr>
            <w:tcW w:w="300" w:type="dxa"/>
            <w:vAlign w:val="bottom"/>
            <w:gridSpan w:val="8"/>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7"/>
          </w:tcPr>
          <w:p>
            <w:pPr>
              <w:spacing w:after="0" w:line="163"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7A.</w:t>
              </w:r>
            </w:hyperlink>
          </w:p>
        </w:tc>
        <w:tc>
          <w:tcPr>
            <w:tcW w:w="160" w:type="dxa"/>
            <w:vAlign w:val="bottom"/>
            <w:gridSpan w:val="2"/>
          </w:tcPr>
          <w:p>
            <w:pPr>
              <w:spacing w:after="0"/>
              <w:rPr>
                <w:sz w:val="17"/>
                <w:szCs w:val="17"/>
                <w:color w:val="auto"/>
              </w:rPr>
            </w:pPr>
          </w:p>
        </w:tc>
        <w:tc>
          <w:tcPr>
            <w:tcW w:w="4300" w:type="dxa"/>
            <w:vAlign w:val="bottom"/>
            <w:tcBorders>
              <w:top w:val="single" w:sz="8" w:color="0000EE"/>
              <w:bottom w:val="single" w:sz="8" w:color="0000EE"/>
            </w:tcBorders>
            <w:gridSpan w:val="14"/>
          </w:tcPr>
          <w:p>
            <w:pPr>
              <w:spacing w:after="0" w:line="170"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1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8.</w:t>
              </w:r>
            </w:hyperlink>
          </w:p>
        </w:tc>
        <w:tc>
          <w:tcPr>
            <w:tcW w:w="300" w:type="dxa"/>
            <w:vAlign w:val="bottom"/>
            <w:gridSpan w:val="8"/>
          </w:tcPr>
          <w:p>
            <w:pPr>
              <w:spacing w:after="0"/>
              <w:rPr>
                <w:sz w:val="17"/>
                <w:szCs w:val="17"/>
                <w:color w:val="auto"/>
              </w:rPr>
            </w:pPr>
          </w:p>
        </w:tc>
        <w:tc>
          <w:tcPr>
            <w:tcW w:w="3340" w:type="dxa"/>
            <w:vAlign w:val="bottom"/>
            <w:tcBorders>
              <w:bottom w:val="single" w:sz="8" w:color="0000EE"/>
            </w:tcBorders>
            <w:gridSpan w:val="12"/>
          </w:tcPr>
          <w:p>
            <w:pPr>
              <w:spacing w:after="0" w:line="170"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Financial Statements and Supplementary Data</w:t>
              </w:r>
            </w:hyperlink>
          </w:p>
        </w:tc>
        <w:tc>
          <w:tcPr>
            <w:tcW w:w="50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63"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9.</w:t>
              </w:r>
            </w:hyperlink>
          </w:p>
        </w:tc>
        <w:tc>
          <w:tcPr>
            <w:tcW w:w="300" w:type="dxa"/>
            <w:vAlign w:val="bottom"/>
            <w:gridSpan w:val="8"/>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7"/>
          </w:tcPr>
          <w:p>
            <w:pPr>
              <w:spacing w:after="0" w:line="163"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9A.</w:t>
              </w:r>
            </w:hyperlink>
          </w:p>
        </w:tc>
        <w:tc>
          <w:tcPr>
            <w:tcW w:w="16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1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63"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9B.</w:t>
              </w:r>
            </w:hyperlink>
          </w:p>
        </w:tc>
        <w:tc>
          <w:tcPr>
            <w:tcW w:w="180" w:type="dxa"/>
            <w:vAlign w:val="bottom"/>
            <w:gridSpan w:val="3"/>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379"/>
        </w:trPr>
        <w:tc>
          <w:tcPr>
            <w:tcW w:w="820" w:type="dxa"/>
            <w:vAlign w:val="bottom"/>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10.</w:t>
              </w:r>
            </w:hyperlink>
          </w:p>
        </w:tc>
        <w:tc>
          <w:tcPr>
            <w:tcW w:w="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29">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4"/>
          </w:tcPr>
          <w:p>
            <w:pPr>
              <w:spacing w:after="0" w:line="163"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11.</w:t>
              </w:r>
            </w:hyperlink>
          </w:p>
        </w:tc>
        <w:tc>
          <w:tcPr>
            <w:tcW w:w="220" w:type="dxa"/>
            <w:vAlign w:val="bottom"/>
            <w:gridSpan w:val="5"/>
          </w:tcPr>
          <w:p>
            <w:pPr>
              <w:spacing w:after="0"/>
              <w:rPr>
                <w:sz w:val="17"/>
                <w:szCs w:val="17"/>
                <w:color w:val="auto"/>
              </w:rPr>
            </w:pPr>
          </w:p>
        </w:tc>
        <w:tc>
          <w:tcPr>
            <w:tcW w:w="182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63"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12.</w:t>
              </w:r>
            </w:hyperlink>
          </w:p>
        </w:tc>
        <w:tc>
          <w:tcPr>
            <w:tcW w:w="200" w:type="dxa"/>
            <w:vAlign w:val="bottom"/>
            <w:gridSpan w:val="4"/>
          </w:tcPr>
          <w:p>
            <w:pPr>
              <w:spacing w:after="0"/>
              <w:rPr>
                <w:sz w:val="17"/>
                <w:szCs w:val="17"/>
                <w:color w:val="auto"/>
              </w:rPr>
            </w:pPr>
          </w:p>
        </w:tc>
        <w:tc>
          <w:tcPr>
            <w:tcW w:w="7300" w:type="dxa"/>
            <w:vAlign w:val="bottom"/>
            <w:tcBorders>
              <w:bottom w:val="single" w:sz="8" w:color="0000EE"/>
            </w:tcBorders>
            <w:gridSpan w:val="18"/>
          </w:tcPr>
          <w:p>
            <w:pPr>
              <w:spacing w:after="0" w:line="170"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Security Ownership of Certain Beneficial Owners and Management and Related Stockholder Matters</w:t>
              </w:r>
            </w:hyperlink>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63"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13.</w:t>
              </w:r>
            </w:hyperlink>
          </w:p>
        </w:tc>
        <w:tc>
          <w:tcPr>
            <w:tcW w:w="200" w:type="dxa"/>
            <w:vAlign w:val="bottom"/>
            <w:gridSpan w:val="4"/>
          </w:tcPr>
          <w:p>
            <w:pPr>
              <w:spacing w:after="0"/>
              <w:rPr>
                <w:sz w:val="17"/>
                <w:szCs w:val="17"/>
                <w:color w:val="auto"/>
              </w:rPr>
            </w:pPr>
          </w:p>
        </w:tc>
        <w:tc>
          <w:tcPr>
            <w:tcW w:w="5460" w:type="dxa"/>
            <w:vAlign w:val="bottom"/>
            <w:tcBorders>
              <w:bottom w:val="single" w:sz="8" w:color="0000EE"/>
            </w:tcBorders>
            <w:gridSpan w:val="15"/>
          </w:tcPr>
          <w:p>
            <w:pPr>
              <w:spacing w:after="0" w:line="170"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Certain Relationships and Related Transactions, and Director Independence</w:t>
              </w:r>
            </w:hyperlink>
          </w:p>
        </w:tc>
        <w:tc>
          <w:tcPr>
            <w:tcW w:w="2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63"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14.</w:t>
              </w:r>
            </w:hyperlink>
          </w:p>
        </w:tc>
        <w:tc>
          <w:tcPr>
            <w:tcW w:w="200" w:type="dxa"/>
            <w:vAlign w:val="bottom"/>
            <w:gridSpan w:val="4"/>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0">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379"/>
        </w:trPr>
        <w:tc>
          <w:tcPr>
            <w:tcW w:w="82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15.</w:t>
              </w:r>
            </w:hyperlink>
          </w:p>
        </w:tc>
        <w:tc>
          <w:tcPr>
            <w:tcW w:w="6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1">
              <w:r>
                <w:rPr>
                  <w:rFonts w:ascii="Arial" w:cs="Arial" w:eastAsia="Arial" w:hAnsi="Arial"/>
                  <w:sz w:val="18"/>
                  <w:szCs w:val="18"/>
                  <w:color w:val="0000EE"/>
                </w:rPr>
                <w:t>Exhibits, Financial Statement Schedules</w:t>
              </w:r>
            </w:hyperlink>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5"/>
          </w:tcPr>
          <w:p>
            <w:pPr>
              <w:spacing w:after="0" w:line="163"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16.</w:t>
              </w:r>
            </w:hyperlink>
          </w:p>
        </w:tc>
        <w:tc>
          <w:tcPr>
            <w:tcW w:w="200" w:type="dxa"/>
            <w:vAlign w:val="bottom"/>
            <w:gridSpan w:val="4"/>
          </w:tcPr>
          <w:p>
            <w:pPr>
              <w:spacing w:after="0"/>
              <w:rPr>
                <w:sz w:val="15"/>
                <w:szCs w:val="15"/>
                <w:color w:val="auto"/>
              </w:rPr>
            </w:pPr>
          </w:p>
        </w:tc>
        <w:tc>
          <w:tcPr>
            <w:tcW w:w="156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5"/>
                <w:szCs w:val="15"/>
                <w:color w:val="auto"/>
              </w:rPr>
            </w:pPr>
          </w:p>
        </w:tc>
        <w:tc>
          <w:tcPr>
            <w:tcW w:w="54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89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gridSpan w:val="14"/>
          </w:tcPr>
          <w:p>
            <w:pPr>
              <w:ind w:left="416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2">
            <w:col w:w="9160" w:space="720"/>
            <w:col w:w="180"/>
          </w:cols>
          <w:pgMar w:left="920" w:top="125" w:right="9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objectives and expectations of management for future operations and capital allocation expectations, are forward-looking statements. The words “believe,” “anticipate,” “project,” “plan,” “expect,” “estimate,” “objective,” “forecast,” “goal,” “intend,”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our ability to anticipate and respond to fashion trends, competition in our markets, consumer spending patterns, actions of our competitors or anchor tenants in the strip shopping centers where our stores are located, anticipated fluctuations in our operating results and expected cash position.</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Information is provided herein with respect to our operations related to our fiscal years ended on February 3, 2018 (“fiscal 2017”), January 28, 2017 (“fiscal 2016”) and January 30, 2016 (“fiscal 2015”)</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fashion preferences of value-conscious consumers, particularly African-Americans. We believe that we provide merchandise at compelling values. Our goal is to provide merchandise at discounts to department and specialty stores’ regular prices of 20% to 70%. Our stores average approximately 11,000 square feet of selling space and are typically located in neighborhood shopping centers that are convenient to low and moderate income customers. As of February 3, 2018, we operated 549 stores in both urban and rural markets in 31 states.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predecessor, Allied Department Stores, was founded in 1946 and grew into a chain of family apparel stores operating in the Southeast. In 1999, the Company, then consisting of 85 stores, was acquired by a private equity firm. Following this acquisition, management implemented several strategies to focus on the growing urban market and improve our operating and financial performance. After the successful implementation of these strategies and the successful growth of our chain from 85 stores to 212 stores, we completed an initial public offering of our common stock on May 18, 2005.</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are a Delaware corporation, and our executive offices are located at 104 Coleman Boulevard, Savannah, Georgia 31408 and our telephone number is (912) 236-1561. Our Internet address is </w:t>
      </w:r>
      <w:r>
        <w:rPr>
          <w:rFonts w:ascii="Arial" w:cs="Arial" w:eastAsia="Arial" w:hAnsi="Arial"/>
          <w:sz w:val="17"/>
          <w:szCs w:val="17"/>
          <w:i w:val="1"/>
          <w:iCs w:val="1"/>
          <w:color w:val="auto"/>
        </w:rPr>
        <w:t>http://www.cititrends.com</w:t>
      </w:r>
      <w:r>
        <w:rPr>
          <w:rFonts w:ascii="Arial" w:cs="Arial" w:eastAsia="Arial" w:hAnsi="Arial"/>
          <w:sz w:val="17"/>
          <w:szCs w:val="17"/>
          <w:color w:val="auto"/>
        </w:rPr>
        <w:t xml:space="preserve">. The reference to our web site address in this Report does not constitute the incorporation by reference of the information contained at the web site into this Report. We make available, free of charge through publication on our web site, copies of our Annual Report on Form 10-K, quarterly reports on Form 10-Q, current reports on Form 8-K, and amendments to those reports, as soon as reasonably practicable after we have filed such materials with, or furnished such materials to, the SEC. In addition, you may read and copy any materials we file with the SEC at the SEC’s Public Reference Room at 100 F Street, N.E., Washington, D.C. 20549 or on the SEC’s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and you may obtain information on the operation of the Public Reference Room by calling the SEC at 1-800-SEC-0330.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Strengths and Strategies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goal is to be the leading value-priced retailer of urban fashion apparel and accessories. We believe the following business strengths differentiate us from our competitors and are important to our success: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Focus on Urban Fashion Mix. </w:t>
      </w:r>
      <w:r>
        <w:rPr>
          <w:rFonts w:ascii="Arial" w:cs="Arial" w:eastAsia="Arial" w:hAnsi="Arial"/>
          <w:sz w:val="16"/>
          <w:szCs w:val="16"/>
          <w:color w:val="auto"/>
        </w:rPr>
        <w:t>We focus our merchandise on urban fashions, which we believe appeal to our core customers. We do not</w:t>
      </w:r>
      <w:r>
        <w:rPr>
          <w:rFonts w:ascii="Arial" w:cs="Arial" w:eastAsia="Arial" w:hAnsi="Arial"/>
          <w:sz w:val="16"/>
          <w:szCs w:val="16"/>
          <w:i w:val="1"/>
          <w:iCs w:val="1"/>
          <w:color w:val="auto"/>
        </w:rPr>
        <w:t xml:space="preserve"> </w:t>
      </w:r>
      <w:r>
        <w:rPr>
          <w:rFonts w:ascii="Arial" w:cs="Arial" w:eastAsia="Arial" w:hAnsi="Arial"/>
          <w:sz w:val="16"/>
          <w:szCs w:val="16"/>
          <w:color w:val="auto"/>
        </w:rPr>
        <w:t>attempt to dictate trends, but rather devote considerable effort to identifying emerging trends and ensuring that our apparel assortment is considered timely and fashionable in the urban market. Our merchandising staff tests new emerging merchandise trends before reordering and actively manages the mix of fashion and branded products in the stores to keep our offering fresh and minimize markdowns.</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Superior Value Proposition. </w:t>
      </w:r>
      <w:r>
        <w:rPr>
          <w:rFonts w:ascii="Arial" w:cs="Arial" w:eastAsia="Arial" w:hAnsi="Arial"/>
          <w:sz w:val="16"/>
          <w:szCs w:val="16"/>
          <w:color w:val="auto"/>
        </w:rPr>
        <w:t>As a value-priced retailer, we seek to offer top quality, fashionable merchandise at compelling prices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department and specialty stores. We also offer products under our proprietary brands such as “Citi Steps” and “Red Ape.” These private brands enable us to expand our product selection, offer fashion merchandise at lower prices and enhance our product offerings.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Merchandise Mix that Appeals to the Entire Family. </w:t>
      </w:r>
      <w:r>
        <w:rPr>
          <w:rFonts w:ascii="Arial" w:cs="Arial" w:eastAsia="Arial" w:hAnsi="Arial"/>
          <w:sz w:val="17"/>
          <w:szCs w:val="17"/>
          <w:color w:val="auto"/>
        </w:rPr>
        <w:t>We merchandise our stores to create a destination environment capable of meeting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fashion needs of the entire value-conscious family. Each store offers a wide variety of products for men and women, as well as children. Our stores feature sportswear, dresses, outerwear, footwear, intimate apparel, accessories, scrubs, beauty and home. We believe that the breadth of our merchandise distinguishes our stores from many competitors that offer urban apparel primarily for women, and reduces our exposure to fashion trends and demand cycles in any single category.</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Strong and Flexible Sourcing Relationships. </w:t>
      </w:r>
      <w:r>
        <w:rPr>
          <w:rFonts w:ascii="Arial" w:cs="Arial" w:eastAsia="Arial" w:hAnsi="Arial"/>
          <w:sz w:val="16"/>
          <w:szCs w:val="16"/>
          <w:color w:val="auto"/>
        </w:rPr>
        <w:t>We maintain strong sourcing relationships with a large group of suppliers. We have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from approximately 1,800 vendors in the past 12 months. Purchasing is controlled by a 45 member buying team located in one of our three buying offices - New York, New York; Los Angeles, California; and our Savannah, Georgia headquarters. We purchase merchandise through planned programs with vendors at reduced prices and opportunistically through close-outs,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1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Attractive Fashion Presentation and Store Environment. </w:t>
      </w:r>
      <w:r>
        <w:rPr>
          <w:rFonts w:ascii="Arial" w:cs="Arial" w:eastAsia="Arial" w:hAnsi="Arial"/>
          <w:sz w:val="16"/>
          <w:szCs w:val="16"/>
          <w:color w:val="auto"/>
        </w:rPr>
        <w:t>We seek to provide a fashion-focused shopping environment that is similar to a</w:t>
      </w:r>
      <w:r>
        <w:rPr>
          <w:rFonts w:ascii="Arial" w:cs="Arial" w:eastAsia="Arial" w:hAnsi="Arial"/>
          <w:sz w:val="16"/>
          <w:szCs w:val="16"/>
          <w:i w:val="1"/>
          <w:iCs w:val="1"/>
          <w:color w:val="auto"/>
        </w:rPr>
        <w:t xml:space="preserve"> </w:t>
      </w:r>
      <w:r>
        <w:rPr>
          <w:rFonts w:ascii="Arial" w:cs="Arial" w:eastAsia="Arial" w:hAnsi="Arial"/>
          <w:sz w:val="16"/>
          <w:szCs w:val="16"/>
          <w:color w:val="auto"/>
        </w:rPr>
        <w:t>specialty apparel retailer, rather than a typical off-price store. Products are prominently displayed by style, rather than by size, on dedicated, four-way fixtures featuring multiple sizes and styles. The remaining merchandise is arranged on hanging racks. The stores are carpeted and well-lit, with most featuring a sound system that plays urban adult and urban contemporary music throughout the store.</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Cost-Effective Store Locations. </w:t>
      </w:r>
      <w:r>
        <w:rPr>
          <w:rFonts w:ascii="Arial" w:cs="Arial" w:eastAsia="Arial" w:hAnsi="Arial"/>
          <w:sz w:val="18"/>
          <w:szCs w:val="18"/>
          <w:color w:val="auto"/>
        </w:rPr>
        <w:t>We locate stores in high traffic strip shopping centers that are convenient to low and moderate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neighborhoods. We generally utilize previously occupied store sites which enables us to obtain attractive rents. Similarly, advertising expenses are low as we do not rely on promotion-driven sales but rather seek to build our reputation for value through everyday low prices. At the same time, from an investment perspective, we seek to design stores that are inviting and easy to shop, while limiting startup and fixturing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Merchandising and Pricing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Our merchandising strategy is to offer fashionable urban apparel and accessories at attractive prices for the entire value-conscious family. We seek to maintain a diverse assortment of first quality, in-season merchandise that appeals to the distinctive tastes and preferences of our core customers. Approximately 20% of our net sales in fiscal 2017 were represented by nationally recognized brands. We also offer a wide variety of products from less recognized brands and a lesser amount representing private label products under our proprietary brands.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merchandise includes apparel, accessories and home. Within apparel, we offer fashion sportswear for men, women and children, including offerings for newborns, infants, toddlers, boys and girls. Accessories include handbags, jewelry, footwear, belts, intimate apparel, scrubs and sleepwear. Home includes both functional and decorative home product, as well as beauty, books and toys.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merchandise assortment by classification as a percentage of net sales for fiscal 2017, 2016 and 2015.</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96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w w:val="99"/>
              </w:rPr>
              <w:t>Percentage of Net Sales</w:t>
            </w: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Ladies’</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23 %</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24 %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23 %</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Men’s</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17 %</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17 %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We purchase our merchandise at attractive prices and mark prices up less than department or specialty stores. We seek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brands at prices that are 20% to 70% below regular retail prices available in department stores and specialty stores. Further, we consider the price-to-value relationships of our non-branded products to be exceptionally strong. Both branded and non-branded offerings validate our value and fashion positioning to our customers. We review each department in our stores at least monthly for possible markdowns based on sales rates and fashion seasons to promote faster turnover of inventory and to accelerate the flow of current merchandise.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Allocation</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merchandising department oversees the sourcing, planning and allocation of merchandise to our stores, which allows us to utilize volume purchase discounts and maintain control over our inventory. We source our merchandise from approximately 1,800 vendors, consisting of domestic manufacturers and importers. Our merchandising department consists of a buying team of 45 merchants and a planning and allocation team, which is comprised of over 25 associates.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buyers on our buying team have, on average, more than 15 years of experience in the retail business and have developed long-standing relationships with many of our vendors, including those controlling the distribution of branded apparel. Our buyers, who are based in New York, Los Angeles and Savannah, travel regularly to the major United States apparel markets, visiting major manufacturers and attending national and regional apparel trade shows, including urban-focused trade shows.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buyers purchase merchandise in styles, sizes and quantities to meet inventory levels developed by the planning staff. The buying staff utilizes several purchasing techniques that enable us to offer to customers branded and non-branded fashion merchandise at everyday low prices. The majority of the nationally recognized branded products we sell are purchased in-season, and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and purchase merchandise on an opportunistic basis near the end of the selling season, which we then store in our distribution centers for sale three to nine months later. Where possible, we seek to purchase items based on style or color in limited quantities on a test basis with the right to reorder as needed. Finally, we purchase private brand merchandise that we source to our specifications.</w:t>
      </w:r>
    </w:p>
    <w:p>
      <w:pPr>
        <w:spacing w:after="0" w:line="1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allocate merchandise across our store base according to sales and merchandise plans that are created by our planning and allocation teams. The merchandising staff utilizes a centralized management system to monitor merchandise purchasing, planning and allocation in order to maximize inventory turnover, identify and respond to changing product demands and determine the timing of markdowns to our merchandise. The buyers also regularly review the age and condition of the merchandise and manage both the reordering and clearance processes. In addition, the merchandising team communicates with regional, district and store managers to ascertain regional and store-level conditions and to better ensure that our product mix meets our consumers’ demands in terms of quality, fashion, price and overall value.</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accept payment from our customers for merchandise at time of sale. Payments are made to us by cash, check, Visa™, MasterCard™, American Express™, or Discover™. We do not extend credit terms to our customers; however, we do offer a layaway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Operations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Store Format. </w:t>
      </w:r>
      <w:r>
        <w:rPr>
          <w:rFonts w:ascii="Arial" w:cs="Arial" w:eastAsia="Arial" w:hAnsi="Arial"/>
          <w:sz w:val="16"/>
          <w:szCs w:val="16"/>
          <w:color w:val="auto"/>
        </w:rPr>
        <w:t>The average selling space of our 549 stores is approximately 11,000 square feet, which allows us the space and flexibility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departmentalize our stores and provide directed traffic patterns. We arrange most of our stores in a racetrack format with ladies’ sportswear in the center of each store and complementary categories adjacent to those items. Men’s and boy’s apparel and footwear are displayed on one side of the store, while dresses, ladies’ footwear and accessories are displayed on the other side. Merchandise for infants, toddlers and girls, as well as home goods, are displayed along the back of the store. Impulse items, such as jewelry and sunglasses, are featured near the checkout area. Products from nationally recognized brands and other current fashion styles are prominently displayed on four-way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to easily expand and contract departments in response to customer demand, seasonality and merchandise availability. Virtually all of our inventory is displayed on the selling floor.</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Store Management. </w:t>
      </w:r>
      <w:r>
        <w:rPr>
          <w:rFonts w:ascii="Arial" w:cs="Arial" w:eastAsia="Arial" w:hAnsi="Arial"/>
          <w:sz w:val="16"/>
          <w:szCs w:val="16"/>
          <w:color w:val="auto"/>
        </w:rPr>
        <w:t>Store operations are managed by our Senior Vice President of Store Operations, four regional vice presidents and 50</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managers, each of whom manages seven to fourteen stores. The typical store is staffed with a store manager, two or three assistant managers and seven to eight part-time sales associates, all of whom rotate work days on a shift basis. Store managers and assistant store managers participate in a bonus program based on achieving predetermined levels of sales and inventory shrinkage. District managers participate in bonus programs based on achieving targeted levels of sales, profits, inventory shrinkage and payroll costs. Regional Vice Presidents participate in a bonus program based partly on a roll-up of the district managers’ bonuses and partly on the Company’s profit performance in relation to budget. Sales associates are compensated on an hourly basis with incentives. Moreover, we recognize individual performance through internal promotions and provide opportunities for advancement.</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place significant emphasis on loss prevention in order to control inventory shrinkage. Initiatives include electronic tags on many of our products, training and education of store personnel on loss prevention issues, digital video camera systems, alarm systems and motion detectors in the stores. In certain stores, we visually monitor the stores throughout the day using sophisticated camera systems. We also capture extensive point-of-sale data and maintain systems that monitor returns, voids and employee sales, and produce trend and exception reports to assist in identifying shrinkage issues. We have a centralized loss prevention team that focuses exclusively on implementation of these initiatives and specifically on stores that have experienced above average levels of shrinkage. We also maintain an independent, third party administered, toll-free line for reporting shrinkage concerns and any other employee concerns.</w:t>
      </w:r>
    </w:p>
    <w:p>
      <w:pPr>
        <w:spacing w:after="0" w:line="16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Employee Training. </w:t>
      </w:r>
      <w:r>
        <w:rPr>
          <w:rFonts w:ascii="Arial" w:cs="Arial" w:eastAsia="Arial" w:hAnsi="Arial"/>
          <w:sz w:val="17"/>
          <w:szCs w:val="17"/>
          <w:color w:val="auto"/>
        </w:rPr>
        <w:t>Our employees are critical to achieving our goals, and we strive to hire employees with high energy levels and</w:t>
      </w:r>
      <w:r>
        <w:rPr>
          <w:rFonts w:ascii="Arial" w:cs="Arial" w:eastAsia="Arial" w:hAnsi="Arial"/>
          <w:sz w:val="17"/>
          <w:szCs w:val="17"/>
          <w:i w:val="1"/>
          <w:iCs w:val="1"/>
          <w:color w:val="auto"/>
        </w:rPr>
        <w:t xml:space="preserve"> </w:t>
      </w:r>
      <w:r>
        <w:rPr>
          <w:rFonts w:ascii="Arial" w:cs="Arial" w:eastAsia="Arial" w:hAnsi="Arial"/>
          <w:sz w:val="17"/>
          <w:szCs w:val="17"/>
          <w:color w:val="auto"/>
        </w:rPr>
        <w:t>motivation. 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helpful manner.</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Layaway Program. </w:t>
      </w:r>
      <w:r>
        <w:rPr>
          <w:rFonts w:ascii="Arial" w:cs="Arial" w:eastAsia="Arial" w:hAnsi="Arial"/>
          <w:sz w:val="18"/>
          <w:szCs w:val="18"/>
          <w:color w:val="auto"/>
        </w:rPr>
        <w:t>We offer a layaway program that allows customers to purchase merchandise by initially paying a 20% deposit and a $2</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charge, although at various times, we have reduced the deposit requirement to 10% and waived the service charge in connection with promotional events. The customer then makes additional payments every two weeks and has 60 days within which to complete the purchase. If the purchase is not completed, the customer receives a Citi Trends gift card for amounts paid less a re-stocking and layaway service fee.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Site Selection. </w:t>
      </w:r>
      <w:r>
        <w:rPr>
          <w:rFonts w:ascii="Arial" w:cs="Arial" w:eastAsia="Arial" w:hAnsi="Arial"/>
          <w:sz w:val="17"/>
          <w:szCs w:val="17"/>
          <w:color w:val="auto"/>
        </w:rPr>
        <w:t>Cost-effective store locations are an important part of our store profitability model. Accordingly, we look for second and</w:t>
      </w:r>
      <w:r>
        <w:rPr>
          <w:rFonts w:ascii="Arial" w:cs="Arial" w:eastAsia="Arial" w:hAnsi="Arial"/>
          <w:sz w:val="17"/>
          <w:szCs w:val="17"/>
          <w:i w:val="1"/>
          <w:iCs w:val="1"/>
          <w:color w:val="auto"/>
        </w:rPr>
        <w:t xml:space="preserve"> </w:t>
      </w:r>
      <w:r>
        <w:rPr>
          <w:rFonts w:ascii="Arial" w:cs="Arial" w:eastAsia="Arial" w:hAnsi="Arial"/>
          <w:sz w:val="17"/>
          <w:szCs w:val="17"/>
          <w:color w:val="auto"/>
        </w:rPr>
        <w:t>third use store locations that offer attractive rents, but also meet our demographic and economic criteria. We have a dedicated real estate management team responsible for new store site selection. In selecting a location, we target both urban and rural markets. Demographic criteria used in site selection include concentrations of our core consumers. In addition, we require convenient site accessibility, as well as strong co-tenants, such as food stores, dollar stores and rent-to-own stores.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Shortly after we sign a new store lease and complete the necessary leasehold improvements to the building, we prepare the store over a three to four week period by installing fixtures, signs, dressing rooms, checkout counters and cash register systems and merchandising the initial inventory.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marketing goals are to build the “Citi Trends” brand, promote customers’ association of the “Citi Trends” brand with value, quality, fashion and everyday low prices, and drive traffic into our stores. We generally focus our advertising efforts during the first quarter (Spring/Easter), back-to-school and Christmas through the use of hip-hop radio stations and social media. In addition, we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promote fashion trends and exciting deals in our window signage and through in-store announcements. In 2011, we started a Facebook page which has grown to nearly 600,000 followers.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All merchandise sold in our stores is shipped directly from our distribution centers in Darlington, South Carolina and Roland, Oklahoma, utilizing various express package distributors. Our stores receive multiple shipments of merchandise from our distribution centers each week. The Darlington distribution center has 550,000 square feet of space, while the Roland distribution center has 565,000 square feet.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Systems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information systems in place to support our core business functions, using a combination of industry-standard third party products and internally developed applications. These systems support purchase order management, price and markdown management, merchandise planning and allocation, general ledger, accounts payable, sales audit and supply chain functions. We continue to evaluate and implement new technologies to enhance the execution of our merchandising strategies, improve our operating efficiencies and maintain financial control. Recent initiatives include the continued implementation of new planning and allocation systems which allow inventory planning by class, weather zone and store, as well as the ability to rank each store at the division, department, or class level.</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stores use an industry standard point-of-sale solution supplemented by external chip-accepting pin pad devices that utilize point-to-point encryption technology. To facilitate the marking down and re-ticketing of merchandise, our stores are equipped with mobile scanners and printers which allow our stores to efficiently prepare and apply new price tickets for merchandise. Additionally, we have recently implemented a new retail analytics solution which provides exception-based transaction reporting to assist with loss prevention activities.</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information systems, with upgrades and updates over time, are adequate to support our operations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 opening twenty new stores in fiscal 2017, we plan to open approximately twenty new stores in fiscal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markets we serve are highly competitive. The principal methods of competition in the retail business are fashion, assortment, pricing and presentation. We believe we have a competitive advantage in our offering of fashionable merchandise at everyday low prices. We compete against a diverse group of retailers, including national off-price retailers, mass merchants, smaller specialty retailers and dollar stores. The off-price retail companies with which we compete include TJX Companies, Inc. (“TJX Companies”), Ross Stores, Inc. (“Ross Stores”), The Cato Corporation (“Cato”), and Burlington Stores, Inc. (“Burlington”). In particular, Ross Stores’ “dd’s DISCOUNTS” stores, and Cato’s “It’s Fashion Metro” stores target lower and moderate income consumers. We believe our strategy of appealing to African-American consumers and offering urban apparel products allows us to compete successfully with these retailers. We also believe we offer a more inviting store format than the traditional off-price retailers, including our use of carpeted floors and more prominently displayed brands. In addition, we compete with a group of smaller specialty retailers that sell only women’s products, such as Rainbow, as well as value-oriented retailers such as National Stores, Forman Mills and Variety Wholesalers. Our mass merchant competitors include Wal-Mart, Target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 As a result, we believe there is significant demand for a value-priced retailer that addresses the market of low and moderate income consumers generally and, particularly, African-American and other consumers who seek value-priced, urban fashion apparel and accessories. See Item 1A. Risk Factors in this Report for additional information regarding competition in our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regard our trademarks and service marks as having significant value and as being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various apparel: “Citi Steps,” “Citi Trends Fashion for Less,” “Lil Ms Hollywood,” “Red Ape,” and “Vintage Harlem.” Our policy is to pursue registration of our marks and to oppose vigorously infringement of our 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February 3, 2018, we had approximately 2,700 full-time and approximately 2,900 part-time employees. Of these employees, approximately 4,800 are employed in our stores and the remainder are employed in our distribution centers and corporate office. We are not a party to any collective bargaining agreements, and none of our employees are represented by a labor union.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6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1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w:t>
      </w:r>
    </w:p>
    <w:p>
      <w:pPr>
        <w:spacing w:after="0" w:line="1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unsuccessful in competing with our retail apparel competitors, our market share could decline or our growth could be impaired and, as a result, our financial results could suffer.</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retail apparel market is highly competitive with few barriers to entry. We compete against a diverse group of retailers, including national off-price apparel chains such as TJX Companies, Ross Stores, Cato, and Burlington; mass merchants such as Wal-Mart, Target and Kmart; smaller discount retail chains that sell only women’s products, such as Rainbow; and general merchandise discount stores and dollar stores, which offer a variety of products, including apparel, for the value-conscious consumer. We also compete against local off-price and specialty retail stores, regional retail chains, traditional department stores, web-based retail stores and other direct retailers.</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our business and results of operations could be adversely affected, and the market price of our common stock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attract consumers to our stores depends on the success of the strip shopping centers where our stores are located.</w:t>
      </w:r>
    </w:p>
    <w:p>
      <w:pPr>
        <w:spacing w:after="0" w:line="25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locate our stores primarily in strip shopping centers where we believe our consumers and potential consumers shop. The success of an individual store can depend on favorable placement within a given strip shopping center.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could suffer. If one or more of the anchor tenants located in the strip shopping centers where our stores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are located close or leave, or if there is significant deterioration of the surrounding areas in which our stores are located,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a reduction in sales if we are unable to fulfill our current and future merchandising needs.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obtain replacement merchandise in a timely manner, which could negatively impact our sales and results of operations.</w:t>
      </w:r>
    </w:p>
    <w:p>
      <w:pPr>
        <w:spacing w:after="0" w:line="17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sales could decline as a result of general economic and other factors outside of our control, such as changes in consumer spending patterns and declines in employment levels.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interest rates, levels of consumer debt, inflation in food and energy prices, taxation, government stimulus, consumer confidence, and other macroeconomic factors, could adversely affect consumer spending patterns, our sales and our results of operations. Consumer confidence may also be affected by domestic and international political unrest, acts of war or terrorism, natural disasters or other significant events outside of our control, any of which could lead to a decrease in spending by consumers.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do not sell our products through the internet. As the retail industry experiences an increase in online sales, our sales could be adversely affected.</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 expected to continue. Although we have tested the sale of products through the internet, we no longer have any items available on our company’s website. The continued growth of online sales could have a negative impact on our sales, as our customers may decide to make purchases through online retailers.</w:t>
      </w:r>
    </w:p>
    <w:p>
      <w:pPr>
        <w:spacing w:after="0" w:line="18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Adverse trade restrictions may disrupt our supply of merchandise. We also face various risks because much of our merchandise is imported from abroad.</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purchase the products we sell directly from approximately 1,800 vendors, and a substantial portion of this merchandise is manufactured outside of the United States and imported by our vendors from countries such as China and other areas of the Far East. The countries in which our merchandise currently is manufactured or may be manufactured in the future could become subject to new trade restrictions imposed by the United States or other foreign governments. There is increased uncertainty with respect to trade relations between the United States and other countries. Trade restrictions, including increased customs restrictions and tariffs or quotas against apparel items, as well as United States or foreign labor strikes, work stoppages or boycotts, could increase the cost or reduce the supply or impede the timely delivery of apparel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8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also face a variety of other risks generally associated with relying on vendors that do business in foreign markets and import merchandise from abroad, such as:</w:t>
      </w:r>
    </w:p>
    <w:p>
      <w:pPr>
        <w:spacing w:after="0" w:line="170" w:lineRule="exact"/>
        <w:rPr>
          <w:sz w:val="20"/>
          <w:szCs w:val="20"/>
          <w:color w:val="auto"/>
        </w:rPr>
      </w:pPr>
    </w:p>
    <w:p>
      <w:pPr>
        <w:ind w:left="640" w:hanging="317"/>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political instability, natural disasters, or the threat of terrorism, in particular in countries where our vendors source merchandise;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4980"/>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right="540" w:hanging="317"/>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merchandise costs due to raw material price inflation or changes in purchasing power caused by fluctuations in currency exchange rates;</w:t>
      </w:r>
    </w:p>
    <w:p>
      <w:pPr>
        <w:spacing w:after="0" w:line="170" w:lineRule="exact"/>
        <w:rPr>
          <w:rFonts w:ascii="Arial" w:cs="Arial" w:eastAsia="Arial" w:hAnsi="Arial"/>
          <w:sz w:val="18"/>
          <w:szCs w:val="18"/>
          <w:color w:val="auto"/>
        </w:rPr>
      </w:pPr>
    </w:p>
    <w:p>
      <w:pPr>
        <w:ind w:left="640" w:hanging="31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security measures at United States and foreign ports, which could delay delivery of imports;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imposition of new or supplemental duties, taxes, and other charges on imports;</w:t>
      </w:r>
    </w:p>
    <w:p>
      <w:pPr>
        <w:spacing w:after="0" w:line="225" w:lineRule="exact"/>
        <w:rPr>
          <w:rFonts w:ascii="Arial" w:cs="Arial" w:eastAsia="Arial" w:hAnsi="Arial"/>
          <w:sz w:val="18"/>
          <w:szCs w:val="18"/>
          <w:color w:val="auto"/>
        </w:rPr>
      </w:pPr>
    </w:p>
    <w:p>
      <w:pPr>
        <w:ind w:left="640" w:right="680" w:hanging="317"/>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delayed receipt or non-delivery of goods due to the failure of foreign-source suppliers to comply with import regulations, organized labor strikes or congestion at United States ports; and</w:t>
      </w:r>
    </w:p>
    <w:p>
      <w:pPr>
        <w:spacing w:after="0" w:line="170" w:lineRule="exact"/>
        <w:rPr>
          <w:rFonts w:ascii="Arial" w:cs="Arial" w:eastAsia="Arial" w:hAnsi="Arial"/>
          <w:sz w:val="18"/>
          <w:szCs w:val="18"/>
          <w:color w:val="auto"/>
        </w:rPr>
      </w:pPr>
    </w:p>
    <w:p>
      <w:pPr>
        <w:ind w:left="640" w:right="540" w:hanging="317"/>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business practice and political issues, including issues relating to compliance with domestic or international labor and environmental standards.</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As an apparel retailer, we rely on numerous third parties in the supply chain to produce and deliver the products that we sell, and our business may be negatively impacted by their failure to comply with applicable law.</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rely on numerous third parties to supply the products that we sell. Violations of law by our importers, manufacturers or distributors could result in delays in shipments and receipt of goods or damage our reputation, thus causing our sales to decline. In addition, merchandise we sell in our stores is subject to regulatory standards set by various governmental authorities with respect to quality and safety. Regulations in this area may change from time to time. Issues with the quality and safety of merchandise we sell in our stores, regardless of our fault, or customer concerns about such issues, could result in damage to our reputation, lost sales, uninsured product liability claims or losses, merchandise recalls and increased costs. Further, we are susceptible to the receipt of counterfeit brands or unlicensed goods. We could incur liability with manufacturers or other owners of the brands or trademarked products if we receive and sell counterfeit brands or unlicensed goods, even inadvertently, and, therefore, it is important that we establish relationships with reputable vendors to reduce the risk that we may inadvertently receive counterfeit brands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or unlicensed goods, which could adversely impact our results of operations.</w:t>
      </w:r>
    </w:p>
    <w:p>
      <w:pPr>
        <w:spacing w:after="0" w:line="17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 significant disruption to our distribution process or southeastern retail locations could have an adverse effect on our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distribute our merchandise to our store locations in a timely manner is essential to the efficient and profitable operation of our business. We have distribution centers located in Darlington, South Carolina and Roland, Oklahoma. Any natural disaster or other disruption to the operation of either of these facilities due to fire, accidents, weather conditions or any other cause could damage a significant portion of our inventory and impair our ability to stock our stores adequately.</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the southeastern United States, where the Darlington distribution center and many of our stores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increase our operating expenses, impair our cash flows and reduce our sales.</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protect our name and brand in the marketplace, there could be a negative effect on our business and limitations on our ability to penetrate new markets.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an adverse effect on our reputation, business, financial condition and results of operations.</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currently estimate the likelihood of success of any such lawsuit or ultimate resolution of such a conflict, such a controversy could have an adverse effect on our business, financial condition and results of operations.</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fail to implement and maintain effective internal controls in our business, there could be an adverse effect on our business, financial condition, results of operations and stock price.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Section 404 of the Sarbanes Oxley Act of 2002 requires annual management assessments of the effectiveness of our internal controls over financial reporting and an audit of such controls by our independent registered public accounting firm. If we fail to maintain the adequacy of our internal controls, we may be unable to conclude on an ongoing basis that we have effective internal controls over financial reporting. Moreover, effective internal controls, particularly those related to revenue recognition and accounting for inventory/cost of sales,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attract, train, assimilate and retain skilled personnel could have an adverse effect on our financial condition.</w:t>
      </w:r>
    </w:p>
    <w:p>
      <w:pPr>
        <w:spacing w:after="0" w:line="24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Like most retailers, we experience significant employee turnover rates, particularly among store sales associates and managers. We therefore must continually attract,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cause us to be unable to service our customers effectively, thus reducing our ability to operate our stores as profitably as we have in the past.</w:t>
      </w:r>
    </w:p>
    <w:p>
      <w:pPr>
        <w:spacing w:after="0" w:line="1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as a result of a proxy fight and the actions of activist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If we become engaged in a proxy contest with activist shareholders in the future, our business could be adversely affected because:</w:t>
      </w:r>
    </w:p>
    <w:p>
      <w:pPr>
        <w:spacing w:after="0" w:line="237" w:lineRule="exact"/>
        <w:rPr>
          <w:sz w:val="20"/>
          <w:szCs w:val="20"/>
          <w:color w:val="auto"/>
        </w:rPr>
      </w:pPr>
    </w:p>
    <w:p>
      <w:pPr>
        <w:ind w:left="640" w:right="100" w:firstLine="36"/>
        <w:spacing w:after="0" w:line="258" w:lineRule="auto"/>
        <w:rPr>
          <w:sz w:val="20"/>
          <w:szCs w:val="20"/>
          <w:color w:val="auto"/>
        </w:rPr>
      </w:pPr>
      <w:r>
        <w:rPr>
          <w:rFonts w:ascii="Arial" w:cs="Arial" w:eastAsia="Arial" w:hAnsi="Arial"/>
          <w:sz w:val="18"/>
          <w:szCs w:val="18"/>
          <w:color w:val="auto"/>
        </w:rPr>
        <w:t>Responding to proxy contests, litigation and other actions by activist stockholders can be costly and time-consuming, disrupt our operations and divert the attention of management and our employees.</w:t>
      </w:r>
    </w:p>
    <w:p>
      <w:pPr>
        <w:spacing w:after="0" w:line="1" w:lineRule="exact"/>
        <w:rPr>
          <w:sz w:val="20"/>
          <w:szCs w:val="20"/>
          <w:color w:val="auto"/>
        </w:rPr>
      </w:pPr>
    </w:p>
    <w:p>
      <w:pPr>
        <w:ind w:left="640" w:right="80" w:firstLine="36"/>
        <w:spacing w:after="0" w:line="250" w:lineRule="auto"/>
        <w:rPr>
          <w:sz w:val="20"/>
          <w:szCs w:val="20"/>
          <w:color w:val="auto"/>
        </w:rPr>
      </w:pPr>
      <w:r>
        <w:rPr>
          <w:rFonts w:ascii="Arial" w:cs="Arial" w:eastAsia="Arial" w:hAnsi="Arial"/>
          <w:sz w:val="18"/>
          <w:szCs w:val="18"/>
          <w:color w:val="auto"/>
        </w:rPr>
        <w:t>Perceived uncertainties as to our future direction may result in the loss of potential business opportunities and harm our ability to attract new investors and to retain and attract experienced executives and employees.</w:t>
      </w:r>
    </w:p>
    <w:p>
      <w:pPr>
        <w:spacing w:after="0" w:line="1" w:lineRule="exact"/>
        <w:rPr>
          <w:sz w:val="20"/>
          <w:szCs w:val="20"/>
          <w:color w:val="auto"/>
        </w:rPr>
      </w:pPr>
    </w:p>
    <w:p>
      <w:pPr>
        <w:jc w:val="both"/>
        <w:ind w:left="640" w:right="160" w:firstLine="36"/>
        <w:spacing w:after="0" w:line="250" w:lineRule="auto"/>
        <w:rPr>
          <w:sz w:val="20"/>
          <w:szCs w:val="20"/>
          <w:color w:val="auto"/>
        </w:rPr>
      </w:pPr>
      <w:r>
        <w:rPr>
          <w:rFonts w:ascii="Arial" w:cs="Arial" w:eastAsia="Arial" w:hAnsi="Arial"/>
          <w:sz w:val="18"/>
          <w:szCs w:val="18"/>
          <w:color w:val="auto"/>
        </w:rPr>
        <w:t>If individuals are elected to our board of directors with a specific agenda, it may adversely affect our ability to retain and attract experienced executives and employees, to effectively and timely implement our business strategy and create additional value for stockholders.</w:t>
      </w:r>
    </w:p>
    <w:p>
      <w:pPr>
        <w:spacing w:after="0" w:line="1" w:lineRule="exact"/>
        <w:rPr>
          <w:sz w:val="20"/>
          <w:szCs w:val="20"/>
          <w:color w:val="auto"/>
        </w:rPr>
      </w:pPr>
    </w:p>
    <w:p>
      <w:pPr>
        <w:ind w:left="640" w:right="80" w:firstLine="36"/>
        <w:spacing w:after="0" w:line="255" w:lineRule="auto"/>
        <w:rPr>
          <w:sz w:val="20"/>
          <w:szCs w:val="20"/>
          <w:color w:val="auto"/>
        </w:rPr>
      </w:pPr>
      <w:r>
        <w:rPr>
          <w:rFonts w:ascii="Arial" w:cs="Arial" w:eastAsia="Arial" w:hAnsi="Arial"/>
          <w:sz w:val="18"/>
          <w:szCs w:val="18"/>
          <w:color w:val="auto"/>
        </w:rPr>
        <w:t>We may experience a significant increase in legal fees, administrative, advisor and associated costs incurred in connection with responding to a proxy contest or related action. For example, we incurred $2.5 million in expenses as a result of the proxy contest in connection with our 2017 annual meeting.</w:t>
      </w:r>
    </w:p>
    <w:p>
      <w:pPr>
        <w:spacing w:after="0" w:line="1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factors could adversely impact our results of operations and could also cause our stock price to experience periods of volatility or stagnation.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the minimum wage could have an adverse effect on our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Wage rates for many of our employees are slightly above the federal minimum wage. As federal and/or state minimum wage rates increase, we may need to increase not only our employees’ wage rates that are under the new minimum, but also the wages paid to our other hourly employees. Any increase in the cost of our labor could have a material adverse effect on our operating costs,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legal requirements could result in increased costs.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Compliance risks in our business include areas such as employment law, taxation, customer relations and personal injury claims, among others. Failure to comply with laws, rules and regulations could result in unexpected costs and have an adverse effect on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government regulations could have an adverse effect on our financial condition and results of operations.</w:t>
      </w:r>
    </w:p>
    <w:p>
      <w:pPr>
        <w:spacing w:after="0" w:line="24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Our business is subject to numerous federal, state and local laws and regulations. New legal requirements in any number of areas could result in higher compliance costs. Changes in areas, such as workplace-regulation and other employment-related laws, supply chain, privacy and information security, or environmental regulation may require extensive structural and organizational changes that could be difficult to implement, disrupt our business, cause reputational harm and materially adversely affect our operations and financial results.</w:t>
      </w:r>
    </w:p>
    <w:p>
      <w:pPr>
        <w:spacing w:after="0" w:line="150" w:lineRule="exact"/>
        <w:rPr>
          <w:sz w:val="20"/>
          <w:szCs w:val="20"/>
          <w:color w:val="auto"/>
        </w:rPr>
      </w:pPr>
    </w:p>
    <w:p>
      <w:pPr>
        <w:ind w:right="480"/>
        <w:spacing w:after="0" w:line="313"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the accuracy, reliability and proper functioning of our management information systems, including the systems used to track our sales and facilitate inventory management. We also rely on our management information systems for merchandise planning, replenishment and markdowns, as well as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depend on third-party suppliers to maintain and periodically upgrade our management information systems. If any of these suppliers is unable to continue to maintain and upgrade these software programs and/or if we are unable to convert to alternate systems in an efficient and timely manner, it could result in an adverse effect on our business.</w:t>
      </w:r>
    </w:p>
    <w:p>
      <w:pPr>
        <w:spacing w:after="0" w:line="17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Failure to secure our customers’ charge card information, or the private data relating to our associates or the Company, could subject us to negative publicity, government enforcement actions, or private litigation.</w:t>
      </w:r>
    </w:p>
    <w:p>
      <w:pPr>
        <w:spacing w:after="0" w:line="166"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We have procedures and technology in place to safeguard our customers’ debit and credit card information, our associates’ private data, and the Company’s records and intellectual property. However, if we experience a data security breach, we could be exposed to costly negative publicity, governmental enforcement actions, and private litigation. In addition, our sales could be negatively impacted if our customers have security concerns and are not willing to purchase our merchandise using charge cards.</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sales, inventory levels and earnings fluctuate on a seasonal basis, which makes our business more susceptible to adverse events that occur during the first and fourth quarters.</w:t>
      </w:r>
    </w:p>
    <w:p>
      <w:pPr>
        <w:spacing w:after="0" w:line="16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unfavorable economic conditions, reduced governmental assistance, and tax refund patterns for our customers, will have a greater adverse effect on our financial condition than if our business was less seasonal.</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order to prepare for the spring and fall selling seasons, we must order and keep in stock significantly more merchandise than during other parts of the year. This seasonality makes our business more susceptible to the risk that our inventory will not satisfy actual consumer demand. In addition, any unanticipated demand imbalances during these peak shopping seasons could require us to sell excess inventory at a substantial markdown or fail to satisfy our consumers. In either event, our sales may be lower and our cost of sales may be higher than historical levels, which could have a material adverse effect on our business, financial condition and results of operations.</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experience fluctuations and variability in our comparable store sales and quarterly results of operations and, as a result, the market price of our common stock may fluctuate substantially.</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comparable store sales and quarterly results have fluctuated significantly in the past based on a number of economic, seasonal and competitive factors, and we expect them to continue to fluctuate in the future. Since the beginning of fiscal 2010, our quarter-to-quarter comparable store sales have ranged from a decrease of 11.9% to an increase of 13.9%. This variability could cause our comparable store sales and quarterly results to fall below the expectations of securities analysts or investors, which could result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subject to volatility.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has been volatile in the past and may be influenced in the future by a number of factors, including:</w:t>
      </w:r>
    </w:p>
    <w:p>
      <w:pPr>
        <w:spacing w:after="0" w:line="225" w:lineRule="exact"/>
        <w:rPr>
          <w:sz w:val="20"/>
          <w:szCs w:val="20"/>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securities analysts’ recommendations or estimates of our financial performance;</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market valuations or operating performance of our competitors or companies similar to ours;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our competitors or other retailers;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passage of legislation or other developments affecting us;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trading volume of our common stock in the public market;</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or financial market conditions;</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civil unrest; and</w:t>
      </w:r>
    </w:p>
    <w:p>
      <w:pPr>
        <w:spacing w:after="0" w:line="225"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realization of some or all of the risks described in this section entitled “Risk Factors.”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cannot provide any guaranty of future cash dividend payments or that we will continue to actively repurchase our common stock pursuant to a share repurchase program.</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determination to declare and pay cash dividends on our common stock in the future (quarterly or otherwise) will be based, among other things, upon our financial condition, results of operations, business and cash requirements and our board of directors’ conclusion in each instance that the declaration and payment of a cash dividend is in the best interest of our stockholders and is in compliance with all laws and agreements applicable to the dividend. In addition, there can be no assurance that our existing share repurchase authorization will be completed.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in our certificate of incorporation and by-laws and Delaware law may delay or prevent our acquisition by a third party.</w:t>
      </w:r>
    </w:p>
    <w:p>
      <w:pPr>
        <w:spacing w:after="0" w:line="25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second amended and restated certificate of incorporation and our second amended and restated by-laws, as amended, contain several provisions that may make it more difficult for a third party to acquire control of us without the approval of our board of directors. These provisions include, among other things, a classified board of directors,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of February 3, 2018, we operated 549 stores located in 31 states. Our stores average approximately 11,000 square feet of selling space and are typically located in neighborhood strip shopping centers that are convenient to low and moderate income customers.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 franchising relationships, and all of the stores are company operated. All existing 549 stores, totaling 7.3 million total square feet and 6.1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31 states in which we operated as of February 3, 2018:</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Alabama—31</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Arkansas—13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California—9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Connecticut—4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Delaware—1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Florida—51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Georgia—63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Illinois—20</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Indiana—16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Iowa—2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Kansas—1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Kentucky—6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Louisiana—34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Maryland—5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Massachusetts—2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Michigan—22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Minnesota—2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Mississippi—26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Missouri—7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Nebraska—1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Nevada—3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York—8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North Carolina—47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Ohio—28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Oklahoma—6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Pennsylvania—6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South Carolina—44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Tennessee—17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Texas—47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Virginia—21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Wisconsin—6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Center Facilities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own a facility in Savannah, Georgia totaling approximately 70,000 square feet, which serves as our headquarters and, to a lesser extent, as a storage facility. We also own an approximately 550,000 square-foot distribution center in Darlington, South Carolina and a 565,000 square-foot distribution center in Roland, Oklahoma. In addition, we currently lease an 11,500 square-foot office in New York City and an 1,800 square-foot office in Los Angeles which are used for buyer operations and meetings with vendors.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6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MARKET FOR THE REGISTRANT’S COMMON EQUITY, RELATED STOCKHOLDER MATTERS AND ISSUER PURCHASES OF EQUITY SECURITIES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is traded on The NASDAQ Stock Market under the symbol “CTRN”. The following table shows the high and low per share prices of our common stock and our quarterly cash dividends per common share for the periods indicated.</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2016</w:t>
            </w:r>
          </w:p>
        </w:tc>
        <w:tc>
          <w:tcPr>
            <w:tcW w:w="3040" w:type="dxa"/>
            <w:vAlign w:val="bottom"/>
            <w:tcBorders>
              <w:top w:val="single" w:sz="8" w:color="CCEEFF"/>
              <w:bottom w:val="single" w:sz="8" w:color="CCEEFF"/>
            </w:tcBorders>
            <w:shd w:val="clear" w:color="auto" w:fill="CCEEFF"/>
          </w:tcPr>
          <w:p>
            <w:pPr>
              <w:spacing w:after="0"/>
              <w:rPr>
                <w:sz w:val="15"/>
                <w:szCs w:val="15"/>
                <w:color w:val="auto"/>
              </w:rPr>
            </w:pP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First Quarter</w:t>
            </w:r>
          </w:p>
        </w:tc>
        <w:tc>
          <w:tcPr>
            <w:tcW w:w="2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20.95</w:t>
            </w:r>
          </w:p>
        </w:tc>
        <w:tc>
          <w:tcPr>
            <w:tcW w:w="8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15.46</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0.06</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21.01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2017</w:t>
            </w:r>
          </w:p>
        </w:tc>
        <w:tc>
          <w:tcPr>
            <w:tcW w:w="304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First Quarter</w:t>
            </w:r>
          </w:p>
        </w:tc>
        <w:tc>
          <w:tcPr>
            <w:tcW w:w="2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19.69</w:t>
            </w:r>
          </w:p>
        </w:tc>
        <w:tc>
          <w:tcPr>
            <w:tcW w:w="8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15.54</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0.06</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22.63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April 3, 2018, the last reported sale price of our common stock on The NASDAQ Stock Market was $31.17 per share. On April 3, 2018, there were 39 holders of record and approximately 2,600 beneficial holders of our common stock.</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2017, we paid a quarterly dividend of $0.06 per common share on March 14, 2017, and a quarterly dividend of $0.08 per common share on June 13, 2017, September 12, 2017 and December 12, 2017.</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13, 2018, the Company’s Board of Directors declared a quarterly dividend of $0.08 per common share, which was paid on March 20, 2018 to stockholders of record as of March 6, 2018. We currently anticipate continuing our $0.08 quarterly dividend. However, any determination to declare and pay cash dividends on our common stock in the future (quarterly or otherwise) will be based, among other things, upon our financial condition, results of operations, business and cash requirements and our board of directors’ conclusion in each instance that the declaration and payment of a cash dividend is in the best interest of our stockholders and is in compliance with all laws and agreements applicable to the dividend.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April 2017, the Company’s Board of Directors approved a $25.0 million stock repurchase program. During the second and third quarters of 2017 the Company repurchased $25.0 million of common stock under this repurchase program. There were no repurchases in the fourth quarter of fiscal 2017, and no shares remained available as of February 3, 2018.</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March 16, 2018, the Company announced a new $25.0 million stock repurchase program. Repurchases under the stock repurchase program may be made at management’s discretion from time to time on the open market, in privately negotiated transactions or otherwise, and may be made in part under one or more Rule 10b5-1 plans. The stock repurchase program does not have an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Item 12 of this Report.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Set forth below is a line graph comparing the last five years’ percentage change in the cumulative total stockholder return on shares of our common stock against (i) the cumulative total return of companies listed on The NASDAQ Stock Market and (ii) the cumulative total return of the NASDAQ Retail Trade Index. This graph assumes that $100 was invested on January 31, 2013 in our common stock and in each of the market index and the industry index, and that all cash distributions were reinvested. Our common stock price performance shown on the graph is not indicative of future price performance.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Citi Trends, Inc., the NASDAQ Composite Index and the NASDAQ Retail Trade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5715</wp:posOffset>
            </wp:positionV>
            <wp:extent cx="4973955" cy="3215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395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invested on 1/31/13 in stock or index, including reinvestment of dividends.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Fiscal year ending on or about January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Total Return Analysis</w:t>
            </w: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1/13</w:t>
            </w:r>
          </w:p>
        </w:tc>
        <w:tc>
          <w:tcPr>
            <w:tcW w:w="16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1/14</w:t>
            </w:r>
          </w:p>
        </w:tc>
        <w:tc>
          <w:tcPr>
            <w:tcW w:w="16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1/15</w:t>
            </w:r>
          </w:p>
        </w:tc>
        <w:tc>
          <w:tcPr>
            <w:tcW w:w="160" w:type="dxa"/>
            <w:vAlign w:val="bottom"/>
          </w:tcPr>
          <w:p>
            <w:pPr>
              <w:spacing w:after="0"/>
              <w:rPr>
                <w:sz w:val="16"/>
                <w:szCs w:val="16"/>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1/16</w:t>
            </w:r>
          </w:p>
        </w:tc>
        <w:tc>
          <w:tcPr>
            <w:tcW w:w="18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1/17</w:t>
            </w: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1/18</w:t>
            </w:r>
          </w:p>
        </w:tc>
        <w:tc>
          <w:tcPr>
            <w:tcW w:w="40" w:type="dxa"/>
            <w:vAlign w:val="bottom"/>
          </w:tcPr>
          <w:p>
            <w:pPr>
              <w:spacing w:after="0"/>
              <w:rPr>
                <w:sz w:val="16"/>
                <w:szCs w:val="16"/>
                <w:color w:val="auto"/>
              </w:rPr>
            </w:pPr>
          </w:p>
        </w:tc>
      </w:tr>
      <w:tr>
        <w:trPr>
          <w:trHeight w:val="210"/>
        </w:trPr>
        <w:tc>
          <w:tcPr>
            <w:tcW w:w="4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Citi Trends, Inc.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176.89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160.50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187.94</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NASDAQ Composite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133.35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152.66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153.70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187.33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249.85</w:t>
            </w:r>
          </w:p>
        </w:tc>
        <w:tc>
          <w:tcPr>
            <w:tcW w:w="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NASDAQ Retail Trade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175.90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212.73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315.35</w:t>
            </w:r>
          </w:p>
        </w:tc>
        <w:tc>
          <w:tcPr>
            <w:tcW w:w="40" w:type="dxa"/>
            <w:vAlign w:val="bottom"/>
            <w:shd w:val="clear" w:color="auto" w:fill="CCEEFF"/>
          </w:tcPr>
          <w:p>
            <w:pPr>
              <w:spacing w:after="0"/>
              <w:rPr>
                <w:sz w:val="18"/>
                <w:szCs w:val="18"/>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Operating Data</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table provides selected consolidated financial and operating data for each of the fiscal years in the five-year period ended February 3, 2018, including: (a) consolidated statement of operations data for each such period, (b) additional operating data for each such period and (c) consolidated balance sheet data as of the end of each such period. The consolidated statement of operations data for the fiscal years ended February 3, 2018, January 28, 2017 and January 30, 2016 and the consolidated balance sheet data as of February 3, 2018 and January 28, 2017 are derived from our audited consolidated financial statements included in Item 8 of this Report that have been audited by KPMG LLP, an independent registered public accounting firm. The statement of operations data for the fiscal years ended January 31, 2015 and February 1, 2014 and the balance sheet data as of January 30, 2016, January 31, 2015 and February 1, 2014 are derived from our audited financial statements that are not included in this Report. The selected consolidated financial and operating data set forth below should be read in conjunction with, and are qualified in their entirety by reference to, the section entitled “Management’s Discussion and Analysis of Financial Condition and Results of Operations” included in Item 7 of this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7" w:name="page18"/>
    <w:bookmarkEnd w:id="17"/>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 w:right="180"/>
        <w:spacing w:after="0" w:line="246" w:lineRule="auto"/>
        <w:rPr>
          <w:sz w:val="20"/>
          <w:szCs w:val="20"/>
          <w:color w:val="auto"/>
        </w:rPr>
      </w:pPr>
      <w:r>
        <w:rPr>
          <w:rFonts w:ascii="Arial" w:cs="Arial" w:eastAsia="Arial" w:hAnsi="Arial"/>
          <w:sz w:val="18"/>
          <w:szCs w:val="18"/>
          <w:color w:val="auto"/>
        </w:rPr>
        <w:t>Report and our consolidated financial statements and related notes set forth in the financial pages of this Report. Historical results are not necessarily indicative of results to be expected for any future period.</w:t>
      </w:r>
    </w:p>
    <w:p>
      <w:pPr>
        <w:spacing w:after="0" w:line="121"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Fiscal Year Ended (1)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320" w:type="dxa"/>
            <w:vAlign w:val="bottom"/>
          </w:tcPr>
          <w:p>
            <w:pPr>
              <w:spacing w:after="0"/>
              <w:rPr>
                <w:sz w:val="10"/>
                <w:szCs w:val="10"/>
                <w:color w:val="auto"/>
              </w:rPr>
            </w:pPr>
          </w:p>
        </w:tc>
        <w:tc>
          <w:tcPr>
            <w:tcW w:w="10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January 28,</w:t>
            </w:r>
          </w:p>
        </w:tc>
        <w:tc>
          <w:tcPr>
            <w:tcW w:w="40" w:type="dxa"/>
            <w:vAlign w:val="bottom"/>
          </w:tcPr>
          <w:p>
            <w:pPr>
              <w:spacing w:after="0"/>
              <w:rPr>
                <w:sz w:val="10"/>
                <w:szCs w:val="10"/>
                <w:color w:val="auto"/>
              </w:rPr>
            </w:pPr>
          </w:p>
        </w:tc>
        <w:tc>
          <w:tcPr>
            <w:tcW w:w="10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January 30,</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20" w:type="dxa"/>
            <w:vAlign w:val="bottom"/>
          </w:tcPr>
          <w:p>
            <w:pPr>
              <w:spacing w:after="0"/>
              <w:rPr>
                <w:sz w:val="10"/>
                <w:szCs w:val="10"/>
                <w:color w:val="auto"/>
              </w:rPr>
            </w:pPr>
          </w:p>
        </w:tc>
      </w:tr>
      <w:tr>
        <w:trPr>
          <w:trHeight w:val="171"/>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4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w w:val="97"/>
              </w:rPr>
              <w:t>(dollars in thousands, except per share amounts)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Statement of Operations Data:</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Net sales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755,241</w:t>
            </w:r>
          </w:p>
        </w:tc>
        <w:tc>
          <w:tcPr>
            <w:tcW w:w="3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695,175</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683,791</w:t>
            </w: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670,840</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622,204</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(466,022)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(428,167)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(416,779)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(418,416)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(394,445)</w:t>
            </w: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(247,062)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(230,666)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(224,218)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(221,041)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(206,146)</w:t>
            </w: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(18,577)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(21,974)</w:t>
            </w: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Asset impairment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(1,542)</w:t>
            </w: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on sale of former distribution center</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120" w:type="dxa"/>
            <w:vAlign w:val="bottom"/>
            <w:shd w:val="clear" w:color="auto" w:fill="CCEEFF"/>
          </w:tcPr>
          <w:p>
            <w:pPr>
              <w:spacing w:after="0"/>
              <w:rPr>
                <w:sz w:val="12"/>
                <w:szCs w:val="12"/>
                <w:color w:val="auto"/>
              </w:rPr>
            </w:pPr>
          </w:p>
        </w:tc>
      </w:tr>
      <w:tr>
        <w:trPr>
          <w:trHeight w:val="142"/>
        </w:trPr>
        <w:tc>
          <w:tcPr>
            <w:tcW w:w="4380" w:type="dxa"/>
            <w:vAlign w:val="bottom"/>
          </w:tcPr>
          <w:p>
            <w:pPr>
              <w:ind w:left="220"/>
              <w:spacing w:after="0" w:line="142" w:lineRule="exact"/>
              <w:rPr>
                <w:sz w:val="20"/>
                <w:szCs w:val="20"/>
                <w:color w:val="auto"/>
              </w:rPr>
            </w:pPr>
            <w:r>
              <w:rPr>
                <w:rFonts w:ascii="Arial" w:cs="Arial" w:eastAsia="Arial" w:hAnsi="Arial"/>
                <w:sz w:val="14"/>
                <w:szCs w:val="14"/>
                <w:color w:val="auto"/>
              </w:rPr>
              <w:t>Income (loss) from operations</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22,767</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18,939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24,217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(377)</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net</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r>
      <w:tr>
        <w:trPr>
          <w:trHeight w:val="142"/>
        </w:trPr>
        <w:tc>
          <w:tcPr>
            <w:tcW w:w="4380" w:type="dxa"/>
            <w:vAlign w:val="bottom"/>
          </w:tcPr>
          <w:p>
            <w:pPr>
              <w:ind w:left="220"/>
              <w:spacing w:after="0" w:line="142" w:lineRule="exact"/>
              <w:rPr>
                <w:sz w:val="20"/>
                <w:szCs w:val="20"/>
                <w:color w:val="auto"/>
              </w:rPr>
            </w:pPr>
            <w:r>
              <w:rPr>
                <w:rFonts w:ascii="Arial" w:cs="Arial" w:eastAsia="Arial" w:hAnsi="Arial"/>
                <w:sz w:val="14"/>
                <w:szCs w:val="14"/>
                <w:color w:val="auto"/>
              </w:rPr>
              <w:t>Income (loss) before income taxes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23,500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19,351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24,314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11,110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(290)</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 (expense) benefit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(8,787)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14,574</w:t>
            </w: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13,331</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15,527</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8,966</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464</w:t>
            </w:r>
          </w:p>
        </w:tc>
        <w:tc>
          <w:tcPr>
            <w:tcW w:w="120" w:type="dxa"/>
            <w:vAlign w:val="bottom"/>
            <w:tcBorders>
              <w:bottom w:val="single" w:sz="8" w:color="CCEEFF"/>
            </w:tcBorders>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per common share: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6"/>
        </w:trPr>
        <w:tc>
          <w:tcPr>
            <w:tcW w:w="4380" w:type="dxa"/>
            <w:vAlign w:val="bottom"/>
          </w:tcPr>
          <w:p>
            <w:pPr>
              <w:ind w:left="320"/>
              <w:spacing w:after="0" w:line="149" w:lineRule="exact"/>
              <w:rPr>
                <w:sz w:val="20"/>
                <w:szCs w:val="20"/>
                <w:color w:val="auto"/>
              </w:rPr>
            </w:pPr>
            <w:r>
              <w:rPr>
                <w:rFonts w:ascii="Arial" w:cs="Arial" w:eastAsia="Arial" w:hAnsi="Arial"/>
                <w:sz w:val="14"/>
                <w:szCs w:val="14"/>
                <w:color w:val="auto"/>
              </w:rPr>
              <w:t>Basic</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320" w:type="dxa"/>
            <w:vAlign w:val="bottom"/>
          </w:tcPr>
          <w:p>
            <w:pPr>
              <w:spacing w:after="0"/>
              <w:rPr>
                <w:sz w:val="13"/>
                <w:szCs w:val="13"/>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160" w:type="dxa"/>
            <w:vAlign w:val="bottom"/>
          </w:tcPr>
          <w:p>
            <w:pPr>
              <w:spacing w:after="0"/>
              <w:rPr>
                <w:sz w:val="13"/>
                <w:szCs w:val="13"/>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200" w:type="dxa"/>
            <w:vAlign w:val="bottom"/>
          </w:tcPr>
          <w:p>
            <w:pPr>
              <w:spacing w:after="0"/>
              <w:rPr>
                <w:sz w:val="13"/>
                <w:szCs w:val="13"/>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160" w:type="dxa"/>
            <w:vAlign w:val="bottom"/>
          </w:tcPr>
          <w:p>
            <w:pPr>
              <w:spacing w:after="0"/>
              <w:rPr>
                <w:sz w:val="13"/>
                <w:szCs w:val="13"/>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20" w:type="dxa"/>
            <w:vAlign w:val="bottom"/>
          </w:tcPr>
          <w:p>
            <w:pPr>
              <w:spacing w:after="0"/>
              <w:rPr>
                <w:sz w:val="13"/>
                <w:szCs w:val="13"/>
                <w:color w:val="auto"/>
              </w:rPr>
            </w:pPr>
          </w:p>
        </w:tc>
      </w:tr>
      <w:tr>
        <w:trPr>
          <w:trHeight w:val="169"/>
        </w:trPr>
        <w:tc>
          <w:tcPr>
            <w:tcW w:w="4380" w:type="dxa"/>
            <w:vAlign w:val="bottom"/>
            <w:tcBorders>
              <w:top w:val="single" w:sz="8" w:color="CCEEFF"/>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Diluted</w:t>
            </w: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6"/>
        </w:trPr>
        <w:tc>
          <w:tcPr>
            <w:tcW w:w="4380" w:type="dxa"/>
            <w:vAlign w:val="bottom"/>
          </w:tcPr>
          <w:p>
            <w:pPr>
              <w:ind w:left="220"/>
              <w:spacing w:after="0" w:line="136" w:lineRule="exact"/>
              <w:rPr>
                <w:sz w:val="20"/>
                <w:szCs w:val="20"/>
                <w:color w:val="auto"/>
              </w:rPr>
            </w:pPr>
            <w:r>
              <w:rPr>
                <w:rFonts w:ascii="Arial" w:cs="Arial" w:eastAsia="Arial" w:hAnsi="Arial"/>
                <w:sz w:val="14"/>
                <w:szCs w:val="14"/>
                <w:color w:val="auto"/>
              </w:rPr>
              <w:t>Weighted average shares used to compute net income per share: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43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Basic</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14,058,008</w:t>
            </w: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14,656,753</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14,996,496</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14,960,920</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14,798,154</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43"/>
        </w:trPr>
        <w:tc>
          <w:tcPr>
            <w:tcW w:w="4380" w:type="dxa"/>
            <w:vAlign w:val="bottom"/>
            <w:tcBorders>
              <w:bottom w:val="single" w:sz="8" w:color="CCEEFF"/>
            </w:tcBorders>
          </w:tcPr>
          <w:p>
            <w:pPr>
              <w:ind w:left="320"/>
              <w:spacing w:after="0" w:line="136" w:lineRule="exact"/>
              <w:rPr>
                <w:sz w:val="20"/>
                <w:szCs w:val="20"/>
                <w:color w:val="auto"/>
              </w:rPr>
            </w:pPr>
            <w:r>
              <w:rPr>
                <w:rFonts w:ascii="Arial" w:cs="Arial" w:eastAsia="Arial" w:hAnsi="Arial"/>
                <w:sz w:val="14"/>
                <w:szCs w:val="14"/>
                <w:color w:val="auto"/>
              </w:rPr>
              <w:t>Diluted</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14,115,896</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1"/>
              </w:rPr>
              <w:t>14,662,272</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15,055,538</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15,020,489</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14,813,444</w:t>
            </w:r>
          </w:p>
        </w:tc>
        <w:tc>
          <w:tcPr>
            <w:tcW w:w="120" w:type="dxa"/>
            <w:vAlign w:val="bottom"/>
            <w:tcBorders>
              <w:bottom w:val="single" w:sz="8" w:color="CCEEFF"/>
            </w:tcBorders>
          </w:tcPr>
          <w:p>
            <w:pPr>
              <w:spacing w:after="0"/>
              <w:rPr>
                <w:sz w:val="12"/>
                <w:szCs w:val="12"/>
                <w:color w:val="auto"/>
              </w:rPr>
            </w:pPr>
          </w:p>
        </w:tc>
      </w:tr>
      <w:tr>
        <w:trPr>
          <w:trHeight w:val="169"/>
        </w:trPr>
        <w:tc>
          <w:tcPr>
            <w:tcW w:w="438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Cash dividends per common share</w:t>
            </w: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36"/>
        </w:trPr>
        <w:tc>
          <w:tcPr>
            <w:tcW w:w="4380" w:type="dxa"/>
            <w:vAlign w:val="bottom"/>
          </w:tcPr>
          <w:p>
            <w:pPr>
              <w:spacing w:after="0" w:line="136" w:lineRule="exact"/>
              <w:rPr>
                <w:sz w:val="20"/>
                <w:szCs w:val="20"/>
                <w:color w:val="auto"/>
              </w:rPr>
            </w:pPr>
            <w:r>
              <w:rPr>
                <w:rFonts w:ascii="Arial" w:cs="Arial" w:eastAsia="Arial" w:hAnsi="Arial"/>
                <w:sz w:val="14"/>
                <w:szCs w:val="14"/>
                <w:color w:val="auto"/>
              </w:rPr>
              <w:t>Additional Operating Data:</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Number of stores: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ind w:left="320"/>
              <w:spacing w:after="0" w:line="149" w:lineRule="exact"/>
              <w:rPr>
                <w:sz w:val="20"/>
                <w:szCs w:val="20"/>
                <w:color w:val="auto"/>
              </w:rPr>
            </w:pPr>
            <w:r>
              <w:rPr>
                <w:rFonts w:ascii="Arial" w:cs="Arial" w:eastAsia="Arial" w:hAnsi="Arial"/>
                <w:sz w:val="14"/>
                <w:szCs w:val="14"/>
                <w:color w:val="auto"/>
              </w:rPr>
              <w:t>Opened during period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Closed during period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ind w:left="320"/>
              <w:spacing w:after="0" w:line="149" w:lineRule="exact"/>
              <w:rPr>
                <w:sz w:val="20"/>
                <w:szCs w:val="20"/>
                <w:color w:val="auto"/>
              </w:rPr>
            </w:pPr>
            <w:r>
              <w:rPr>
                <w:rFonts w:ascii="Arial" w:cs="Arial" w:eastAsia="Arial" w:hAnsi="Arial"/>
                <w:sz w:val="14"/>
                <w:szCs w:val="14"/>
                <w:color w:val="auto"/>
              </w:rPr>
              <w:t>Open at end of period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Selling square footage at end of period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6,052,753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5,839,232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5,683,032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5,543,954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5,467,021</w:t>
            </w: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Comparable store sales increase (decrease)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9"/>
              </w:rPr>
              <w:t>% (3)</w:t>
            </w:r>
          </w:p>
        </w:tc>
        <w:tc>
          <w:tcPr>
            <w:tcW w:w="12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Average sales per store (4)</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Balance Sheet Data: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48,451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39,116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74,514</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58,928</w:t>
            </w: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31,500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38,026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32,671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15,850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6,004</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investments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26,691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19,777</w:t>
            </w:r>
          </w:p>
        </w:tc>
        <w:tc>
          <w:tcPr>
            <w:tcW w:w="12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Total assets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327,071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332,514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314,508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318,373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291,308</w:t>
            </w:r>
          </w:p>
        </w:tc>
        <w:tc>
          <w:tcPr>
            <w:tcW w:w="12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liabilities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117,603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108,923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102,274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107,751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92,437</w:t>
            </w:r>
          </w:p>
        </w:tc>
        <w:tc>
          <w:tcPr>
            <w:tcW w:w="120" w:type="dxa"/>
            <w:vAlign w:val="bottom"/>
            <w:shd w:val="clear" w:color="auto" w:fill="CCEEFF"/>
          </w:tcPr>
          <w:p>
            <w:pPr>
              <w:spacing w:after="0"/>
              <w:rPr>
                <w:sz w:val="12"/>
                <w:szCs w:val="12"/>
                <w:color w:val="auto"/>
              </w:rPr>
            </w:pPr>
          </w:p>
        </w:tc>
      </w:tr>
      <w:tr>
        <w:trPr>
          <w:trHeight w:val="182"/>
        </w:trPr>
        <w:tc>
          <w:tcPr>
            <w:tcW w:w="4380" w:type="dxa"/>
            <w:vAlign w:val="bottom"/>
          </w:tcPr>
          <w:p>
            <w:pPr>
              <w:ind w:left="220"/>
              <w:spacing w:after="0"/>
              <w:rPr>
                <w:sz w:val="20"/>
                <w:szCs w:val="20"/>
                <w:color w:val="auto"/>
              </w:rPr>
            </w:pPr>
            <w:r>
              <w:rPr>
                <w:rFonts w:ascii="Arial" w:cs="Arial" w:eastAsia="Arial" w:hAnsi="Arial"/>
                <w:sz w:val="14"/>
                <w:szCs w:val="14"/>
                <w:color w:val="auto"/>
              </w:rPr>
              <w:t>Total stockholders’ equity</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209,468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223,591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212,234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210,622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198,871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wp:posOffset>
            </wp:positionV>
            <wp:extent cx="15951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48" w:lineRule="exact"/>
        <w:rPr>
          <w:sz w:val="20"/>
          <w:szCs w:val="20"/>
          <w:color w:val="auto"/>
        </w:rPr>
      </w:pPr>
    </w:p>
    <w:p>
      <w:pPr>
        <w:ind w:left="381" w:right="180" w:hanging="381"/>
        <w:spacing w:after="0" w:line="276" w:lineRule="auto"/>
        <w:tabs>
          <w:tab w:leader="none" w:pos="381"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fiscal year ends on the Saturday closest to January 31 of each year. The years ended February 3, 2018, January 28, 2017, January 30, 2016, January 31, 2015 and February 1, 2014 are referred to as fiscal 2017, 2016, 2015, 2014 and 2013, respectively. Fiscal 2017 is comprised of 53 weeks, while fiscal years 2016, 2015, 2014 and 2013 are each comprised of 52 weeks.</w:t>
      </w:r>
    </w:p>
    <w:p>
      <w:pPr>
        <w:spacing w:after="0" w:line="81" w:lineRule="exact"/>
        <w:rPr>
          <w:rFonts w:ascii="Arial" w:cs="Arial" w:eastAsia="Arial" w:hAnsi="Arial"/>
          <w:sz w:val="16"/>
          <w:szCs w:val="16"/>
          <w:color w:val="auto"/>
        </w:rPr>
      </w:pPr>
    </w:p>
    <w:p>
      <w:pPr>
        <w:ind w:left="381" w:right="40" w:hanging="381"/>
        <w:spacing w:after="0" w:line="235" w:lineRule="auto"/>
        <w:tabs>
          <w:tab w:leader="none" w:pos="381"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07" w:lineRule="exact"/>
        <w:rPr>
          <w:rFonts w:ascii="Arial" w:cs="Arial" w:eastAsia="Arial" w:hAnsi="Arial"/>
          <w:sz w:val="18"/>
          <w:szCs w:val="18"/>
          <w:color w:val="auto"/>
        </w:rPr>
      </w:pPr>
    </w:p>
    <w:p>
      <w:pPr>
        <w:ind w:left="381" w:right="220" w:hanging="381"/>
        <w:spacing w:after="0" w:line="246" w:lineRule="auto"/>
        <w:tabs>
          <w:tab w:leader="none" w:pos="38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store and comparable weeks basis; for fiscal 2017, the 53 weeks ended February 3, 2018 were compared to the 53 weeks ended February 4, 2017.</w:t>
      </w:r>
    </w:p>
    <w:p>
      <w:pPr>
        <w:spacing w:after="0" w:line="102" w:lineRule="exact"/>
        <w:rPr>
          <w:rFonts w:ascii="Arial" w:cs="Arial" w:eastAsia="Arial" w:hAnsi="Arial"/>
          <w:sz w:val="18"/>
          <w:szCs w:val="18"/>
          <w:color w:val="auto"/>
        </w:rPr>
      </w:pPr>
    </w:p>
    <w:p>
      <w:pPr>
        <w:ind w:left="381" w:right="400" w:hanging="381"/>
        <w:spacing w:after="0" w:line="246" w:lineRule="auto"/>
        <w:tabs>
          <w:tab w:leader="none" w:pos="381"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sales per store is defined as net sales divided by the average number of stores open at the end of the prior fiscal year and stores open at the end of the current fiscal year.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right="7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entitled “Selected Financial and Operating Data” and our audited consolidated financial statements and the respective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preferences of fashion conscious consumers, particularly African-Americans. As of February 3, 2018, we operated 549 stores in both urban and rural markets in 31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After opening twenty new stores in fiscal 2017, we plan to open approximately twenty new stores in fiscal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the Presentation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February 3, 2018, January 28, 2017, January 30, 2016, January 31, 2015 and February 1, 2014 are referred to as fiscal 2017, 2016, 2015, 2014 and 2013, respectively. Fiscal 2017 is comprised of 53 weeks, while fiscal years 2016, 2015, 2014 and 2013 are each comprised of 52 weeks.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discussion of our financial performance is based on the consolidated financial statements set forth in the financial pages of this Report. 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Net Sales and Additional Operating Data</w:t>
      </w:r>
    </w:p>
    <w:p>
      <w:pPr>
        <w:spacing w:after="0" w:line="225" w:lineRule="exact"/>
        <w:rPr>
          <w:sz w:val="20"/>
          <w:szCs w:val="20"/>
          <w:color w:val="auto"/>
        </w:rPr>
      </w:pPr>
    </w:p>
    <w:p>
      <w:pPr>
        <w:ind w:left="1" w:right="60"/>
        <w:spacing w:after="0" w:line="277" w:lineRule="auto"/>
        <w:rPr>
          <w:sz w:val="20"/>
          <w:szCs w:val="20"/>
          <w:color w:val="auto"/>
        </w:rPr>
      </w:pPr>
      <w:r>
        <w:rPr>
          <w:rFonts w:ascii="Arial" w:cs="Arial" w:eastAsia="Arial" w:hAnsi="Arial"/>
          <w:sz w:val="18"/>
          <w:szCs w:val="18"/>
          <w:color w:val="auto"/>
        </w:rPr>
        <w:t>The following table sets forth, for the periods indicated, selected consolidated statement of operations data expressed both in dollars and as a percentage of net sales:</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1"/>
              </w:rPr>
              <w:t>Fiscal Year Ended</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5"/>
          </w:tcPr>
          <w:p>
            <w:pPr>
              <w:jc w:val="right"/>
              <w:ind w:right="648"/>
              <w:spacing w:after="0" w:line="119" w:lineRule="exact"/>
              <w:rPr>
                <w:sz w:val="20"/>
                <w:szCs w:val="20"/>
                <w:color w:val="auto"/>
              </w:rPr>
            </w:pPr>
            <w:r>
              <w:rPr>
                <w:rFonts w:ascii="Arial" w:cs="Arial" w:eastAsia="Arial" w:hAnsi="Arial"/>
                <w:sz w:val="13"/>
                <w:szCs w:val="13"/>
                <w:b w:val="1"/>
                <w:bCs w:val="1"/>
                <w:color w:val="auto"/>
              </w:rPr>
              <w:t>February 3,</w:t>
            </w:r>
          </w:p>
        </w:tc>
        <w:tc>
          <w:tcPr>
            <w:tcW w:w="1720" w:type="dxa"/>
            <w:vAlign w:val="bottom"/>
            <w:gridSpan w:val="5"/>
          </w:tcPr>
          <w:p>
            <w:pPr>
              <w:jc w:val="center"/>
              <w:ind w:right="460"/>
              <w:spacing w:after="0" w:line="119" w:lineRule="exact"/>
              <w:rPr>
                <w:sz w:val="20"/>
                <w:szCs w:val="20"/>
                <w:color w:val="auto"/>
              </w:rPr>
            </w:pPr>
            <w:r>
              <w:rPr>
                <w:rFonts w:ascii="Arial" w:cs="Arial" w:eastAsia="Arial" w:hAnsi="Arial"/>
                <w:sz w:val="13"/>
                <w:szCs w:val="13"/>
                <w:b w:val="1"/>
                <w:bCs w:val="1"/>
                <w:color w:val="auto"/>
              </w:rPr>
              <w:t>January 28,</w:t>
            </w:r>
          </w:p>
        </w:tc>
        <w:tc>
          <w:tcPr>
            <w:tcW w:w="1360" w:type="dxa"/>
            <w:vAlign w:val="bottom"/>
            <w:gridSpan w:val="3"/>
          </w:tcPr>
          <w:p>
            <w:pPr>
              <w:jc w:val="center"/>
              <w:ind w:right="10"/>
              <w:spacing w:after="0" w:line="119" w:lineRule="exact"/>
              <w:rPr>
                <w:sz w:val="20"/>
                <w:szCs w:val="20"/>
                <w:color w:val="auto"/>
              </w:rPr>
            </w:pPr>
            <w:r>
              <w:rPr>
                <w:rFonts w:ascii="Arial" w:cs="Arial" w:eastAsia="Arial" w:hAnsi="Arial"/>
                <w:sz w:val="13"/>
                <w:szCs w:val="13"/>
                <w:b w:val="1"/>
                <w:bCs w:val="1"/>
                <w:color w:val="auto"/>
              </w:rPr>
              <w:t>January 30,</w:t>
            </w:r>
          </w:p>
        </w:tc>
        <w:tc>
          <w:tcPr>
            <w:tcW w:w="160" w:type="dxa"/>
            <w:vAlign w:val="bottom"/>
          </w:tcPr>
          <w:p>
            <w:pPr>
              <w:spacing w:after="0"/>
              <w:rPr>
                <w:sz w:val="10"/>
                <w:szCs w:val="10"/>
                <w:color w:val="auto"/>
              </w:rPr>
            </w:pPr>
          </w:p>
        </w:tc>
      </w:t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6"/>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755,241</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3"/>
              </w:rPr>
              <w:t>100.0 % $</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695,175</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100.0 % $</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683,791</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100.0 %</w:t>
            </w:r>
          </w:p>
        </w:tc>
      </w:tr>
      <w:tr>
        <w:trPr>
          <w:trHeight w:val="216"/>
        </w:trPr>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3"/>
              </w:rPr>
              <w:t>Cost of sales (exclusive of depreciation shown separately below)</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(466,022)</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(61.7)%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(428,167)</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(61.6)%</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(416,779)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(61.0)%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(247,062)</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(32.7)%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(230,666)</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(33.2)%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(224,218)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(32.8)%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(18,883)</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(17,090)</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(18,577)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24,314</w:t>
            </w: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(8,926)</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(6,020)</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1.9 %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1.9 %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4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 w:right="100"/>
        <w:spacing w:after="0" w:line="342" w:lineRule="auto"/>
        <w:rPr>
          <w:sz w:val="20"/>
          <w:szCs w:val="20"/>
          <w:color w:val="auto"/>
        </w:rPr>
      </w:pPr>
      <w:r>
        <w:rPr>
          <w:rFonts w:ascii="Arial" w:cs="Arial" w:eastAsia="Arial" w:hAnsi="Arial"/>
          <w:sz w:val="16"/>
          <w:szCs w:val="16"/>
          <w:color w:val="auto"/>
        </w:rPr>
        <w:t>The following table provides information, for the years indicated, about the number of total stores open at the beginning of the year, stores opened and closed during each year, total stores open at the end of each year and the change in comparable store sales for each year:</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Fiscal Year Ended</w:t>
            </w:r>
          </w:p>
        </w:tc>
        <w:tc>
          <w:tcPr>
            <w:tcW w:w="8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33"/>
        </w:trPr>
        <w:tc>
          <w:tcPr>
            <w:tcW w:w="6600" w:type="dxa"/>
            <w:vAlign w:val="bottom"/>
          </w:tcPr>
          <w:p>
            <w:pPr>
              <w:spacing w:after="0"/>
              <w:rPr>
                <w:sz w:val="11"/>
                <w:szCs w:val="11"/>
                <w:color w:val="auto"/>
              </w:rPr>
            </w:pPr>
          </w:p>
        </w:tc>
        <w:tc>
          <w:tcPr>
            <w:tcW w:w="1120" w:type="dxa"/>
            <w:vAlign w:val="bottom"/>
            <w:gridSpan w:val="2"/>
          </w:tcPr>
          <w:p>
            <w:pPr>
              <w:jc w:val="right"/>
              <w:ind w:right="268"/>
              <w:spacing w:after="0" w:line="133" w:lineRule="exact"/>
              <w:rPr>
                <w:sz w:val="20"/>
                <w:szCs w:val="20"/>
                <w:color w:val="auto"/>
              </w:rPr>
            </w:pPr>
            <w:r>
              <w:rPr>
                <w:rFonts w:ascii="Arial" w:cs="Arial" w:eastAsia="Arial" w:hAnsi="Arial"/>
                <w:sz w:val="14"/>
                <w:szCs w:val="14"/>
                <w:b w:val="1"/>
                <w:bCs w:val="1"/>
                <w:color w:val="auto"/>
              </w:rPr>
              <w:t>February 3,</w:t>
            </w: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January 28,</w:t>
            </w: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8"/>
              </w:rPr>
              <w:t>January 30,</w:t>
            </w:r>
          </w:p>
        </w:tc>
        <w:tc>
          <w:tcPr>
            <w:tcW w:w="400" w:type="dxa"/>
            <w:vAlign w:val="bottom"/>
          </w:tcPr>
          <w:p>
            <w:pPr>
              <w:spacing w:after="0"/>
              <w:rPr>
                <w:sz w:val="11"/>
                <w:szCs w:val="11"/>
                <w:color w:val="auto"/>
              </w:rPr>
            </w:pPr>
          </w:p>
        </w:tc>
      </w:tr>
      <w:tr>
        <w:trPr>
          <w:trHeight w:val="185"/>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6"/>
                <w:szCs w:val="16"/>
                <w:color w:val="auto"/>
              </w:rPr>
            </w:pPr>
          </w:p>
        </w:tc>
      </w:tr>
      <w:tr>
        <w:trPr>
          <w:trHeight w:val="210"/>
        </w:trPr>
        <w:tc>
          <w:tcPr>
            <w:tcW w:w="6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New stores</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Closed stores</w:t>
            </w:r>
          </w:p>
        </w:tc>
        <w:tc>
          <w:tcPr>
            <w:tcW w:w="11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r>
      <w:tr>
        <w:trPr>
          <w:trHeight w:val="217"/>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stores open,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400" w:type="dxa"/>
            <w:vAlign w:val="bottom"/>
            <w:tcBorders>
              <w:bottom w:val="single" w:sz="8" w:color="CCEEFF"/>
            </w:tcBorders>
          </w:tcPr>
          <w:p>
            <w:pPr>
              <w:spacing w:after="0"/>
              <w:rPr>
                <w:sz w:val="18"/>
                <w:szCs w:val="18"/>
                <w:color w:val="auto"/>
              </w:rPr>
            </w:pPr>
          </w:p>
        </w:tc>
      </w:tr>
      <w:tr>
        <w:trPr>
          <w:trHeight w:val="216"/>
        </w:trPr>
        <w:tc>
          <w:tcPr>
            <w:tcW w:w="6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Comparable store sales increase (decrease) (1)</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4.5 %</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15951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81" w:lineRule="exact"/>
        <w:rPr>
          <w:sz w:val="20"/>
          <w:szCs w:val="20"/>
          <w:color w:val="auto"/>
        </w:rPr>
      </w:pPr>
    </w:p>
    <w:p>
      <w:pPr>
        <w:ind w:left="381" w:right="80" w:hanging="381"/>
        <w:spacing w:after="0" w:line="279" w:lineRule="auto"/>
        <w:tabs>
          <w:tab w:leader="none" w:pos="381" w:val="left"/>
        </w:tabs>
        <w:numPr>
          <w:ilvl w:val="0"/>
          <w:numId w:val="9"/>
        </w:numPr>
        <w:rPr>
          <w:rFonts w:ascii="Arial" w:cs="Arial" w:eastAsia="Arial" w:hAnsi="Arial"/>
          <w:sz w:val="17"/>
          <w:szCs w:val="17"/>
          <w:color w:val="auto"/>
        </w:rPr>
      </w:pPr>
      <w:r>
        <w:rPr>
          <w:rFonts w:ascii="Arial" w:cs="Arial" w:eastAsia="Arial" w:hAnsi="Arial"/>
          <w:sz w:val="17"/>
          <w:szCs w:val="17"/>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 In a 53-week year, comparable store sales are reported on a comparable weeks basis (e.g. the 53 weeks ended February 3, 2018 were compared to the 53 weeks ended February 4, 2017.)</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Key Operating Statistics</w:t>
      </w:r>
    </w:p>
    <w:p>
      <w:pPr>
        <w:spacing w:after="0" w:line="225" w:lineRule="exact"/>
        <w:rPr>
          <w:sz w:val="20"/>
          <w:szCs w:val="20"/>
          <w:color w:val="auto"/>
        </w:rPr>
      </w:pPr>
    </w:p>
    <w:p>
      <w:pPr>
        <w:ind w:left="1" w:right="20"/>
        <w:spacing w:after="0" w:line="291"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2016 and fiscal 2017 were not considered comparable stores in fiscal 2017.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sales, we measure cost of sales as a percentage of sales and store operating expenses, with a particular focus on labor, 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percentage of sales. These results translate into store level contribution, which we use to evaluate overall performance of each individual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store. Finally, we monitor corporate expenses against budgeted amounts. All of the statistics discussed above are critical components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before interest, taxes, depreciation and amortization (“EBITDA”) and Adjusted EBITDA (comprised of EBITDA, excluding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asset impairment expense and expenses related to our proxy contest), which are considered our most important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statistics. We believe that excluding proxy contest expenses from our financial results reflects operating results that are more indicative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ongoing operating performance while improving comparability to prior periods, and as such, provides an enhanced understanding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past financial performance and prospects for the future.</w:t>
      </w:r>
    </w:p>
    <w:p>
      <w:pPr>
        <w:spacing w:after="0" w:line="21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Although non-GAAP measures such as EBITDA and Adjusted EBITDA provide useful information on an operating cash flow basis, they are limited measures in that they exclude the impact of cash requirements for capital expenditures, income taxes and interest expense and should not be regarded as comparable to similarly titled measures used by other companies. Therefore, EBITDA and Adjusted EBITDA should be used as supplements to results of operations and cash flows as reported under generally accepted accounting principles (“GAAP”) and should not be used as the only measures of operating performance or as a substitute for GAAP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Provided below is a reconciliation of net income to EBITDA and to Adjusted EBITDA for fiscal years ended February 3,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2017 and January 30, 2016:</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Fiscal Year Ended</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February 3, 2018</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January 28, 2017</w:t>
            </w: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January 30, 2016</w:t>
            </w:r>
          </w:p>
        </w:tc>
        <w:tc>
          <w:tcPr>
            <w:tcW w:w="40" w:type="dxa"/>
            <w:vAlign w:val="bottom"/>
          </w:tcPr>
          <w:p>
            <w:pPr>
              <w:spacing w:after="0"/>
              <w:rPr>
                <w:sz w:val="12"/>
                <w:szCs w:val="12"/>
                <w:color w:val="auto"/>
              </w:rPr>
            </w:pPr>
          </w:p>
        </w:tc>
      </w:tr>
      <w:tr>
        <w:trPr>
          <w:trHeight w:val="196"/>
        </w:trPr>
        <w:tc>
          <w:tcPr>
            <w:tcW w:w="3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18,577</w:t>
            </w: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Less:</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EBITDA</w:t>
            </w:r>
          </w:p>
        </w:tc>
        <w:tc>
          <w:tcPr>
            <w:tcW w:w="1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42,794</w:t>
            </w: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Proxy contest expenses</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3020" w:type="dxa"/>
            <w:vAlign w:val="bottom"/>
          </w:tcPr>
          <w:p>
            <w:pPr>
              <w:spacing w:after="0"/>
              <w:rPr>
                <w:sz w:val="20"/>
                <w:szCs w:val="20"/>
                <w:color w:val="auto"/>
              </w:rPr>
            </w:pPr>
            <w:r>
              <w:rPr>
                <w:rFonts w:ascii="Arial" w:cs="Arial" w:eastAsia="Arial" w:hAnsi="Arial"/>
                <w:sz w:val="18"/>
                <w:szCs w:val="18"/>
                <w:color w:val="auto"/>
              </w:rPr>
              <w:t>Adjusted EBITDA</w:t>
            </w:r>
          </w:p>
        </w:tc>
        <w:tc>
          <w:tcPr>
            <w:tcW w:w="1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42,794</w:t>
            </w: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Provided below is a reconciliation of net income (the closest comparable GAAP measure) to (i) net income adjusted for proxy contest expenses and the effect of the Tax Cuts and Jobs Act (“Adjusted net income”) and (ii) diluted Adjusted net income per share. We believe that excluding proxy contest expenses and their related tax effects and the effect of the Tax Cuts and Jobs Act from our financial results reflects operating results that are more indicative of our ongoing operating performance while improving comparability to prior periods, and as such, may provide investors with an enhanced understanding of our past financial performance and prospects for the future. These non-GAAP measures should be used as a supplement to net income and diluted net income per common share as reported under GAAP and should not be used as the only measures of operating performance or as a substitute for GAAP results.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January 28,</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30,</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8"/>
          </w:tcPr>
          <w:p>
            <w:pPr>
              <w:jc w:val="center"/>
              <w:ind w:right="93"/>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3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4"/>
              </w:rPr>
              <w:t>Proxy contest expenses and related tax effects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Tax Cuts and Jobs Act effect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share</w:t>
            </w:r>
          </w:p>
        </w:tc>
        <w:tc>
          <w:tcPr>
            <w:tcW w:w="16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80" w:type="dxa"/>
            <w:vAlign w:val="bottom"/>
            <w:vMerge w:val="continue"/>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14,662</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20" w:type="dxa"/>
            <w:vAlign w:val="bottom"/>
          </w:tcPr>
          <w:p>
            <w:pPr>
              <w:jc w:val="right"/>
              <w:ind w:right="93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$60.0 million, or 8.6%, to $755.2 million in the 53-week fiscal 2017 from $695.2 million in the 52-week</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2016. The increase in net sales was due primarily to a 4.5% increase in comparable store sales on a 53-week versus 53-week basis, together with twenty new store openings in 2017 and eighteen new store openings in 2016 for which there was not a full year of sales last year, and an extra week in fiscal 2017 which contributed $11.8 million in sales. These sales increases were partially offset by the closing of four stores in 2017 and six stores in 2016. The increase in comparable store sales on a 53-week basis was reflected in a 2.6% increase in the number of customer transactions, along with a 1.8% increase in the average number of items per transaction and a 0.1% increase in the average unit sale. Comparable store sales changes on a 53-week basis, by major merchandise class, were as follows: Home +21%; Men’s +5%; Accessories +5%; Ladies’ +4%; and Children’s +2%.</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4.5% comparable store sales increase in the 511 comparable stores totaled $30.8 million and store opening and closing activity resulted in a net increase of $17.4 million in sales, while the aforementioned extra week added $11.8 million in sales.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$37.8 million, or 8.8%, to $466.0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from $428.2 million in fiscal 2016 due to the effect of the increase in sales discussed above and an increase in cost of sales as a percentage of sales to 61.7% in fiscal 2017 from 61.6% in fiscal 2016. The increase in cost of sales as a percentage of sales was due primarily to an increase in freight costs.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$16.4 million, or 7.1%, to</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$247.1 million in fiscal 2017 from $230.7 million in fiscal 2016 due to a $4.8 million increase in incentive compensation expense resulting from the improved operating results in relation to budget, together with $3.5 million to $4.0 million of expenses attributable to the extra week in fiscal 2017, $2.5 million in expenses incurred in connection with a proxy contest, the opening of twenty new stores in 2017 and eighteen stores in 2016, and normal inflationary pressure on expenses such as payroll and rent. These factors that caused the increase in selling, general and administrative expenses were partially offset by a $1.0 million gain on insurance claims. Selling, general and administrative expenses as a percentage of sales decreased to 32.7% in fiscal 2017 from 33.2% in fiscal 2016 due primarily to the leveraging effect resulting from higher comparable store sales.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increased $1.8 million, or 10.5%, to $18.9 million in fiscal 2017 from $17.1 million in fiscal 2016,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acceleration of our store opening pace in relation to previous years, along with the completion of an expansion of our Roland, Oklahoma distribution center.</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underperforming stores totaled $0.5 million and $0.3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and 2016, respectively.</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$2.9 million to $8.9 million in fiscal 2017 from $6.0 million in fiscal 2016 due to</w:t>
      </w:r>
      <w:r>
        <w:rPr>
          <w:rFonts w:ascii="Arial" w:cs="Arial" w:eastAsia="Arial" w:hAnsi="Arial"/>
          <w:sz w:val="17"/>
          <w:szCs w:val="17"/>
          <w:i w:val="1"/>
          <w:iCs w:val="1"/>
          <w:color w:val="auto"/>
        </w:rPr>
        <w:t xml:space="preserve"> </w:t>
      </w:r>
      <w:r>
        <w:rPr>
          <w:rFonts w:ascii="Arial" w:cs="Arial" w:eastAsia="Arial" w:hAnsi="Arial"/>
          <w:sz w:val="17"/>
          <w:szCs w:val="17"/>
          <w:color w:val="auto"/>
        </w:rPr>
        <w:t>pretax income increasing $4.1 million, accompanied by an increase in the effective income tax rate to 38.0% from 31.1%. The increase in the effective tax rate from last year was due primarily to a $1.9 million write-down of net deferred tax assets resulting from the reduction in the federal income tax rate from 35% to 21%. Such reduction is the result of the Tax Cuts and Jobs Act tax reform legislation which was enacted in December 2017. The Company was required to revalue its deferred tax assets and liabilities to reflect the reduced federal income tax rate expected to be in effect at the time of future reversals.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$14.6 million in fiscal 2017 and $13.3 million in fiscal 2016, due to the factors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$11.4 million, or 1.7%, to $695.2 million in fiscal 2016 from $683.8 million in fiscal 2015, consisting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of eighteen stores in 2016 and thirteen stores in 2015, partially offset by the closing of six stores in 2016 and three stores in 2015 and a 0.4% decrease in comparable store sales. The decrease in comparable store sales was reflected in a 6.1% decrease in the average unit sale, partially offset by a 4.6% increase in the average number of items per transaction and a 1.1% increase in the number of customer transactions. Comparable store sales changes, by major merchandise class, were as follows: Home +28%; Accessories +3%; Men’s +1%; Ladies’ -4%; and Children’s -6%.</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Store opening and closing activity resulted in a net increase of $14.2 million in sales, while the 0.4% comparable store sales decrease in the 502 comparable stores totaled $2.8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(exclusive of depreciation) increased $11.4 million, or 2.7%, to $428.2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2016 from $416.8 million in fiscal 2015 due to the effect of the increase in sales discussed above and an increase in cost of sales as a percentage of sales to 61.6% in fiscal 2016 from 61.0% in fiscal 2015. The increase in cost of sales as a percentage of sales was due to a 20 basis points decrease in the core merchandise margin (initial mark-up, net of markdowns) caused by the challenging comparable store sales results, together with increases of 20 basis points in both shrinkage and freight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$6.5 million, or 2.9%, to</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$230.7 million in fiscal 2016 from $224.2 million in fiscal 2015 due to the opening of eighteen new stores in 2016 and thirteen stores in 2015, together with normal inflationary pressure on expenses such as payroll and rent and a $0.9 million benefit from a legal recovery in fiscal 2015. These factors that caused the increase in selling, general and administrative expenses were partially offset by a $4.0 million decrease in incentive compensation expense resulting from the diminished operating results and a $2.2 million decrease in employee medical and workers’ compensation claims. Selling, general and administrative expenses as a percentage of sales increased to 33.2% in fiscal 2016 from 32.8% in fiscal 2015 due primarily to the deleveraging effect resulting from lower comparable store sales.</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$1.5 million, or 8.0%, to $17.1 million in fiscal 2016 from $18.6 million in fiscal 2015,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slowing of our store opening pace in relation to previous years.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underperforming stores totaled $0.3 million and $0.0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2016 and 2015, respectively.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$2.8 million to $6.0 million in fiscal 2016 from $8.8 million in fiscal 2015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pretax income decreasing $4.9 million, accompanied by a decrease in the effective income tax rate to 31.1% from 36.1%. The decrease in the effective tax rate from last year was due to an increase in work opportunity tax credits.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$13.3 million in fiscal 2016 and $15.5 million in fiscal 2015, due to the factors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cash requirements are primarily for working capital and for capital expenditures for our stores, distribution infrastructure and information systems. In recent years, we have met these cash requirements using cash flow from operations and short-term trade credit. We expect to be able to meet future cash requirements with cash flow from operations, short-term trade credit and existing balances of cash and investment securities and, if necessary, borrowings under our revolving credit facility (described below). In fiscal 2017, there was no need to borrow under the credit facility. Due to our strong cash and cash equivalents position as of February 3, 2018 ($48.5 million), we believe that we will likely not have to borrow under the credit facility during fiscal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3, 2018, we had total cash and cash equivalents of $48.5 million, compared with $49.3 million as of January 28,</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2017. Additionally, we had $31.5 million and $25.5 million of short-term and long-term investment securities, respectively, as of February 3, 2018, compared with $38.0 million and $26.7 million, respectively, as of January 28, 2017. These securities are comprised of bank certificates of deposit and obligations of the U.S. Treasury, states and municipalities.</w:t>
      </w:r>
    </w:p>
    <w:p>
      <w:pPr>
        <w:spacing w:after="0" w:line="1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Inventory represented 42.1% of our total assets as of February 3, 2018, compared with 40.5% as of January 28, 2017.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Net cash provided by operating activities was $42.3 million in fiscal 2017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$39.7 million in fiscal 2016. Net income, adjusted for noncash expenses such as depreciation, asset impairment, loss on disposal of property and equipment, insurance proceeds from operating activities, deferred income taxes and stock-based compensation expense, provided cash of $39.8 million in fiscal 2017 (compared with $36.3 million in fiscal 2016). Other significant sources of cash provided by operating activities in fiscal 2017 included (1) an $8.1 million increase in accrued compensation (compared with a $4.2 million decrease in fiscal 2016) primarily as a result of higher incentive compensation accruals this year due to improved financial performance relative to budget in 2017, and our balance sheet as of the end of fiscal 2017 including accrued payroll for two weeks,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while our 2016 year-end balance sheet included accrued payroll for one week, due to the timing of our bi-weekly payroll; and (2) a shift from an income tax receivable to an income tax payable totaling $3.6 million (compared with an increase in the income tax receivable last year of $0.2 million) due to an increase in federal and state income taxes arising from higher pre-tax income in fiscal 2017 and lower prepayments of estimated tax during the year. Significant uses of cash included (1) a $3.9 million increase in inventory (compared with a $1.7 million decrease in fiscal 2016) due primarily to having sixteen more stores than at the previous year end; (2) a $3.1 million decrease in accrued expenses and other long-term liabilities (compared with a $0.1 million increase in fiscal 2016) due primarily to a $1.6 million decrease in the fixed asset accrual as a result of completion of the aforementioned Roland distribution center expansion; along with a $1.1 million decrease in a legal settlement accrual as a result of final payment to the settlement fund; and (3) a $2.4 million increase in prepaid and other current assets (compared with a $1.7 million increase in fiscal 2016) due to a $1.3 million increase in self-insurance collateral for payment of workers compensation claims, along with a $1.2 million increase in charge card receivables, as the last three days of this year had $4.0 million more in sales than the last three days of last year as a result of this fiscal year ending one week later, thereby including first-of-the-month sales. Since charge card receivables are comprised of charge card sales for the last three days of the month, the receivable was higher this year.</w:t>
      </w:r>
    </w:p>
    <w:p>
      <w:pPr>
        <w:spacing w:after="0" w:line="18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 xml:space="preserve">Cash Flows Used in Investing Activities. </w:t>
      </w:r>
      <w:r>
        <w:rPr>
          <w:rFonts w:ascii="Arial" w:cs="Arial" w:eastAsia="Arial" w:hAnsi="Arial"/>
          <w:sz w:val="17"/>
          <w:szCs w:val="17"/>
          <w:color w:val="auto"/>
        </w:rPr>
        <w:t>Cash used in investing activities was $12.8 million in fiscal 2017 compared with $24.7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2016. Cash used for the purchase of property and equipment was $21.0 million in fiscal 2017 and $23.9 million in fiscal 2016, with the decrease resulting primarily from capital expenditures made in 2016 to expand the Roland distribution center</w:t>
      </w:r>
    </w:p>
    <w:p>
      <w:pPr>
        <w:ind w:right="540"/>
        <w:spacing w:after="0" w:line="261" w:lineRule="auto"/>
        <w:rPr>
          <w:sz w:val="20"/>
          <w:szCs w:val="20"/>
          <w:color w:val="auto"/>
        </w:rPr>
      </w:pPr>
      <w:r>
        <w:rPr>
          <w:rFonts w:ascii="Arial" w:cs="Arial" w:eastAsia="Arial" w:hAnsi="Arial"/>
          <w:sz w:val="18"/>
          <w:szCs w:val="18"/>
          <w:color w:val="auto"/>
        </w:rPr>
        <w:t>and enhance markdown equipment in all stores. Sales/redemptions of investment securities, net of purchases, provided cash of $7.8 million in fiscal 2017 and used cash of $1.2 million in fiscal 2016.</w:t>
      </w:r>
    </w:p>
    <w:p>
      <w:pPr>
        <w:spacing w:after="0" w:line="1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$30.3 million in fiscal 2017 compared with $4.9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Cash used for the repurchase of common stock totaled $25.0 million in fiscal 2017. Dividends paid to stockholders used cash of $4.2 million in fiscal 2017 and $3.5 million in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January 28, 2017, we had total cash and cash equivalents of $49.3 million, compared with $39.1 million as of January 30,</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2016. Additionally, we had $38.0 million and $26.7 million of short-term and long-term investment securities, respectively, as of January 28, 2017, compared with $32.7 million and $30.9 million, respectively, as of January 30, 2016. These securities are comprised of bank certificates of deposit and obligations of the U.S. Treasury, states and municipalities.</w:t>
      </w:r>
    </w:p>
    <w:p>
      <w:pPr>
        <w:spacing w:after="0" w:line="1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Inventory represented 40.5% of our total assets as of January 28, 2017, compared with 43.6% as of January 30, 2016.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Net cash provided by operating activities was $39.7 million in fiscal 2016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$27.5 million in fiscal 2015. Net income, adjusted for noncash expenses such as depreciation, asset impairment, loss on disposal of property and equipment, insurance proceeds from operating activities, deferred income taxes and stock-based compensation expense, provided cash of $36.3 million in fiscal 2016 (compared with $39.0 million in fiscal 2015). Other significant sources of cash provided by operating activities in fiscal 2016 included (1) an $8.0 million increase in accounts payable (compared with a $5.0 million decrease in fiscal 2015) due primarily to $5.4 million more in merchandise purchases in December and January of fiscal 2016 over the previous year; since this higher level of purchases occurred in the last two months of the fiscal year, all such purchases would have still been in accounts payable as of January 28, 2017; the relationship between inventory and accounts payable was distorted due to a higher level of next-season-buy inventory at the end of fiscal 2015, with such merchandise being already paid for since it was purchased earlier than 60 days before year end; and (2) a $1.7 million decrease in inventory (compared with a $6.0 million increase in fiscal 2015) due primarily to the aforementioned reduction in next-season-buy inventory, partially offset by having twelve more stores than at the previous year end. Significant uses of cash included (1) a $4.2 million decrease in accrued compensation (compared with a $1.9 million decrease in fiscal 2015) primarily as a result of lower incentive compensation accruals this year due to diminished financial performance relative to budget in 2016; and (2) a $1.7 million increase in prepaid and other current assets (compared with a $2.4 million decrease in fiscal 2015) due to an increase in receivables related to tenant improvement allowances due from landlords for new and expanded or relocated stores opened in the fourth quarter of fiscal 2016.</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Cash Flows Used in Investing Activities. </w:t>
      </w:r>
      <w:r>
        <w:rPr>
          <w:rFonts w:ascii="Arial" w:cs="Arial" w:eastAsia="Arial" w:hAnsi="Arial"/>
          <w:sz w:val="17"/>
          <w:szCs w:val="17"/>
          <w:color w:val="auto"/>
        </w:rPr>
        <w:t>Cash used in investing activities was $24.7 million in fiscal 2016 compared with $44.9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2015. Cash used for the purchase of property and equipment was $23.9 million in fiscal 2016 and $19.6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24" w:name="page25"/>
    <w:bookmarkEnd w:id="24"/>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300"/>
        <w:spacing w:after="0" w:line="264" w:lineRule="auto"/>
        <w:rPr>
          <w:sz w:val="20"/>
          <w:szCs w:val="20"/>
          <w:color w:val="auto"/>
        </w:rPr>
      </w:pPr>
      <w:r>
        <w:rPr>
          <w:rFonts w:ascii="Arial" w:cs="Arial" w:eastAsia="Arial" w:hAnsi="Arial"/>
          <w:sz w:val="18"/>
          <w:szCs w:val="18"/>
          <w:color w:val="auto"/>
        </w:rPr>
        <w:t>in fiscal 2015, with the increase resulting primarily from opening more stores in fiscal 2016, together with capital expenditures made to expand the Roland distribution center and enhance markdown equipment in all stores. Purchases of investment securities, net of sales/redemptions, used cash of $1.2 million in fiscal 2016 and $25.3 million in fiscal 2015.</w:t>
      </w:r>
    </w:p>
    <w:p>
      <w:pPr>
        <w:spacing w:after="0" w:line="181" w:lineRule="exact"/>
        <w:rPr>
          <w:sz w:val="20"/>
          <w:szCs w:val="20"/>
          <w:color w:val="auto"/>
        </w:rPr>
      </w:pPr>
    </w:p>
    <w:p>
      <w:pPr>
        <w:jc w:val="both"/>
        <w:ind w:left="1" w:right="20"/>
        <w:spacing w:after="0" w:line="264"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$4.9 million in fiscal 2016 compared with $18.0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Dividends paid to stockholders in fiscal 2016 used cash of $3.5 million. Cash used for the repurchase of common stock totaled $15.0 million in fiscal 2015.</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Liquidity Sources and Requirements and Contractual Cash Requirements and Commitments</w:t>
      </w:r>
    </w:p>
    <w:p>
      <w:pPr>
        <w:spacing w:after="0" w:line="229" w:lineRule="exact"/>
        <w:rPr>
          <w:sz w:val="20"/>
          <w:szCs w:val="20"/>
          <w:color w:val="auto"/>
        </w:rPr>
      </w:pPr>
    </w:p>
    <w:p>
      <w:pPr>
        <w:ind w:left="1" w:right="80"/>
        <w:spacing w:after="0" w:line="255" w:lineRule="auto"/>
        <w:rPr>
          <w:sz w:val="20"/>
          <w:szCs w:val="20"/>
          <w:color w:val="auto"/>
        </w:rPr>
      </w:pPr>
      <w:r>
        <w:rPr>
          <w:rFonts w:ascii="Arial" w:cs="Arial" w:eastAsia="Arial" w:hAnsi="Arial"/>
          <w:sz w:val="18"/>
          <w:szCs w:val="18"/>
          <w:color w:val="auto"/>
        </w:rPr>
        <w:t>Our principal sources of liquidity consist of: (i) cash and cash equivalents (which equaled $48.5 million as of February 3, 2018); (ii) short-term and long-term investment securities (which equaled $31.5 million and $25.5 million, respectively, as of February 3, 2018); (iii) short-term trade credit; (iv) cash generated from operations on an ongoing basis as we sell our merchandise inventory; and (v) a $50 million revolving credit facility.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93" w:lineRule="exact"/>
        <w:rPr>
          <w:sz w:val="20"/>
          <w:szCs w:val="20"/>
          <w:color w:val="auto"/>
        </w:rPr>
      </w:pPr>
    </w:p>
    <w:p>
      <w:pPr>
        <w:ind w:left="1" w:right="20"/>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170" w:lineRule="exact"/>
        <w:rPr>
          <w:sz w:val="20"/>
          <w:szCs w:val="20"/>
          <w:color w:val="auto"/>
        </w:rPr>
      </w:pPr>
    </w:p>
    <w:p>
      <w:pPr>
        <w:ind w:left="1" w:right="240"/>
        <w:spacing w:after="0" w:line="264" w:lineRule="auto"/>
        <w:rPr>
          <w:sz w:val="20"/>
          <w:szCs w:val="20"/>
          <w:color w:val="auto"/>
        </w:rPr>
      </w:pPr>
      <w:r>
        <w:rPr>
          <w:rFonts w:ascii="Arial" w:cs="Arial" w:eastAsia="Arial" w:hAnsi="Arial"/>
          <w:sz w:val="18"/>
          <w:szCs w:val="18"/>
          <w:color w:val="auto"/>
        </w:rPr>
        <w:t>We anticipate that capital expenditures will be approximately $21 million in fiscal 2018, including amounts related to approximately twenty new stores that we plan to open in fiscal 2018. We plan to finance these capital expenditures with cash flow from operations and existing cash balances.</w:t>
      </w:r>
    </w:p>
    <w:p>
      <w:pPr>
        <w:spacing w:after="0" w:line="181" w:lineRule="exact"/>
        <w:rPr>
          <w:sz w:val="20"/>
          <w:szCs w:val="20"/>
          <w:color w:val="auto"/>
        </w:rPr>
      </w:pPr>
    </w:p>
    <w:p>
      <w:pPr>
        <w:ind w:left="1" w:right="400"/>
        <w:spacing w:after="0" w:line="277" w:lineRule="auto"/>
        <w:rPr>
          <w:sz w:val="20"/>
          <w:szCs w:val="20"/>
          <w:color w:val="auto"/>
        </w:rPr>
      </w:pPr>
      <w:r>
        <w:rPr>
          <w:rFonts w:ascii="Arial" w:cs="Arial" w:eastAsia="Arial" w:hAnsi="Arial"/>
          <w:sz w:val="18"/>
          <w:szCs w:val="18"/>
          <w:color w:val="auto"/>
        </w:rPr>
        <w:t>The following table discloses aggregate information about our contractual obligations as of February 3, 2018 and the periods in which payments are due:</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3"/>
        </w:trPr>
        <w:tc>
          <w:tcPr>
            <w:tcW w:w="25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w w:val="91"/>
              </w:rPr>
              <w:t>Less than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More than</w:t>
            </w:r>
          </w:p>
        </w:tc>
        <w:tc>
          <w:tcPr>
            <w:tcW w:w="40" w:type="dxa"/>
            <w:vAlign w:val="bottom"/>
          </w:tcPr>
          <w:p>
            <w:pPr>
              <w:spacing w:after="0"/>
              <w:rPr>
                <w:sz w:val="11"/>
                <w:szCs w:val="11"/>
                <w:color w:val="auto"/>
              </w:rPr>
            </w:pPr>
          </w:p>
        </w:tc>
      </w:tr>
      <w:tr>
        <w:trPr>
          <w:trHeight w:val="185"/>
        </w:trPr>
        <w:tc>
          <w:tcPr>
            <w:tcW w:w="2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720" w:type="dxa"/>
            <w:vAlign w:val="bottom"/>
          </w:tcPr>
          <w:p>
            <w:pPr>
              <w:jc w:val="right"/>
              <w:ind w:right="119"/>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5 Years</w:t>
            </w:r>
          </w:p>
        </w:tc>
      </w:tr>
      <w:tr>
        <w:trPr>
          <w:trHeight w:val="156"/>
        </w:trPr>
        <w:tc>
          <w:tcPr>
            <w:tcW w:w="2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jc w:val="right"/>
              <w:ind w:right="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Operating leases (1)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149,695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45,658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70,084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27,970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5,983</w:t>
            </w:r>
          </w:p>
        </w:tc>
        <w:tc>
          <w:tcPr>
            <w:tcW w:w="4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 obligations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279,837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175,800</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70,084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40" w:type="dxa"/>
            <w:vAlign w:val="bottom"/>
          </w:tcPr>
          <w:p>
            <w:pPr>
              <w:spacing w:after="0"/>
              <w:rPr>
                <w:sz w:val="18"/>
                <w:szCs w:val="18"/>
                <w:color w:val="auto"/>
              </w:rPr>
            </w:pPr>
          </w:p>
        </w:tc>
      </w:tr>
      <w:tr>
        <w:trPr>
          <w:trHeight w:val="108"/>
        </w:trPr>
        <w:tc>
          <w:tcPr>
            <w:tcW w:w="252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ind w:left="381" w:right="20" w:hanging="381"/>
        <w:spacing w:after="0" w:line="342" w:lineRule="auto"/>
        <w:tabs>
          <w:tab w:leader="none" w:pos="3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fixed minimum rents in stores and does not include incremental rents which are computed as a percentage of net sales. For example, in fiscal 2017 incremental percentage rent was approximately $0.5 million, which represented 0.9% of total rent expense.</w:t>
      </w:r>
    </w:p>
    <w:p>
      <w:pPr>
        <w:spacing w:after="0" w:line="124" w:lineRule="exact"/>
        <w:rPr>
          <w:sz w:val="20"/>
          <w:szCs w:val="20"/>
          <w:color w:val="auto"/>
        </w:rPr>
      </w:pPr>
    </w:p>
    <w:p>
      <w:pPr>
        <w:ind w:left="1" w:right="40"/>
        <w:spacing w:after="0" w:line="287"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On October 27, 2011, we entered into a five-year, $50 million credit facility with Bank of America. The facility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on August 18, 2015, extending the maturity date to August 18, 2020. The amended facility provides a $50 million credit commitment and a $25 million uncommitted “accordion” feature that under certain circumstances could allow us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our inventory, accounts receivable and related assets, but not our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We have had no borrowings under the credit facility.</w:t>
      </w:r>
    </w:p>
    <w:p>
      <w:pPr>
        <w:spacing w:after="0" w:line="105" w:lineRule="exact"/>
        <w:rPr>
          <w:sz w:val="20"/>
          <w:szCs w:val="20"/>
          <w:color w:val="auto"/>
        </w:rPr>
      </w:pPr>
    </w:p>
    <w:p>
      <w:pPr>
        <w:ind w:left="1" w:right="100"/>
        <w:spacing w:after="0" w:line="342"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We lease our stores under operating leases, which generally have an initial term of five years with renewal options.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typical store lease requires a combination of both fixed monthly rents and contingent rents computed as a percentage of net sales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after a certain sales threshold has been met. For fiscal 2017, rent expense was $53.0 million compared with $50.7 million in fiscal 2016 (including $0.5 million and $0.4 million of contingent rent, respectively, in fiscal 2017 and 2016).</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As of February 3, 2018, we had purchase obligations of $130.1 million, all of which were for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purchase obligations consist of outstanding merchandise orders.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store operating leases described above, we do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the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Inventory is stated at the lower of cost (first-in, first-out basis) or market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was 1.5% for fiscal 2017, compared to 1.3% in fiscal 2016 and 1.2% in fiscal 2015. The allowance for estimated inventory shrinkage was $3.5 million as of February 3, 2018 and $3.1 million as of January 28, 2017.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have a significant investment in property and equipment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 Any reduction in these estimated useful lives would result in a higher annual depreciation expense for the related assets. There were no material changes in the estimates or assumptions related to the valuation and classification of property and equipment during fiscal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continually evaluate whether events and changes in circumstances warrant revised estimates of the useful lives or recognition of an impairment loss for long-lived assets. 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losses related to leasehold improvements and fixtures and equipment at underperforming stores totaled $0.5 million, $0.3 million and $0.0 million in fiscal 2017, 2016 and 2015, respectively. Impairment losses in the future are dependent on a number of factors such as site selection and general economic trends on a localized, regional, or national basis, and thus could be significantly different from historical results. To the extent our estimates for net sales, cost of sales and store expenses are not realized, future assessments of recoverability could result in impairment charges. There were no changes in our impairment loss methodology during fiscal 2017.</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5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are largely self-insured for workers’ compensation costs and employee medical claims. Our self-insurance liabilities are based on the total estimated costs of claims filed and estimates of claims incurred but not reported, less amounts paid against such claims. We use current and historical claims data, together with information from actuarial studies, in developing our estimates. The insurance liabilities we record are primarily influenced by the frequency and severity of claims and the Company’s growth. If the underlying facts and circumstances related to the claims change, then we may be required to record more or less expense which could be material in relation to our results of operations. Our self-insurance liabilities totaled $2.8 million ($1.6 million current and $1.2 million noncurrent) as of February 3, 2018 and $2.8 million ($1.4 million current and $1.4 million noncurrent) as of January 28, 2017. There were no material changes in the estimates or assumptions related to insurance liabilities during fiscal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lease all of our store properties and account for the leases as operating leases</w:t>
      </w:r>
      <w:r>
        <w:rPr>
          <w:rFonts w:ascii="Arial" w:cs="Arial" w:eastAsia="Arial" w:hAnsi="Arial"/>
          <w:sz w:val="17"/>
          <w:szCs w:val="17"/>
          <w:i w:val="1"/>
          <w:iCs w:val="1"/>
          <w:color w:val="auto"/>
        </w:rPr>
        <w:t>.</w:t>
      </w:r>
      <w:r>
        <w:rPr>
          <w:rFonts w:ascii="Arial" w:cs="Arial" w:eastAsia="Arial" w:hAnsi="Arial"/>
          <w:sz w:val="17"/>
          <w:szCs w:val="17"/>
          <w:color w:val="auto"/>
        </w:rPr>
        <w:t xml:space="preserve"> Many lease agreements contain tenant improvement allowances, rent holidays, rent escalation clauses and/or contingent rent provisions. For purposes of recognizing incentives and minimum rent expense on a straight-line basis over the terms of the leases, we use the date of initial possession to begin amortization, which is generally when we enter the space and begin to make improvements in preparation of intended use.</w:t>
      </w:r>
    </w:p>
    <w:p>
      <w:pPr>
        <w:spacing w:after="0" w:line="10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scheduled rent escalation clauses during the lease terms or for rental payments commencing “rent holidays” at a date other than the date of initial occupancy, we record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 There were no material changes in the estimates or assumptions related to operating leases during fiscal 2017.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account for income taxes under the asset and liability method.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our estimates. Tax law and rate changes are reflected in the income tax provision in the year in which such changes are enacted.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an assessment as to the realization of these assets. Based upon the level of historical taxable income and projections for future taxable income over the periods in which the deferred tax assets are deductible and income tax credits and net operating losses may be utilized, management may determine that some or all of the Company’s deferred tax assets may not ultimately be deductible and income tax credits and net operating losses may expire unused. Should such an assessment be made, a valuation allowance against some or all of the Company’s $5.8 million in deferred tax assets would have to be recorded with a resulting charge to income tax expense. During the fourth quarter of fiscal 2017, the Company revalued its deferred tax assets and liabilities to reflect the reduced federal income tax rate expected to be in effect at the time of future reversals. Such reduction was the result of the Tax Cuts and Jobs Act tax reform legislation enacted in December 2017 which reduced the federal statutory rate from 35% to 21%. Such revaluation resulted in the reduction of net deferred tax assets and a charge to income tax expense of $1.9 million. There were no other material changes in the estimates or assumptions related to income taxes during fiscal 2017.</w:t>
      </w:r>
    </w:p>
    <w:p>
      <w:pPr>
        <w:spacing w:after="0" w:line="10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2 to our consolidated financial statements included in this Report for recently issued accounting standards, including the expected dates of adoption and estimated effects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 ABOUT MARKET RISK</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exposed to financial market risks related to changes in interest rates earned on our investments. We cannot predict market fluctuations in interest rates. As a result, future results may differ materially from estimated results due to changes in interest rates. A hypothetical 100 basis point change in prevailing market interest rates would not have materially impacted our financial position, results of operations or cash flows for fiscal 2017. We do not engage in financial transactions for trading or speculative purposes and have not entered into any interest rate hedging contracts. Interest rates on our credit facility did not impact us in fiscal 2017 because we did not borrow during the year.</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source all of our product from apparel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financial statements required by this item and the report of the independent accountant thereon required by Item 14(a)(2) appear beginning on page F-2 of this Report. See accompanying Index to the consolidated financial statements on page F-1. The supplementary financial data required by Item 302 of Regulation S-K appears in note 11 to the consolidated financial statements.</w:t>
      </w:r>
    </w:p>
    <w:p>
      <w:pPr>
        <w:spacing w:after="0" w:line="162"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pursuant to Rules 13a-15 and 15d-15 of the Exchange Act. Based on that evaluation, the Chief Executive Officer and the Chief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7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 February 3, 2018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Report of Management on Internal Control over Financial Reporting and the report of our independent registered public accounting firm on Internal Control over Financial Reporting, see “Management’s Annual Report on Internal Control Over Financial Reporting” on page F-2 of this Report and “Report of Independent Registered Public Accounting Firm” on page F-4 of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28" w:name="page29"/>
    <w:bookmarkEnd w:id="28"/>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ind w:left="1" w:right="60"/>
        <w:spacing w:after="0" w:line="273" w:lineRule="auto"/>
        <w:rPr>
          <w:sz w:val="20"/>
          <w:szCs w:val="20"/>
          <w:color w:val="auto"/>
        </w:rPr>
      </w:pPr>
      <w:r>
        <w:rPr>
          <w:rFonts w:ascii="Arial" w:cs="Arial" w:eastAsia="Arial" w:hAnsi="Arial"/>
          <w:sz w:val="17"/>
          <w:szCs w:val="17"/>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“Section 16(a) Beneficial Ownership Reporting Compliance” in our definitive proxy statement (to be filed hereafter) in connection with our 2018 Annual Meeting of Stockholders and possibly elsewhere in the proxy statement (or will be filed by amendment to this Report).</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ind w:left="1" w:right="140"/>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(to be filed hereafter) in connection with our 2018 Annual Meeting of Stockholders and possibly elsewhere in the proxy statement (or will be filed by amendment to this Report).</w:t>
      </w:r>
    </w:p>
    <w:p>
      <w:pPr>
        <w:spacing w:after="0" w:line="183" w:lineRule="exact"/>
        <w:rPr>
          <w:sz w:val="20"/>
          <w:szCs w:val="20"/>
          <w:color w:val="auto"/>
        </w:rPr>
      </w:pPr>
    </w:p>
    <w:p>
      <w:pPr>
        <w:ind w:left="1" w:right="820"/>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STOCKHOLDER MATTERS</w:t>
      </w:r>
    </w:p>
    <w:p>
      <w:pPr>
        <w:spacing w:after="0" w:line="166" w:lineRule="exact"/>
        <w:rPr>
          <w:sz w:val="20"/>
          <w:szCs w:val="20"/>
          <w:color w:val="auto"/>
        </w:rPr>
      </w:pPr>
    </w:p>
    <w:p>
      <w:pPr>
        <w:ind w:left="1" w:right="580"/>
        <w:spacing w:after="0" w:line="259" w:lineRule="auto"/>
        <w:rPr>
          <w:sz w:val="20"/>
          <w:szCs w:val="20"/>
          <w:color w:val="auto"/>
        </w:rPr>
      </w:pPr>
      <w:r>
        <w:rPr>
          <w:rFonts w:ascii="Arial" w:cs="Arial" w:eastAsia="Arial" w:hAnsi="Arial"/>
          <w:sz w:val="18"/>
          <w:szCs w:val="18"/>
          <w:color w:val="auto"/>
        </w:rPr>
        <w:t>The information required by this Item with respect to ownership of our common stock is incorporated herein by reference to the information under the caption entitled “Security Ownership of Certain Beneficial Owners and Management” in our definitive proxy statement (to be filed hereafter) in connection with our 2018 Annual Meeting of Stockholders and possibly elsewhere in the proxy statement (or will be filed by amendment to this Report).</w:t>
      </w:r>
    </w:p>
    <w:p>
      <w:pPr>
        <w:spacing w:after="0" w:line="183" w:lineRule="exact"/>
        <w:rPr>
          <w:sz w:val="20"/>
          <w:szCs w:val="20"/>
          <w:color w:val="auto"/>
        </w:rPr>
      </w:pPr>
    </w:p>
    <w:p>
      <w:pPr>
        <w:ind w:left="1" w:right="140"/>
        <w:spacing w:after="0" w:line="282" w:lineRule="auto"/>
        <w:rPr>
          <w:sz w:val="20"/>
          <w:szCs w:val="20"/>
          <w:color w:val="auto"/>
        </w:rPr>
      </w:pPr>
      <w:r>
        <w:rPr>
          <w:rFonts w:ascii="Arial" w:cs="Arial" w:eastAsia="Arial" w:hAnsi="Arial"/>
          <w:sz w:val="18"/>
          <w:szCs w:val="18"/>
          <w:b w:val="1"/>
          <w:bCs w:val="1"/>
          <w:color w:val="auto"/>
        </w:rPr>
        <w:t>Equity Compensation Plan Information</w:t>
      </w:r>
      <w:r>
        <w:rPr>
          <w:rFonts w:ascii="Arial" w:cs="Arial" w:eastAsia="Arial" w:hAnsi="Arial"/>
          <w:sz w:val="18"/>
          <w:szCs w:val="18"/>
          <w:color w:val="auto"/>
        </w:rPr>
        <w:t>. The following table represents those securities authorized for issuance as of February 3, 2018</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existing equity compensation plans.</w:t>
      </w:r>
    </w:p>
    <w:p>
      <w:pPr>
        <w:spacing w:after="0" w:line="171"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 of securities to</w:t>
            </w:r>
          </w:p>
        </w:tc>
        <w:tc>
          <w:tcPr>
            <w:tcW w:w="1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future issuance under</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be issued upon exercise</w:t>
            </w:r>
          </w:p>
        </w:tc>
        <w:tc>
          <w:tcPr>
            <w:tcW w:w="1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exercise price of</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equity compensation</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of outstanding options,</w:t>
            </w:r>
          </w:p>
        </w:tc>
        <w:tc>
          <w:tcPr>
            <w:tcW w:w="1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outstanding options,</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warrants and rights (1)</w:t>
            </w:r>
          </w:p>
        </w:tc>
        <w:tc>
          <w:tcPr>
            <w:tcW w:w="1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warrants and rights (2)</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securities reflected in</w:t>
            </w:r>
          </w:p>
        </w:tc>
      </w:tr>
      <w:tr>
        <w:trPr>
          <w:trHeight w:val="185"/>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column (a)) (3) (c)</w:t>
            </w:r>
          </w:p>
        </w:tc>
      </w:tr>
      <w:tr>
        <w:trPr>
          <w:trHeight w:val="210"/>
        </w:trPr>
        <w:tc>
          <w:tcPr>
            <w:tcW w:w="4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5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310" w:lineRule="exact"/>
        <w:rPr>
          <w:sz w:val="20"/>
          <w:szCs w:val="20"/>
          <w:color w:val="auto"/>
        </w:rPr>
      </w:pPr>
    </w:p>
    <w:p>
      <w:pPr>
        <w:ind w:left="381" w:right="40" w:hanging="381"/>
        <w:spacing w:after="0" w:line="297" w:lineRule="auto"/>
        <w:tabs>
          <w:tab w:leader="none" w:pos="3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Citi Trends, Inc. 2012 Incentive Plan (the “2012 Plan”) became effective in May 2012 as a successor to the 2005 Plan. The 2012 Plan provides for the issuance of up to 1,600,000 shares of common stock, plus a number of additional shares (not to exceed 300,000) underlying awards outstanding under prior plans that later terminate or expire unexercised. Such shares will be issued upon the exercise of stock options or as awards of nonvested restricted stock and other performance awards. Does not include nonvested restricted stock grants issued under the 2012 Plan totaling 173,208 shares. No options were outstanding as of February 3, 2018.</w:t>
      </w:r>
    </w:p>
    <w:p>
      <w:pPr>
        <w:spacing w:after="0" w:line="158" w:lineRule="exact"/>
        <w:rPr>
          <w:rFonts w:ascii="Arial" w:cs="Arial" w:eastAsia="Arial" w:hAnsi="Arial"/>
          <w:sz w:val="16"/>
          <w:szCs w:val="16"/>
          <w:color w:val="auto"/>
        </w:rPr>
      </w:pPr>
    </w:p>
    <w:p>
      <w:pPr>
        <w:ind w:left="381" w:hanging="381"/>
        <w:spacing w:after="0"/>
        <w:tabs>
          <w:tab w:leader="none" w:pos="3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exercise price is for options only and does not include nonvested restricted stock.</w:t>
      </w:r>
    </w:p>
    <w:p>
      <w:pPr>
        <w:spacing w:after="0" w:line="225" w:lineRule="exact"/>
        <w:rPr>
          <w:rFonts w:ascii="Arial" w:cs="Arial" w:eastAsia="Arial" w:hAnsi="Arial"/>
          <w:sz w:val="18"/>
          <w:szCs w:val="18"/>
          <w:color w:val="auto"/>
        </w:rPr>
      </w:pPr>
    </w:p>
    <w:p>
      <w:pPr>
        <w:ind w:left="381" w:hanging="381"/>
        <w:spacing w:after="0"/>
        <w:tabs>
          <w:tab w:leader="none" w:pos="3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shares available for awards of options, restricted stock and other performance awards under the 2012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2018 Annual Meeting of Stockholders and possibly elsewhere in the proxy statement (or will be filed by amendment 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ACCOUNTING FEES AND SERVICES</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2018 Annual Meeting of Stockholders and possibly elsewhere in the proxy statement (or will be filed by amendment to this Report).</w:t>
      </w: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5" w:right="10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Financial Statements beginning on page F-1.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All schedules for which provision is made in the applicable accounting regulations of the SEC are not required under the related instructions, are inapplicable or the information is included in the Financial Statements, and therefore, have been omitted.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 w:lineRule="exact"/>
        <w:rPr>
          <w:sz w:val="20"/>
          <w:szCs w:val="20"/>
          <w:color w:val="auto"/>
        </w:rPr>
      </w:pPr>
    </w:p>
    <w:p>
      <w:pPr>
        <w:ind w:left="1180" w:right="120" w:hanging="400"/>
        <w:spacing w:after="0" w:line="247"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45">
        <w:r>
          <w:rPr>
            <w:rFonts w:ascii="Arial" w:cs="Arial" w:eastAsia="Arial" w:hAnsi="Arial"/>
            <w:sz w:val="18"/>
            <w:szCs w:val="18"/>
            <w:u w:val="single" w:color="auto"/>
            <w:color w:val="0000EE"/>
          </w:rPr>
          <w:t>Second Amended and Restated Certificate of Incorporation, as amended by the Certificate of Amendment dated June 22,</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2006 (incorporated by reference to Exhibit 3.1 to the Company’s Quarterly Report on Form 10-Q for the quarter ended</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July 29, 2006)</w:t>
        </w:r>
      </w:hyperlink>
    </w:p>
    <w:p>
      <w:pPr>
        <w:spacing w:after="0" w:line="169" w:lineRule="exact"/>
        <w:rPr>
          <w:rFonts w:ascii="Arial" w:cs="Arial" w:eastAsia="Arial" w:hAnsi="Arial"/>
          <w:sz w:val="18"/>
          <w:szCs w:val="18"/>
          <w:u w:val="single" w:color="auto"/>
          <w:color w:val="0000EE"/>
        </w:rPr>
      </w:pPr>
    </w:p>
    <w:p>
      <w:pPr>
        <w:ind w:left="1180" w:right="280" w:hanging="40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46">
        <w:r>
          <w:rPr>
            <w:rFonts w:ascii="Arial" w:cs="Arial" w:eastAsia="Arial" w:hAnsi="Arial"/>
            <w:sz w:val="18"/>
            <w:szCs w:val="18"/>
            <w:u w:val="single" w:color="auto"/>
            <w:color w:val="0000EE"/>
          </w:rPr>
          <w:t>Second Amended and Restated By-laws (incorporated by reference to Exhibit 3.1 to the Company’s Current Report on</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Form 8-K filed with the SEC on May 30, 2017)</w:t>
        </w:r>
      </w:hyperlink>
    </w:p>
    <w:p>
      <w:pPr>
        <w:spacing w:after="0" w:line="156" w:lineRule="exact"/>
        <w:rPr>
          <w:sz w:val="20"/>
          <w:szCs w:val="20"/>
          <w:color w:val="auto"/>
        </w:rPr>
      </w:pPr>
    </w:p>
    <w:p>
      <w:pPr>
        <w:ind w:left="1180" w:right="260" w:hanging="40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47">
        <w:r>
          <w:rPr>
            <w:rFonts w:ascii="Arial" w:cs="Arial" w:eastAsia="Arial" w:hAnsi="Arial"/>
            <w:sz w:val="18"/>
            <w:szCs w:val="18"/>
            <w:u w:val="single" w:color="auto"/>
            <w:color w:val="0000EE"/>
          </w:rPr>
          <w:t>Amendment to the Second Amended and Restated By-laws (incorporated by reference to Exhibit 3.1 to the Company’s</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Current Report on Form 8-K filed with the SEC on March 22, 2018)</w:t>
        </w:r>
      </w:hyperlink>
    </w:p>
    <w:p>
      <w:pPr>
        <w:spacing w:after="0" w:line="156" w:lineRule="exact"/>
        <w:rPr>
          <w:sz w:val="20"/>
          <w:szCs w:val="20"/>
          <w:color w:val="auto"/>
        </w:rPr>
      </w:pPr>
    </w:p>
    <w:p>
      <w:pPr>
        <w:jc w:val="right"/>
        <w:ind w:left="780" w:right="40"/>
        <w:spacing w:after="0" w:line="324"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  </w:t>
      </w:r>
      <w:hyperlink r:id="rId48">
        <w:r>
          <w:rPr>
            <w:rFonts w:ascii="Arial" w:cs="Arial" w:eastAsia="Arial" w:hAnsi="Arial"/>
            <w:sz w:val="16"/>
            <w:szCs w:val="16"/>
            <w:u w:val="single" w:color="auto"/>
            <w:color w:val="0000EE"/>
          </w:rPr>
          <w:t>Specimen certificate for shares of common stock, $.01 par value (incorporated by reference to Exhibit 4.1 to Amendment</w:t>
        </w:r>
      </w:hyperlink>
      <w:r>
        <w:rPr>
          <w:rFonts w:ascii="Arial" w:cs="Arial" w:eastAsia="Arial" w:hAnsi="Arial"/>
          <w:sz w:val="16"/>
          <w:szCs w:val="16"/>
          <w:color w:val="auto"/>
        </w:rPr>
        <w:t xml:space="preserve"> </w:t>
      </w:r>
      <w:hyperlink r:id="rId48">
        <w:r>
          <w:rPr>
            <w:rFonts w:ascii="Arial" w:cs="Arial" w:eastAsia="Arial" w:hAnsi="Arial"/>
            <w:sz w:val="16"/>
            <w:szCs w:val="16"/>
            <w:u w:val="single" w:color="auto"/>
            <w:color w:val="0000EE"/>
          </w:rPr>
          <w:t>No. 2 to the Company’s Registration Statement on Form S-1 (File No. 333-123028) filed with the SEC on April 29, 2005)</w:t>
        </w:r>
      </w:hyperlink>
    </w:p>
    <w:p>
      <w:pPr>
        <w:spacing w:after="0" w:line="111" w:lineRule="exact"/>
        <w:rPr>
          <w:sz w:val="20"/>
          <w:szCs w:val="20"/>
          <w:color w:val="auto"/>
        </w:rPr>
      </w:pPr>
    </w:p>
    <w:p>
      <w:pPr>
        <w:ind w:left="1180" w:right="140" w:hanging="580"/>
        <w:spacing w:after="0" w:line="291"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49">
        <w:r>
          <w:rPr>
            <w:rFonts w:ascii="Arial" w:cs="Arial" w:eastAsia="Arial" w:hAnsi="Arial"/>
            <w:sz w:val="17"/>
            <w:szCs w:val="17"/>
            <w:u w:val="single" w:color="auto"/>
            <w:color w:val="0000EE"/>
          </w:rPr>
          <w:t>Citi Trends, Inc. Amended and Restated 2005 Long-Term Incentive Plan (the “2005 Plan”) (incorporated by reference to</w:t>
        </w:r>
      </w:hyperlink>
      <w:r>
        <w:rPr>
          <w:rFonts w:ascii="Arial" w:cs="Arial" w:eastAsia="Arial" w:hAnsi="Arial"/>
          <w:sz w:val="17"/>
          <w:szCs w:val="17"/>
          <w:u w:val="single" w:color="auto"/>
          <w:color w:val="0000EE"/>
        </w:rPr>
        <w:t xml:space="preserve"> </w:t>
      </w:r>
      <w:hyperlink r:id="rId49">
        <w:r>
          <w:rPr>
            <w:rFonts w:ascii="Arial" w:cs="Arial" w:eastAsia="Arial" w:hAnsi="Arial"/>
            <w:sz w:val="17"/>
            <w:szCs w:val="17"/>
            <w:u w:val="single" w:color="auto"/>
            <w:color w:val="0000EE"/>
          </w:rPr>
          <w:t>Exhibit 10.1 to the Company’s Quarterly Report on Form 10-Q for the quarter ended August 2, 2008)</w:t>
        </w:r>
      </w:hyperlink>
    </w:p>
    <w:p>
      <w:pPr>
        <w:spacing w:after="0" w:line="134" w:lineRule="exact"/>
        <w:rPr>
          <w:sz w:val="20"/>
          <w:szCs w:val="20"/>
          <w:color w:val="auto"/>
        </w:rPr>
      </w:pPr>
    </w:p>
    <w:p>
      <w:pPr>
        <w:ind w:left="118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50">
        <w:r>
          <w:rPr>
            <w:rFonts w:ascii="Arial" w:cs="Arial" w:eastAsia="Arial" w:hAnsi="Arial"/>
            <w:sz w:val="18"/>
            <w:szCs w:val="18"/>
            <w:u w:val="single" w:color="auto"/>
            <w:color w:val="0000EE"/>
          </w:rPr>
          <w:t>Form of Restricted Stock Award Agreement for Employees under the 2005 Plan (incorporated by reference to Exhibit 10.2</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to the Company’s Quarterly Report on Form 10-Q for the quarter ended August 2, 2008)</w:t>
        </w:r>
      </w:hyperlink>
    </w:p>
    <w:p>
      <w:pPr>
        <w:spacing w:after="0" w:line="156" w:lineRule="exact"/>
        <w:rPr>
          <w:sz w:val="20"/>
          <w:szCs w:val="20"/>
          <w:color w:val="auto"/>
        </w:rPr>
      </w:pPr>
    </w:p>
    <w:p>
      <w:pPr>
        <w:ind w:left="1180" w:right="4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51">
        <w:r>
          <w:rPr>
            <w:rFonts w:ascii="Arial" w:cs="Arial" w:eastAsia="Arial" w:hAnsi="Arial"/>
            <w:sz w:val="18"/>
            <w:szCs w:val="18"/>
            <w:u w:val="single" w:color="auto"/>
            <w:color w:val="0000EE"/>
          </w:rPr>
          <w:t>Form of Restricted Stock Award Agreement for Directors under the 2005 Plan (incorporated by reference to Exhibit 10.19</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to the Company’s Annual Report on Form 10-K for the year ended February 3, 2007)</w:t>
        </w:r>
      </w:hyperlink>
    </w:p>
    <w:p>
      <w:pPr>
        <w:spacing w:after="0" w:line="156" w:lineRule="exact"/>
        <w:rPr>
          <w:sz w:val="20"/>
          <w:szCs w:val="20"/>
          <w:color w:val="auto"/>
        </w:rPr>
      </w:pPr>
    </w:p>
    <w:p>
      <w:pPr>
        <w:ind w:left="1180" w:right="20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52">
        <w:r>
          <w:rPr>
            <w:rFonts w:ascii="Arial" w:cs="Arial" w:eastAsia="Arial" w:hAnsi="Arial"/>
            <w:sz w:val="18"/>
            <w:szCs w:val="18"/>
            <w:u w:val="single" w:color="auto"/>
            <w:color w:val="0000EE"/>
          </w:rPr>
          <w:t>Form of Stock Option Agreement for Employees under the 2005 Plan (incorporated by reference to Exhibit 10.20 to the</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Company’s Annual Report on Form 10-K for the year ended February 3, 2007)</w:t>
        </w:r>
      </w:hyperlink>
    </w:p>
    <w:p>
      <w:pPr>
        <w:spacing w:after="0" w:line="156" w:lineRule="exact"/>
        <w:rPr>
          <w:sz w:val="20"/>
          <w:szCs w:val="20"/>
          <w:color w:val="auto"/>
        </w:rPr>
      </w:pPr>
    </w:p>
    <w:p>
      <w:pPr>
        <w:ind w:left="1180" w:right="32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3">
        <w:r>
          <w:rPr>
            <w:rFonts w:ascii="Arial" w:cs="Arial" w:eastAsia="Arial" w:hAnsi="Arial"/>
            <w:sz w:val="18"/>
            <w:szCs w:val="18"/>
            <w:u w:val="single" w:color="auto"/>
            <w:color w:val="0000EE"/>
          </w:rPr>
          <w:t>Form of Stock Option Agreement for Directors under the 2005 Plan (incorporated by reference to Exhibit 10.21 to the</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Company’s Annual Report on Form 10-K for the year ended February 3, 2007)</w:t>
        </w:r>
      </w:hyperlink>
    </w:p>
    <w:p>
      <w:pPr>
        <w:spacing w:after="0" w:line="156" w:lineRule="exact"/>
        <w:rPr>
          <w:sz w:val="20"/>
          <w:szCs w:val="20"/>
          <w:color w:val="auto"/>
        </w:rPr>
      </w:pPr>
    </w:p>
    <w:p>
      <w:pPr>
        <w:ind w:left="1180" w:right="2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4">
        <w:r>
          <w:rPr>
            <w:rFonts w:ascii="Arial" w:cs="Arial" w:eastAsia="Arial" w:hAnsi="Arial"/>
            <w:sz w:val="18"/>
            <w:szCs w:val="18"/>
            <w:u w:val="single" w:color="auto"/>
            <w:color w:val="0000EE"/>
          </w:rPr>
          <w:t>Offer Letter to Ivy Council dated December 6, 2006 (incorporated by reference to Exhibit 10.24 to the Company’s Annual</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Report on Form 10-K for the year ended February 2, 2008)</w:t>
        </w:r>
      </w:hyperlink>
    </w:p>
    <w:p>
      <w:pPr>
        <w:spacing w:after="0" w:line="156" w:lineRule="exact"/>
        <w:rPr>
          <w:sz w:val="20"/>
          <w:szCs w:val="20"/>
          <w:color w:val="auto"/>
        </w:rPr>
      </w:pPr>
    </w:p>
    <w:p>
      <w:pPr>
        <w:ind w:left="1180" w:right="70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55">
        <w:r>
          <w:rPr>
            <w:rFonts w:ascii="Arial" w:cs="Arial" w:eastAsia="Arial" w:hAnsi="Arial"/>
            <w:sz w:val="18"/>
            <w:szCs w:val="18"/>
            <w:u w:val="single" w:color="auto"/>
            <w:color w:val="0000EE"/>
          </w:rPr>
          <w:t>Offer Letter to Bruce D. Smith dated March 5, 2007 (incorporated by reference to Exhibit 10.1 to the Company’s</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Quarterly Report on Form 10-Q for the quarter ended May 5, 2007)</w:t>
        </w:r>
      </w:hyperlink>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6" w:lineRule="exact"/>
        <w:rPr>
          <w:sz w:val="20"/>
          <w:szCs w:val="20"/>
          <w:color w:val="auto"/>
        </w:rPr>
      </w:pPr>
    </w:p>
    <w:p>
      <w:pPr>
        <w:ind w:left="1180" w:right="38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58">
        <w:r>
          <w:rPr>
            <w:rFonts w:ascii="Arial" w:cs="Arial" w:eastAsia="Arial" w:hAnsi="Arial"/>
            <w:sz w:val="18"/>
            <w:szCs w:val="18"/>
            <w:u w:val="single" w:color="auto"/>
            <w:color w:val="0000EE"/>
          </w:rPr>
          <w:t>Citi Trends, Inc. Annual Incentive Bonus Plan (incorporated by reference to Exhibit 10.1 to the Company’s Quarterly</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Report on Form 10-Q for the quarter ended August 1, 2009)</w:t>
        </w:r>
      </w:hyperlink>
    </w:p>
    <w:p>
      <w:pPr>
        <w:spacing w:after="0" w:line="156" w:lineRule="exact"/>
        <w:rPr>
          <w:sz w:val="20"/>
          <w:szCs w:val="20"/>
          <w:color w:val="auto"/>
        </w:rPr>
      </w:pPr>
    </w:p>
    <w:p>
      <w:pPr>
        <w:ind w:left="1180" w:hanging="580"/>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59">
        <w:r>
          <w:rPr>
            <w:rFonts w:ascii="Arial" w:cs="Arial" w:eastAsia="Arial" w:hAnsi="Arial"/>
            <w:sz w:val="18"/>
            <w:szCs w:val="18"/>
            <w:u w:val="single" w:color="auto"/>
            <w:color w:val="0000EE"/>
          </w:rPr>
          <w:t>Form of Restricted Stock Award Agreement for Employees under the 2005 Plan (incorporated by reference to Exhibit 10.1</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to the Company’s Quarterly Report on Form 10-Q for the quarter ended October 31, 2009)</w:t>
        </w:r>
      </w:hyperlink>
    </w:p>
    <w:p>
      <w:pPr>
        <w:spacing w:after="0" w:line="156" w:lineRule="exact"/>
        <w:rPr>
          <w:sz w:val="20"/>
          <w:szCs w:val="20"/>
          <w:color w:val="auto"/>
        </w:rPr>
      </w:pPr>
    </w:p>
    <w:p>
      <w:pPr>
        <w:ind w:left="1180" w:right="120" w:hanging="669"/>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60">
        <w:r>
          <w:rPr>
            <w:rFonts w:ascii="Arial" w:cs="Arial" w:eastAsia="Arial" w:hAnsi="Arial"/>
            <w:sz w:val="18"/>
            <w:szCs w:val="18"/>
            <w:u w:val="single" w:color="auto"/>
            <w:color w:val="0000EE"/>
          </w:rPr>
          <w:t>Form of Restricted Stock Award Agreement for Directors under the 2005 Plan (incorporated by reference to Exhibit 10.2</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to the Company’s Quarterly Report on Form 10-Q for the quarter ended October 31, 2009)</w:t>
        </w:r>
      </w:hyperlink>
    </w:p>
    <w:p>
      <w:pPr>
        <w:spacing w:after="0" w:line="156" w:lineRule="exact"/>
        <w:rPr>
          <w:sz w:val="20"/>
          <w:szCs w:val="20"/>
          <w:color w:val="auto"/>
        </w:rPr>
      </w:pPr>
    </w:p>
    <w:p>
      <w:pPr>
        <w:ind w:left="1180" w:right="160" w:hanging="663"/>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61">
        <w:r>
          <w:rPr>
            <w:rFonts w:ascii="Arial" w:cs="Arial" w:eastAsia="Arial" w:hAnsi="Arial"/>
            <w:sz w:val="18"/>
            <w:szCs w:val="18"/>
            <w:u w:val="single" w:color="auto"/>
            <w:color w:val="0000EE"/>
          </w:rPr>
          <w:t>Offer Letter to Charles D. Crowell dated February 3, 2011 (incorporated by reference to Exhibit 10.29 to the Company’s</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Annual Report on Form 10-K for the year ended January 28, 2012)</w:t>
        </w:r>
      </w:hyperlink>
    </w:p>
    <w:p>
      <w:pPr>
        <w:spacing w:after="0" w:line="156" w:lineRule="exact"/>
        <w:rPr>
          <w:sz w:val="20"/>
          <w:szCs w:val="20"/>
          <w:color w:val="auto"/>
        </w:rPr>
      </w:pPr>
    </w:p>
    <w:p>
      <w:pPr>
        <w:ind w:left="1180" w:right="120" w:hanging="580"/>
        <w:spacing w:after="0" w:line="248"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62">
        <w:r>
          <w:rPr>
            <w:rFonts w:ascii="Arial" w:cs="Arial" w:eastAsia="Arial" w:hAnsi="Arial"/>
            <w:sz w:val="18"/>
            <w:szCs w:val="18"/>
            <w:u w:val="single" w:color="auto"/>
            <w:color w:val="0000EE"/>
          </w:rPr>
          <w:t>Credit Agreement, dated October 27, 2011 among Citi Trends, Inc., as Borrower, its wholly owned subsidiary, as</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Guarantor, and Bank of America, N.A., as Lender (incorporated by reference to Exhibit 10.1 to the Company’s Quarterly</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Report on Form 10-Q for the quarter ended October 29, 2011)</w:t>
        </w:r>
      </w:hyperlink>
    </w:p>
    <w:p>
      <w:pPr>
        <w:spacing w:after="0" w:line="169" w:lineRule="exact"/>
        <w:rPr>
          <w:rFonts w:ascii="Arial" w:cs="Arial" w:eastAsia="Arial" w:hAnsi="Arial"/>
          <w:sz w:val="18"/>
          <w:szCs w:val="18"/>
          <w:u w:val="single" w:color="auto"/>
          <w:color w:val="0000EE"/>
        </w:rPr>
      </w:pPr>
    </w:p>
    <w:p>
      <w:pPr>
        <w:ind w:left="1180" w:right="60" w:hanging="669"/>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63">
        <w:r>
          <w:rPr>
            <w:rFonts w:ascii="Arial" w:cs="Arial" w:eastAsia="Arial" w:hAnsi="Arial"/>
            <w:sz w:val="18"/>
            <w:szCs w:val="18"/>
            <w:u w:val="single" w:color="auto"/>
            <w:color w:val="0000EE"/>
          </w:rPr>
          <w:t>Summary of terms of employment for R. Edward Anderson (incorporated by reference to Exhibit 10.34 to the Company’s</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Annual Report on Form 10-K for the year ended January 28, 2012)</w:t>
        </w:r>
      </w:hyperlink>
    </w:p>
    <w:p>
      <w:pPr>
        <w:spacing w:after="0" w:line="156" w:lineRule="exact"/>
        <w:rPr>
          <w:sz w:val="20"/>
          <w:szCs w:val="20"/>
          <w:color w:val="auto"/>
        </w:rPr>
      </w:pPr>
    </w:p>
    <w:p>
      <w:pPr>
        <w:ind w:left="1180" w:right="100" w:hanging="669"/>
        <w:spacing w:after="0" w:line="248"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64">
        <w:r>
          <w:rPr>
            <w:rFonts w:ascii="Arial" w:cs="Arial" w:eastAsia="Arial" w:hAnsi="Arial"/>
            <w:sz w:val="18"/>
            <w:szCs w:val="18"/>
            <w:u w:val="single" w:color="auto"/>
            <w:color w:val="0000EE"/>
          </w:rPr>
          <w:t>Employment Non-Compete, Non-Solicit and Confidentiality Agreement between the Company and R. Edward Anderson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dated February 7, 2012 (incorporated by reference to Exhibit 10.2 to the Company’s Current Report on Form 8-K filed</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with the SEC on February 10, 2012)</w:t>
        </w:r>
      </w:hyperlink>
    </w:p>
    <w:p>
      <w:pPr>
        <w:spacing w:after="0" w:line="169" w:lineRule="exact"/>
        <w:rPr>
          <w:rFonts w:ascii="Arial" w:cs="Arial" w:eastAsia="Arial" w:hAnsi="Arial"/>
          <w:sz w:val="18"/>
          <w:szCs w:val="18"/>
          <w:u w:val="single" w:color="auto"/>
          <w:color w:val="0000EE"/>
        </w:rPr>
      </w:pPr>
    </w:p>
    <w:p>
      <w:pPr>
        <w:ind w:left="1180" w:right="60" w:hanging="669"/>
        <w:spacing w:after="0" w:line="291"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65">
        <w:r>
          <w:rPr>
            <w:rFonts w:ascii="Arial" w:cs="Arial" w:eastAsia="Arial" w:hAnsi="Arial"/>
            <w:sz w:val="17"/>
            <w:szCs w:val="17"/>
            <w:u w:val="single" w:color="auto"/>
            <w:color w:val="0000EE"/>
          </w:rPr>
          <w:t>Severance Agreement between the Company and R. Edward Anderson dated February 7, 2012 (incorporated by reference</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to Exhibit 10.36 to the Company’s Annual Report on Form 10-K for the year ended January 28, 2012)</w:t>
        </w:r>
      </w:hyperlink>
    </w:p>
    <w:p>
      <w:pPr>
        <w:spacing w:after="0" w:line="134" w:lineRule="exact"/>
        <w:rPr>
          <w:sz w:val="20"/>
          <w:szCs w:val="20"/>
          <w:color w:val="auto"/>
        </w:rPr>
      </w:pPr>
    </w:p>
    <w:p>
      <w:pPr>
        <w:ind w:left="1180" w:right="300" w:hanging="669"/>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66">
        <w:r>
          <w:rPr>
            <w:rFonts w:ascii="Arial" w:cs="Arial" w:eastAsia="Arial" w:hAnsi="Arial"/>
            <w:sz w:val="18"/>
            <w:szCs w:val="18"/>
            <w:u w:val="single" w:color="auto"/>
            <w:color w:val="0000EE"/>
          </w:rPr>
          <w:t>Offer Letter to Jason T. Mazzola dated January 18, 2012 (incorporated by reference to Exhibit 10.37 to the Company’s</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Annual Report on Form 10-K for the year ended January 28, 2012)</w:t>
        </w:r>
      </w:hyperlink>
    </w:p>
    <w:p>
      <w:pPr>
        <w:spacing w:after="0" w:line="156" w:lineRule="exact"/>
        <w:rPr>
          <w:sz w:val="20"/>
          <w:szCs w:val="20"/>
          <w:color w:val="auto"/>
        </w:rPr>
      </w:pPr>
    </w:p>
    <w:p>
      <w:pPr>
        <w:ind w:left="1180" w:right="160" w:hanging="669"/>
        <w:spacing w:after="0" w:line="248"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67">
        <w:r>
          <w:rPr>
            <w:rFonts w:ascii="Arial" w:cs="Arial" w:eastAsia="Arial" w:hAnsi="Arial"/>
            <w:sz w:val="18"/>
            <w:szCs w:val="18"/>
            <w:u w:val="single" w:color="auto"/>
            <w:color w:val="0000EE"/>
          </w:rPr>
          <w:t>Employment Non-Compete, Non-Solicit and Confidentiality Agreement between the Company and Jason T. Mazzola</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dated February 13, 2012 (incorporated by reference to Exhibit 10.38 to the Company’s Annual Report on Form 10-K for</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the year ended January 28, 2012)</w:t>
        </w:r>
      </w:hyperlink>
    </w:p>
    <w:p>
      <w:pPr>
        <w:spacing w:after="0" w:line="169" w:lineRule="exact"/>
        <w:rPr>
          <w:rFonts w:ascii="Arial" w:cs="Arial" w:eastAsia="Arial" w:hAnsi="Arial"/>
          <w:sz w:val="18"/>
          <w:szCs w:val="18"/>
          <w:u w:val="single" w:color="auto"/>
          <w:color w:val="0000EE"/>
        </w:rPr>
      </w:pPr>
    </w:p>
    <w:p>
      <w:pPr>
        <w:ind w:left="1180" w:right="40" w:hanging="669"/>
        <w:spacing w:after="0" w:line="291"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68">
        <w:r>
          <w:rPr>
            <w:rFonts w:ascii="Arial" w:cs="Arial" w:eastAsia="Arial" w:hAnsi="Arial"/>
            <w:sz w:val="17"/>
            <w:szCs w:val="17"/>
            <w:u w:val="single" w:color="auto"/>
            <w:color w:val="0000EE"/>
          </w:rPr>
          <w:t>Severance Agreement between the Company and Jason T. Mazzola dated February 13, 2012 (incorporated by reference to</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Exhibit 10.39 to the Company’s Annual Report on Form 10-K for the year ended January 28, 2012)</w:t>
        </w:r>
      </w:hyperlink>
    </w:p>
    <w:p>
      <w:pPr>
        <w:spacing w:after="0" w:line="134" w:lineRule="exact"/>
        <w:rPr>
          <w:sz w:val="20"/>
          <w:szCs w:val="20"/>
          <w:color w:val="auto"/>
        </w:rPr>
      </w:pPr>
    </w:p>
    <w:p>
      <w:pPr>
        <w:ind w:left="1180" w:right="300" w:hanging="669"/>
        <w:spacing w:after="0" w:line="262"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69">
        <w:r>
          <w:rPr>
            <w:rFonts w:ascii="Arial" w:cs="Arial" w:eastAsia="Arial" w:hAnsi="Arial"/>
            <w:sz w:val="18"/>
            <w:szCs w:val="18"/>
            <w:u w:val="single" w:color="auto"/>
            <w:color w:val="0000EE"/>
          </w:rPr>
          <w:t>Citi Trends, Inc. 2012 Incentive Plan (incorporated by reference to Exhibit 10.1 to the Company’s Quarterly Report on</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Form 10-Q for the quarter ended July 28, 2012)</w:t>
        </w:r>
      </w:hyperlink>
    </w:p>
    <w:p>
      <w:pPr>
        <w:spacing w:after="0" w:line="156" w:lineRule="exact"/>
        <w:rPr>
          <w:sz w:val="20"/>
          <w:szCs w:val="20"/>
          <w:color w:val="auto"/>
        </w:rPr>
      </w:pPr>
    </w:p>
    <w:p>
      <w:pPr>
        <w:ind w:left="1180" w:right="120" w:hanging="669"/>
        <w:spacing w:after="0" w:line="324"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70">
        <w:r>
          <w:rPr>
            <w:rFonts w:ascii="Arial" w:cs="Arial" w:eastAsia="Arial" w:hAnsi="Arial"/>
            <w:sz w:val="16"/>
            <w:szCs w:val="16"/>
            <w:u w:val="single" w:color="auto"/>
            <w:color w:val="0000EE"/>
          </w:rPr>
          <w:t>Form of Restricted Stock Award Agreement for Employees under the Citi Trends, Inc. 2012 Incentive Plan (incorporated</w:t>
        </w:r>
      </w:hyperlink>
      <w:r>
        <w:rPr>
          <w:rFonts w:ascii="Arial" w:cs="Arial" w:eastAsia="Arial" w:hAnsi="Arial"/>
          <w:sz w:val="16"/>
          <w:szCs w:val="16"/>
          <w:u w:val="single" w:color="auto"/>
          <w:color w:val="0000EE"/>
        </w:rPr>
        <w:t xml:space="preserve"> </w:t>
      </w:r>
      <w:hyperlink r:id="rId70">
        <w:r>
          <w:rPr>
            <w:rFonts w:ascii="Arial" w:cs="Arial" w:eastAsia="Arial" w:hAnsi="Arial"/>
            <w:sz w:val="16"/>
            <w:szCs w:val="16"/>
            <w:u w:val="single" w:color="auto"/>
            <w:color w:val="0000EE"/>
          </w:rPr>
          <w:t>by reference to Exhibit 10.2 to the Company’s Quarterly Report on Form 10-Q for the quarter ended April 29, 2017)</w:t>
        </w:r>
      </w:hyperlink>
    </w:p>
    <w:p>
      <w:pPr>
        <w:spacing w:after="0" w:line="111" w:lineRule="exact"/>
        <w:rPr>
          <w:sz w:val="20"/>
          <w:szCs w:val="20"/>
          <w:color w:val="auto"/>
        </w:rPr>
      </w:pPr>
    </w:p>
    <w:p>
      <w:pPr>
        <w:jc w:val="center"/>
        <w:ind w:left="1420" w:right="20"/>
        <w:spacing w:after="0" w:line="291"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*10.21  </w:t>
      </w:r>
      <w:hyperlink r:id="rId71">
        <w:r>
          <w:rPr>
            <w:rFonts w:ascii="Arial" w:cs="Arial" w:eastAsia="Arial" w:hAnsi="Arial"/>
            <w:sz w:val="17"/>
            <w:szCs w:val="17"/>
            <w:u w:val="single" w:color="auto"/>
            <w:color w:val="0000EE"/>
          </w:rPr>
          <w:t>Form of Restricted Stock Award Agreement for Directors under the Citi Trends, Inc. 2012 Incentive Plan (incorporated by</w:t>
        </w:r>
      </w:hyperlink>
      <w:r>
        <w:rPr>
          <w:rFonts w:ascii="Arial" w:cs="Arial" w:eastAsia="Arial" w:hAnsi="Arial"/>
          <w:sz w:val="17"/>
          <w:szCs w:val="17"/>
          <w:color w:val="auto"/>
        </w:rPr>
        <w:t xml:space="preserve"> </w:t>
      </w:r>
      <w:hyperlink r:id="rId71">
        <w:r>
          <w:rPr>
            <w:rFonts w:ascii="Arial" w:cs="Arial" w:eastAsia="Arial" w:hAnsi="Arial"/>
            <w:sz w:val="17"/>
            <w:szCs w:val="17"/>
            <w:u w:val="single" w:color="auto"/>
            <w:color w:val="0000EE"/>
          </w:rPr>
          <w:t>reference to Exhibit 10.3 to the Company’s Quarterly Report on Form 10-Q for the quarter ended July 28, 2012)</w:t>
        </w:r>
      </w:hyperlink>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 w:lineRule="exact"/>
        <w:rPr>
          <w:sz w:val="20"/>
          <w:szCs w:val="20"/>
          <w:color w:val="auto"/>
        </w:rPr>
      </w:pPr>
    </w:p>
    <w:p>
      <w:pPr>
        <w:ind w:left="1180" w:right="160" w:hanging="669"/>
        <w:spacing w:after="0" w:line="247"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74">
        <w:r>
          <w:rPr>
            <w:rFonts w:ascii="Arial" w:cs="Arial" w:eastAsia="Arial" w:hAnsi="Arial"/>
            <w:sz w:val="18"/>
            <w:szCs w:val="18"/>
            <w:u w:val="single" w:color="auto"/>
            <w:color w:val="0000EE"/>
          </w:rPr>
          <w:t>Form of Restricted Stock Unit Award Agreement for Employees under the Citi Trends, Inc. 2012 Incentive Plan</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(incorporated by reference to Exhibit 10.3 to the Company’s Quarterly Report on Form 10-Q for the quarter ended April</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29, 2017)</w:t>
        </w:r>
      </w:hyperlink>
    </w:p>
    <w:p>
      <w:pPr>
        <w:spacing w:after="0" w:line="169" w:lineRule="exact"/>
        <w:rPr>
          <w:rFonts w:ascii="Arial" w:cs="Arial" w:eastAsia="Arial" w:hAnsi="Arial"/>
          <w:sz w:val="18"/>
          <w:szCs w:val="18"/>
          <w:u w:val="single" w:color="auto"/>
          <w:color w:val="0000EE"/>
        </w:rPr>
      </w:pPr>
    </w:p>
    <w:p>
      <w:pPr>
        <w:jc w:val="both"/>
        <w:ind w:left="1180" w:right="60" w:hanging="669"/>
        <w:spacing w:after="0" w:line="248"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75">
        <w:r>
          <w:rPr>
            <w:rFonts w:ascii="Arial" w:cs="Arial" w:eastAsia="Arial" w:hAnsi="Arial"/>
            <w:sz w:val="18"/>
            <w:szCs w:val="18"/>
            <w:u w:val="single" w:color="auto"/>
            <w:color w:val="0000EE"/>
          </w:rPr>
          <w:t>Employment Non-Compete, Non-Solicit and Confidentiality Agreement between the Company and Bruce D. Smith dated</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May 1, 2013 (incorporated by reference to Exhibit 10.1 to the Company’s Quarterly Report on Form 10-Q for the quarter</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ended August 3, 2013)</w:t>
        </w:r>
      </w:hyperlink>
    </w:p>
    <w:p>
      <w:pPr>
        <w:spacing w:after="0" w:line="169" w:lineRule="exact"/>
        <w:rPr>
          <w:rFonts w:ascii="Arial" w:cs="Arial" w:eastAsia="Arial" w:hAnsi="Arial"/>
          <w:sz w:val="18"/>
          <w:szCs w:val="18"/>
          <w:u w:val="single" w:color="auto"/>
          <w:color w:val="0000EE"/>
        </w:rPr>
      </w:pPr>
    </w:p>
    <w:p>
      <w:pPr>
        <w:jc w:val="both"/>
        <w:ind w:left="1180" w:right="100" w:hanging="669"/>
        <w:spacing w:after="0" w:line="264"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76">
        <w:r>
          <w:rPr>
            <w:rFonts w:ascii="Arial" w:cs="Arial" w:eastAsia="Arial" w:hAnsi="Arial"/>
            <w:sz w:val="18"/>
            <w:szCs w:val="18"/>
            <w:u w:val="single" w:color="auto"/>
            <w:color w:val="0000EE"/>
          </w:rPr>
          <w:t>Employment Non-Compete, Non-Solicit and Confidentiality Agreement between the Company and Ivy D. Council dated</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May 1, 2013 (incorporated by reference to Exhibit 10.2 to the Company’s Quarterly Report on Form 10-Q for the quarter</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ended August 3, 2013)</w:t>
        </w:r>
      </w:hyperlink>
    </w:p>
    <w:p>
      <w:pPr>
        <w:spacing w:after="0" w:line="127" w:lineRule="exact"/>
        <w:rPr>
          <w:rFonts w:ascii="Arial" w:cs="Arial" w:eastAsia="Arial" w:hAnsi="Arial"/>
          <w:sz w:val="18"/>
          <w:szCs w:val="18"/>
          <w:u w:val="single" w:color="auto"/>
          <w:color w:val="0000EE"/>
        </w:rPr>
      </w:pPr>
    </w:p>
    <w:p>
      <w:pPr>
        <w:jc w:val="both"/>
        <w:ind w:left="1180" w:right="80" w:hanging="669"/>
        <w:spacing w:after="0" w:line="264"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77">
        <w:r>
          <w:rPr>
            <w:rFonts w:ascii="Arial" w:cs="Arial" w:eastAsia="Arial" w:hAnsi="Arial"/>
            <w:sz w:val="18"/>
            <w:szCs w:val="18"/>
            <w:u w:val="single" w:color="auto"/>
            <w:color w:val="0000EE"/>
          </w:rPr>
          <w:t>Employment Non-Compete, Non-Solicit and Confidentiality Agreement between the Company and James A. Dunn dated</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May 1, 2013 (incorporated by reference to Exhibit 10.3 to the Company’s Quarterly Report on Form 10-Q for the quarter</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ended August 3, 2013)</w:t>
        </w:r>
      </w:hyperlink>
    </w:p>
    <w:p>
      <w:pPr>
        <w:spacing w:after="0" w:line="181" w:lineRule="exact"/>
        <w:rPr>
          <w:rFonts w:ascii="Arial" w:cs="Arial" w:eastAsia="Arial" w:hAnsi="Arial"/>
          <w:sz w:val="18"/>
          <w:szCs w:val="18"/>
          <w:u w:val="single" w:color="auto"/>
          <w:color w:val="0000EE"/>
        </w:rPr>
      </w:pPr>
    </w:p>
    <w:p>
      <w:pPr>
        <w:jc w:val="both"/>
        <w:ind w:left="1180" w:right="220" w:hanging="669"/>
        <w:spacing w:after="0" w:line="264"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78">
        <w:r>
          <w:rPr>
            <w:rFonts w:ascii="Arial" w:cs="Arial" w:eastAsia="Arial" w:hAnsi="Arial"/>
            <w:sz w:val="18"/>
            <w:szCs w:val="18"/>
            <w:u w:val="single" w:color="auto"/>
            <w:color w:val="0000EE"/>
          </w:rPr>
          <w:t>Employment Non-Compete, Non-Solicit and Confidentiality Agreement between the Company and Charles D. Crowell</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dated May 1, 2013 (incorporated by reference to Exhibit 10.4 to the Company’s Quarterly Report on Form 10-Q for the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quarter ended August 3, 2013)</w:t>
        </w:r>
      </w:hyperlink>
    </w:p>
    <w:p>
      <w:pPr>
        <w:spacing w:after="0" w:line="181" w:lineRule="exact"/>
        <w:rPr>
          <w:rFonts w:ascii="Arial" w:cs="Arial" w:eastAsia="Arial" w:hAnsi="Arial"/>
          <w:sz w:val="18"/>
          <w:szCs w:val="18"/>
          <w:u w:val="single" w:color="auto"/>
          <w:color w:val="0000EE"/>
        </w:rPr>
      </w:pPr>
    </w:p>
    <w:p>
      <w:pPr>
        <w:ind w:left="1180" w:right="580" w:hanging="669"/>
        <w:spacing w:after="0" w:line="342"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79">
        <w:r>
          <w:rPr>
            <w:rFonts w:ascii="Arial" w:cs="Arial" w:eastAsia="Arial" w:hAnsi="Arial"/>
            <w:sz w:val="16"/>
            <w:szCs w:val="16"/>
            <w:u w:val="single" w:color="auto"/>
            <w:color w:val="0000EE"/>
          </w:rPr>
          <w:t>Severance Agreement between the Company and Bruce D. Smith dated May 1, 2013 (incorporated by reference to</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Exhibit 10.5 to the Company’s Quarterly Report on Form 10-Q for the quarter ended August 3, 2013)</w:t>
        </w:r>
      </w:hyperlink>
    </w:p>
    <w:p>
      <w:pPr>
        <w:spacing w:after="0" w:line="124" w:lineRule="exact"/>
        <w:rPr>
          <w:sz w:val="20"/>
          <w:szCs w:val="20"/>
          <w:color w:val="auto"/>
        </w:rPr>
      </w:pPr>
    </w:p>
    <w:p>
      <w:pPr>
        <w:ind w:left="1180" w:right="640" w:hanging="669"/>
        <w:spacing w:after="0" w:line="342"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80">
        <w:r>
          <w:rPr>
            <w:rFonts w:ascii="Arial" w:cs="Arial" w:eastAsia="Arial" w:hAnsi="Arial"/>
            <w:sz w:val="16"/>
            <w:szCs w:val="16"/>
            <w:u w:val="single" w:color="auto"/>
            <w:color w:val="0000EE"/>
          </w:rPr>
          <w:t>Severance Agreement between the Company and Ivy D. Council dated May 1, 2013 (incorporated by reference to</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Exhibit 10.6 to the Company’s Quarterly Report on Form 10-Q for the quarter ended August 3, 2013)</w:t>
        </w:r>
      </w:hyperlink>
    </w:p>
    <w:p>
      <w:pPr>
        <w:spacing w:after="0" w:line="124" w:lineRule="exact"/>
        <w:rPr>
          <w:sz w:val="20"/>
          <w:szCs w:val="20"/>
          <w:color w:val="auto"/>
        </w:rPr>
      </w:pPr>
    </w:p>
    <w:p>
      <w:pPr>
        <w:ind w:left="1180" w:right="600" w:hanging="669"/>
        <w:spacing w:after="0" w:line="342"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81">
        <w:r>
          <w:rPr>
            <w:rFonts w:ascii="Arial" w:cs="Arial" w:eastAsia="Arial" w:hAnsi="Arial"/>
            <w:sz w:val="16"/>
            <w:szCs w:val="16"/>
            <w:u w:val="single" w:color="auto"/>
            <w:color w:val="0000EE"/>
          </w:rPr>
          <w:t>Severance Agreement between the Company and James A. Dunn dated May 1, 2013 (incorporated by reference to</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Exhibit 10.7 to the Company’s Quarterly Report on Form 10-Q for the quarter ended August 3, 2013)</w:t>
        </w:r>
      </w:hyperlink>
    </w:p>
    <w:p>
      <w:pPr>
        <w:spacing w:after="0" w:line="124" w:lineRule="exact"/>
        <w:rPr>
          <w:sz w:val="20"/>
          <w:szCs w:val="20"/>
          <w:color w:val="auto"/>
        </w:rPr>
      </w:pPr>
    </w:p>
    <w:p>
      <w:pPr>
        <w:ind w:left="1180" w:right="320" w:hanging="669"/>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82">
        <w:r>
          <w:rPr>
            <w:rFonts w:ascii="Arial" w:cs="Arial" w:eastAsia="Arial" w:hAnsi="Arial"/>
            <w:sz w:val="17"/>
            <w:szCs w:val="17"/>
            <w:u w:val="single" w:color="auto"/>
            <w:color w:val="0000EE"/>
          </w:rPr>
          <w:t>Severance Agreement between the Company and Charles D. Crowell dated May 1, 2013 (incorporated by reference to</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Exhibit 10.8 to the Company’s Quarterly Report on Form 10-Q for the quarter ended August 3, 2013)</w:t>
        </w:r>
      </w:hyperlink>
    </w:p>
    <w:p>
      <w:pPr>
        <w:spacing w:after="0" w:line="147" w:lineRule="exact"/>
        <w:rPr>
          <w:sz w:val="20"/>
          <w:szCs w:val="20"/>
          <w:color w:val="auto"/>
        </w:rPr>
      </w:pPr>
    </w:p>
    <w:p>
      <w:pPr>
        <w:ind w:left="1180" w:right="280" w:hanging="580"/>
        <w:spacing w:after="0" w:line="286"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83">
        <w:r>
          <w:rPr>
            <w:rFonts w:ascii="Arial" w:cs="Arial" w:eastAsia="Arial" w:hAnsi="Arial"/>
            <w:sz w:val="17"/>
            <w:szCs w:val="17"/>
            <w:u w:val="single" w:color="auto"/>
            <w:color w:val="0000EE"/>
          </w:rPr>
          <w:t>First Amendment to Credit Agreement, dated as of August 18, 2015, by and among Citi Trends, Inc., as Borrower, Citi</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Exhibit 10.1 to the Company’s Current Report on Form 8-K filed with the SEC on August 19, 2015)</w:t>
        </w:r>
      </w:hyperlink>
    </w:p>
    <w:p>
      <w:pPr>
        <w:spacing w:after="0" w:line="166" w:lineRule="exact"/>
        <w:rPr>
          <w:rFonts w:ascii="Arial" w:cs="Arial" w:eastAsia="Arial" w:hAnsi="Arial"/>
          <w:sz w:val="17"/>
          <w:szCs w:val="17"/>
          <w:u w:val="single" w:color="auto"/>
          <w:color w:val="0000EE"/>
        </w:rPr>
      </w:pPr>
    </w:p>
    <w:p>
      <w:pPr>
        <w:ind w:left="1180" w:right="260" w:hanging="669"/>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*10.32</w:t>
      </w:r>
      <w:r>
        <w:rPr>
          <w:sz w:val="20"/>
          <w:szCs w:val="20"/>
          <w:color w:val="auto"/>
        </w:rPr>
        <w:tab/>
      </w:r>
      <w:hyperlink r:id="rId84">
        <w:r>
          <w:rPr>
            <w:rFonts w:ascii="Arial" w:cs="Arial" w:eastAsia="Arial" w:hAnsi="Arial"/>
            <w:sz w:val="17"/>
            <w:szCs w:val="17"/>
            <w:u w:val="single" w:color="auto"/>
            <w:color w:val="0000EE"/>
          </w:rPr>
          <w:t>Amendment to the Citi Trends, Inc. 2012 Incentive Plan, effective as of February 7, 2017 (incorporated by reference to</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Exhibit 10.1 to the Company’s Quarterly Report on Form 10-Q for the quarter ended April 29, 2017)</w:t>
        </w:r>
      </w:hyperlink>
    </w:p>
    <w:p>
      <w:pPr>
        <w:spacing w:after="0" w:line="147" w:lineRule="exact"/>
        <w:rPr>
          <w:sz w:val="20"/>
          <w:szCs w:val="20"/>
          <w:color w:val="auto"/>
        </w:rPr>
      </w:pPr>
    </w:p>
    <w:p>
      <w:pPr>
        <w:ind w:left="1180" w:right="60" w:hanging="669"/>
        <w:spacing w:after="0" w:line="264"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85">
        <w:r>
          <w:rPr>
            <w:rFonts w:ascii="Arial" w:cs="Arial" w:eastAsia="Arial" w:hAnsi="Arial"/>
            <w:sz w:val="18"/>
            <w:szCs w:val="18"/>
            <w:u w:val="single" w:color="auto"/>
            <w:color w:val="0000EE"/>
          </w:rPr>
          <w:t>Employment Non-Compete, Non-Solicit and Confidentiality Agreement between the Company and Bruce D. Smith dated</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March 15, 2018 (incorporated by reference to Exhibit 10.1 to the Company’s Current Report on form 8-K filed with the</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SEC on March 16, 2018)</w:t>
        </w:r>
      </w:hyperlink>
    </w:p>
    <w:p>
      <w:pPr>
        <w:spacing w:after="0" w:line="181" w:lineRule="exact"/>
        <w:rPr>
          <w:rFonts w:ascii="Arial" w:cs="Arial" w:eastAsia="Arial" w:hAnsi="Arial"/>
          <w:sz w:val="18"/>
          <w:szCs w:val="18"/>
          <w:u w:val="single" w:color="auto"/>
          <w:color w:val="0000EE"/>
        </w:rPr>
      </w:pPr>
    </w:p>
    <w:p>
      <w:pPr>
        <w:ind w:left="1180" w:right="360" w:hanging="669"/>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*10.34</w:t>
      </w:r>
      <w:r>
        <w:rPr>
          <w:sz w:val="20"/>
          <w:szCs w:val="20"/>
          <w:color w:val="auto"/>
        </w:rPr>
        <w:tab/>
      </w:r>
      <w:hyperlink r:id="rId86">
        <w:r>
          <w:rPr>
            <w:rFonts w:ascii="Arial" w:cs="Arial" w:eastAsia="Arial" w:hAnsi="Arial"/>
            <w:sz w:val="17"/>
            <w:szCs w:val="17"/>
            <w:u w:val="single" w:color="auto"/>
            <w:color w:val="0000EE"/>
          </w:rPr>
          <w:t>Severance Agreement between the Company and Bruce D. Smith dated March 15, 2018 (incorporated by reference to</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Exhibit 10.2 to the Company’s Current Report on Form 8-K filed with the SEC on March 16, 2018)</w:t>
        </w:r>
      </w:hyperlink>
    </w:p>
    <w:p>
      <w:pPr>
        <w:spacing w:after="0" w:line="147" w:lineRule="exact"/>
        <w:rPr>
          <w:sz w:val="20"/>
          <w:szCs w:val="20"/>
          <w:color w:val="auto"/>
        </w:rPr>
      </w:pPr>
    </w:p>
    <w:p>
      <w:pPr>
        <w:ind w:left="1180" w:hanging="669"/>
        <w:spacing w:after="0" w:line="264"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87">
        <w:r>
          <w:rPr>
            <w:rFonts w:ascii="Arial" w:cs="Arial" w:eastAsia="Arial" w:hAnsi="Arial"/>
            <w:sz w:val="18"/>
            <w:szCs w:val="18"/>
            <w:u w:val="single" w:color="auto"/>
            <w:color w:val="0000EE"/>
          </w:rPr>
          <w:t>Employment Non-Compete, Non-Solicit and Confidentiality Agreement between the Company and Stuart C. Clifford</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dated March 15, 2018 (incorporated by reference to Exhibit 10.3 to the Company’s Current Report on Form 8-K filed with</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the SEC on March 16, 2018)</w:t>
        </w:r>
      </w:hyperlink>
    </w:p>
    <w:p>
      <w:pPr>
        <w:spacing w:after="0" w:line="181" w:lineRule="exact"/>
        <w:rPr>
          <w:rFonts w:ascii="Arial" w:cs="Arial" w:eastAsia="Arial" w:hAnsi="Arial"/>
          <w:sz w:val="18"/>
          <w:szCs w:val="18"/>
          <w:u w:val="single" w:color="auto"/>
          <w:color w:val="0000EE"/>
        </w:rPr>
      </w:pPr>
    </w:p>
    <w:p>
      <w:pPr>
        <w:ind w:left="1180" w:right="220" w:hanging="669"/>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*10.36</w:t>
      </w:r>
      <w:r>
        <w:rPr>
          <w:sz w:val="20"/>
          <w:szCs w:val="20"/>
          <w:color w:val="auto"/>
        </w:rPr>
        <w:tab/>
      </w:r>
      <w:hyperlink r:id="rId88">
        <w:r>
          <w:rPr>
            <w:rFonts w:ascii="Arial" w:cs="Arial" w:eastAsia="Arial" w:hAnsi="Arial"/>
            <w:sz w:val="17"/>
            <w:szCs w:val="17"/>
            <w:u w:val="single" w:color="auto"/>
            <w:color w:val="0000EE"/>
          </w:rPr>
          <w:t>Severance Agreement between the Company and Stuart C. Clifford dated March 15, 2018 (incorporated by reference to</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Exhibit 10.4 to the Company’s Current Report on Form 8-K filed with the SEC on March 16, 2018)</w:t>
        </w:r>
      </w:hyperlink>
    </w:p>
    <w:p>
      <w:pPr>
        <w:spacing w:after="0" w:line="147" w:lineRule="exact"/>
        <w:rPr>
          <w:sz w:val="20"/>
          <w:szCs w:val="20"/>
          <w:color w:val="auto"/>
        </w:rPr>
      </w:pPr>
    </w:p>
    <w:p>
      <w:pPr>
        <w:ind w:left="7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56">
        <w:r>
          <w:rPr>
            <w:rFonts w:ascii="Arial" w:cs="Arial" w:eastAsia="Arial" w:hAnsi="Arial"/>
            <w:sz w:val="16"/>
            <w:szCs w:val="16"/>
            <w:u w:val="single" w:color="auto"/>
            <w:color w:val="0000EE"/>
          </w:rPr>
          <w:t>Subsidiary of the Registrant</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 w:lineRule="exact"/>
        <w:rPr>
          <w:sz w:val="20"/>
          <w:szCs w:val="20"/>
          <w:color w:val="auto"/>
        </w:rPr>
      </w:pPr>
    </w:p>
    <w:p>
      <w:pPr>
        <w:ind w:left="7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57">
        <w:r>
          <w:rPr>
            <w:rFonts w:ascii="Arial" w:cs="Arial" w:eastAsia="Arial" w:hAnsi="Arial"/>
            <w:sz w:val="16"/>
            <w:szCs w:val="16"/>
            <w:u w:val="single" w:color="auto"/>
            <w:color w:val="0000EE"/>
          </w:rPr>
          <w:t>Consent of KPMG LLP</w:t>
        </w:r>
      </w:hyperlink>
    </w:p>
    <w:p>
      <w:pPr>
        <w:spacing w:after="0" w:line="223" w:lineRule="exact"/>
        <w:rPr>
          <w:sz w:val="20"/>
          <w:szCs w:val="20"/>
          <w:color w:val="auto"/>
        </w:rPr>
      </w:pPr>
    </w:p>
    <w:p>
      <w:pPr>
        <w:ind w:left="1180" w:right="620" w:hanging="489"/>
        <w:spacing w:after="0" w:line="277"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58">
        <w:r>
          <w:rPr>
            <w:rFonts w:ascii="Arial" w:cs="Arial" w:eastAsia="Arial" w:hAnsi="Arial"/>
            <w:sz w:val="18"/>
            <w:szCs w:val="18"/>
            <w:u w:val="single" w:color="auto"/>
            <w:color w:val="0000EE"/>
          </w:rPr>
          <w:t>Certification of Bruce D. Smith, President and Chief Executive Officer, as adopted pursuant to Section 302 of the</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ind w:left="1180" w:right="60" w:hanging="489"/>
        <w:spacing w:after="0" w:line="277"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59">
        <w:r>
          <w:rPr>
            <w:rFonts w:ascii="Arial" w:cs="Arial" w:eastAsia="Arial" w:hAnsi="Arial"/>
            <w:sz w:val="18"/>
            <w:szCs w:val="18"/>
            <w:u w:val="single" w:color="auto"/>
            <w:color w:val="0000EE"/>
          </w:rPr>
          <w:t>Certification of Stuart C. Clifford, Chief Financial Officer, as adopted pursuant to Section 302 of the Sarbanes-Oxley Act</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of 2002</w:t>
        </w:r>
      </w:hyperlink>
    </w:p>
    <w:p>
      <w:pPr>
        <w:spacing w:after="0" w:line="170" w:lineRule="exact"/>
        <w:rPr>
          <w:sz w:val="20"/>
          <w:szCs w:val="20"/>
          <w:color w:val="auto"/>
        </w:rPr>
      </w:pPr>
    </w:p>
    <w:p>
      <w:pPr>
        <w:ind w:left="1180" w:right="200" w:hanging="489"/>
        <w:spacing w:after="0" w:line="277"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60">
        <w:r>
          <w:rPr>
            <w:rFonts w:ascii="Arial" w:cs="Arial" w:eastAsia="Arial" w:hAnsi="Arial"/>
            <w:sz w:val="18"/>
            <w:szCs w:val="18"/>
            <w:u w:val="single" w:color="auto"/>
            <w:color w:val="0000EE"/>
          </w:rPr>
          <w:t>Certification of Bruce D. Smith, President and Chief Executive Officer, pursuant to 18 U.S.C. Section 1350, as adopted</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pursuant to Section 906 of the Sarbanes-Oxley Act of 2002</w:t>
        </w:r>
      </w:hyperlink>
    </w:p>
    <w:p>
      <w:pPr>
        <w:spacing w:after="0" w:line="170" w:lineRule="exact"/>
        <w:rPr>
          <w:sz w:val="20"/>
          <w:szCs w:val="20"/>
          <w:color w:val="auto"/>
        </w:rPr>
      </w:pPr>
    </w:p>
    <w:p>
      <w:pPr>
        <w:ind w:left="1180" w:right="280" w:hanging="489"/>
        <w:spacing w:after="0" w:line="277"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61">
        <w:r>
          <w:rPr>
            <w:rFonts w:ascii="Arial" w:cs="Arial" w:eastAsia="Arial" w:hAnsi="Arial"/>
            <w:sz w:val="18"/>
            <w:szCs w:val="18"/>
            <w:u w:val="single" w:color="auto"/>
            <w:color w:val="0000EE"/>
          </w:rPr>
          <w:t>Certification of Stuart C. Clifford,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Section 906 of the Sarbanes-Oxley Act of 2002</w:t>
        </w:r>
      </w:hyperlink>
    </w:p>
    <w:p>
      <w:pPr>
        <w:spacing w:after="0" w:line="170" w:lineRule="exact"/>
        <w:rPr>
          <w:sz w:val="20"/>
          <w:szCs w:val="20"/>
          <w:color w:val="auto"/>
        </w:rPr>
      </w:pPr>
    </w:p>
    <w:p>
      <w:pPr>
        <w:ind w:left="1180" w:hanging="438"/>
        <w:spacing w:after="0" w:line="259"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following financial statements from Citi Trends, Inc.’s Annual Report on Form 10-K for the year ended February 3, 2018, formatted in XBRL (eXtensible Business Reporting Language): (i) Consolidated Statements of Operations, (ii) Consolidated Balance Sheets, (iii) Consolidated Statements of Cash Flows, (iv) Consolidated Statements of Stockholders’ Equity and (v) Notes to Consolidated Financial Statements.</w:t>
      </w:r>
    </w:p>
    <w:p>
      <w:pPr>
        <w:spacing w:after="0" w:line="20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1595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125" w:right="99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7080" w:type="dxa"/>
            <w:vAlign w:val="bottom"/>
            <w:gridSpan w:val="2"/>
          </w:tcPr>
          <w:p>
            <w:pPr>
              <w:jc w:val="center"/>
              <w:ind w:right="2730"/>
              <w:spacing w:after="0"/>
              <w:rPr>
                <w:sz w:val="20"/>
                <w:szCs w:val="20"/>
                <w:color w:val="auto"/>
              </w:rPr>
            </w:pPr>
            <w:r>
              <w:rPr>
                <w:rFonts w:ascii="Arial" w:cs="Arial" w:eastAsia="Arial" w:hAnsi="Arial"/>
                <w:sz w:val="18"/>
                <w:szCs w:val="18"/>
                <w:color w:val="auto"/>
                <w:w w:val="96"/>
              </w:rPr>
              <w:t>CITI TRENDS, INC.</w:t>
            </w:r>
          </w:p>
        </w:tc>
      </w:tr>
      <w:tr>
        <w:trPr>
          <w:trHeight w:val="230"/>
        </w:trPr>
        <w:tc>
          <w:tcPr>
            <w:tcW w:w="2900" w:type="dxa"/>
            <w:vAlign w:val="bottom"/>
          </w:tcPr>
          <w:p>
            <w:pPr>
              <w:spacing w:after="0"/>
              <w:rPr>
                <w:sz w:val="20"/>
                <w:szCs w:val="20"/>
                <w:color w:val="auto"/>
              </w:rPr>
            </w:pPr>
          </w:p>
        </w:tc>
        <w:tc>
          <w:tcPr>
            <w:tcW w:w="7080" w:type="dxa"/>
            <w:vAlign w:val="bottom"/>
            <w:gridSpan w:val="2"/>
          </w:tcPr>
          <w:p>
            <w:pPr>
              <w:jc w:val="center"/>
              <w:ind w:right="2730"/>
              <w:spacing w:after="0"/>
              <w:rPr>
                <w:sz w:val="20"/>
                <w:szCs w:val="20"/>
                <w:color w:val="auto"/>
              </w:rPr>
            </w:pPr>
            <w:r>
              <w:rPr>
                <w:rFonts w:ascii="Arial" w:cs="Arial" w:eastAsia="Arial" w:hAnsi="Arial"/>
                <w:sz w:val="18"/>
                <w:szCs w:val="18"/>
                <w:color w:val="auto"/>
                <w:w w:val="91"/>
              </w:rPr>
              <w:t>(Registrant)</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Date  April 18, 2018</w:t>
            </w:r>
          </w:p>
        </w:tc>
        <w:tc>
          <w:tcPr>
            <w:tcW w:w="7080" w:type="dxa"/>
            <w:vAlign w:val="bottom"/>
            <w:gridSpan w:val="2"/>
          </w:tcPr>
          <w:p>
            <w:pPr>
              <w:ind w:left="3480"/>
              <w:spacing w:after="0"/>
              <w:rPr>
                <w:sz w:val="20"/>
                <w:szCs w:val="20"/>
                <w:color w:val="auto"/>
              </w:rPr>
            </w:pPr>
            <w:r>
              <w:rPr>
                <w:rFonts w:ascii="Arial" w:cs="Arial" w:eastAsia="Arial" w:hAnsi="Arial"/>
                <w:sz w:val="18"/>
                <w:szCs w:val="18"/>
                <w:color w:val="auto"/>
              </w:rPr>
              <w:t>By  /s/ Bruce D. Smith</w:t>
            </w:r>
          </w:p>
        </w:tc>
      </w:tr>
      <w:tr>
        <w:trPr>
          <w:trHeight w:val="182"/>
        </w:trPr>
        <w:tc>
          <w:tcPr>
            <w:tcW w:w="29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Bruce D. Smith</w:t>
            </w:r>
          </w:p>
        </w:tc>
      </w:tr>
      <w:tr>
        <w:trPr>
          <w:trHeight w:val="203"/>
        </w:trPr>
        <w:tc>
          <w:tcPr>
            <w:tcW w:w="2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29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8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43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99"/>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Smith</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Bruce D. Smith</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 and Director</w:t>
            </w: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 Clifford</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Stuart C. Clifford</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Edward Anderson</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Chairman of the Board of Directors</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R. Edward Anderson</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 Carney</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Brian P. Carney</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Duskin</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Jonathan Duskin</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Laurens M. Goff</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Laurens M. Goff</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L. Jenkins</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Margaret L. Jenkins</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Levy</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Barbara Levy</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Lupo</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18, 2018</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John S. Lupo</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9800" w:type="dxa"/>
            <w:vAlign w:val="bottom"/>
            <w:gridSpan w:val="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360" w:type="dxa"/>
            <w:vAlign w:val="bottom"/>
            <w:tcBorders>
              <w:top w:val="single" w:sz="8" w:color="0563C1"/>
            </w:tcBorders>
          </w:tcPr>
          <w:p>
            <w:pPr>
              <w:spacing w:after="0"/>
              <w:rPr>
                <w:sz w:val="24"/>
                <w:szCs w:val="24"/>
                <w:color w:val="auto"/>
              </w:rPr>
            </w:pPr>
          </w:p>
        </w:tc>
        <w:tc>
          <w:tcPr>
            <w:tcW w:w="920" w:type="dxa"/>
            <w:vAlign w:val="bottom"/>
            <w:tcBorders>
              <w:top w:val="single" w:sz="8" w:color="0563C1"/>
            </w:tcBorders>
          </w:tcPr>
          <w:p>
            <w:pPr>
              <w:spacing w:after="0"/>
              <w:rPr>
                <w:sz w:val="24"/>
                <w:szCs w:val="24"/>
                <w:color w:val="auto"/>
              </w:rPr>
            </w:pPr>
          </w:p>
        </w:tc>
        <w:tc>
          <w:tcPr>
            <w:tcW w:w="3000" w:type="dxa"/>
            <w:vAlign w:val="bottom"/>
          </w:tcPr>
          <w:p>
            <w:pPr>
              <w:spacing w:after="0"/>
              <w:rPr>
                <w:sz w:val="24"/>
                <w:szCs w:val="24"/>
                <w:color w:val="auto"/>
              </w:rPr>
            </w:pPr>
          </w:p>
        </w:tc>
        <w:tc>
          <w:tcPr>
            <w:tcW w:w="55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3"/>
              </w:rPr>
              <w:t>Citi Trends, Inc.</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2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0" w:type="dxa"/>
            <w:vAlign w:val="bottom"/>
            <w:gridSpan w:val="8"/>
          </w:tcPr>
          <w:p>
            <w:pPr>
              <w:spacing w:after="0"/>
              <w:rPr>
                <w:sz w:val="20"/>
                <w:szCs w:val="20"/>
                <w:color w:val="auto"/>
              </w:rPr>
            </w:pPr>
            <w:r>
              <w:rPr>
                <w:rFonts w:ascii="Arial" w:cs="Arial" w:eastAsia="Arial" w:hAnsi="Arial"/>
                <w:sz w:val="18"/>
                <w:szCs w:val="18"/>
                <w:color w:val="auto"/>
                <w:w w:val="95"/>
              </w:rPr>
              <w:t>CONSOLIDATED FINANCIAL STATEMENTS AS OF AND FOR THE YEARS ENDED FEBRUARY 3, 2018, JANUARY 28, 2017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gridSpan w:val="8"/>
          </w:tcPr>
          <w:p>
            <w:pPr>
              <w:spacing w:after="0"/>
              <w:rPr>
                <w:sz w:val="20"/>
                <w:szCs w:val="20"/>
                <w:color w:val="auto"/>
              </w:rPr>
            </w:pPr>
            <w:r>
              <w:rPr>
                <w:rFonts w:ascii="Arial" w:cs="Arial" w:eastAsia="Arial" w:hAnsi="Arial"/>
                <w:sz w:val="18"/>
                <w:szCs w:val="18"/>
                <w:color w:val="auto"/>
              </w:rPr>
              <w:t>AND JANUARY 30, 2016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4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Management’s Annual Report on Internal Control Over Financial Reporting</w:t>
              </w:r>
            </w:hyperlink>
          </w:p>
        </w:tc>
        <w:tc>
          <w:tcPr>
            <w:tcW w:w="4320" w:type="dxa"/>
            <w:vAlign w:val="bottom"/>
            <w:gridSpan w:val="3"/>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385"/>
        </w:trPr>
        <w:tc>
          <w:tcPr>
            <w:tcW w:w="980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Reports of Independent Registered Public Accounting Firm</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as of February 3, 2018 and January 28, 2017</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Operations for the Years Ended February 3, 2018, January 28, 2017 and January 30, 2016</w:t>
              </w:r>
            </w:hyperlink>
          </w:p>
        </w:tc>
        <w:tc>
          <w:tcPr>
            <w:tcW w:w="1280" w:type="dxa"/>
            <w:vAlign w:val="bottom"/>
            <w:gridSpan w:val="2"/>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385"/>
        </w:trPr>
        <w:tc>
          <w:tcPr>
            <w:tcW w:w="980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 for the Years Ended February 3, 2018, January 28, 2017 and January 30, 2016</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1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0" w:type="dxa"/>
            <w:vAlign w:val="bottom"/>
            <w:gridSpan w:val="8"/>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Consolidated Statements of Stockholders’ Equity for the Years Ended February 3, 2018, January 28, 2017 and January 30,</w:t>
              </w:r>
            </w:hyperlink>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1"/>
              </w:rPr>
              <w:t>F-8</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2016</w:t>
              </w:r>
            </w:hyperlink>
          </w:p>
        </w:tc>
        <w:tc>
          <w:tcPr>
            <w:tcW w:w="920" w:type="dxa"/>
            <w:vAlign w:val="bottom"/>
            <w:tcBorders>
              <w:top w:val="single" w:sz="8" w:color="0000EE"/>
            </w:tcBorders>
          </w:tcPr>
          <w:p>
            <w:pPr>
              <w:spacing w:after="0"/>
              <w:rPr>
                <w:sz w:val="15"/>
                <w:szCs w:val="15"/>
                <w:color w:val="auto"/>
              </w:rPr>
            </w:pPr>
          </w:p>
        </w:tc>
        <w:tc>
          <w:tcPr>
            <w:tcW w:w="300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0" w:type="dxa"/>
            <w:vAlign w:val="bottom"/>
            <w:gridSpan w:val="8"/>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Notes to Consolidated Financial Statements for the Years Ended February 3, 2018, January 28, 2017 and January 30, 2016</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F-9</w:t>
            </w:r>
          </w:p>
        </w:tc>
        <w:tc>
          <w:tcPr>
            <w:tcW w:w="0" w:type="dxa"/>
            <w:vAlign w:val="bottom"/>
          </w:tcPr>
          <w:p>
            <w:pPr>
              <w:spacing w:after="0"/>
              <w:rPr>
                <w:sz w:val="1"/>
                <w:szCs w:val="1"/>
                <w:color w:val="auto"/>
              </w:rPr>
            </w:pPr>
          </w:p>
        </w:tc>
      </w:tr>
      <w:tr>
        <w:trPr>
          <w:trHeight w:val="885"/>
        </w:trPr>
        <w:tc>
          <w:tcPr>
            <w:tcW w:w="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000" w:type="dxa"/>
            <w:vAlign w:val="bottom"/>
            <w:tcBorders>
              <w:top w:val="single" w:sz="8" w:color="0000EE"/>
            </w:tcBorders>
          </w:tcPr>
          <w:p>
            <w:pPr>
              <w:spacing w:after="0"/>
              <w:rPr>
                <w:sz w:val="24"/>
                <w:szCs w:val="24"/>
                <w:color w:val="auto"/>
              </w:rPr>
            </w:pPr>
          </w:p>
        </w:tc>
        <w:tc>
          <w:tcPr>
            <w:tcW w:w="4520" w:type="dxa"/>
            <w:vAlign w:val="bottom"/>
            <w:tcBorders>
              <w:top w:val="single" w:sz="8" w:color="0000EE"/>
            </w:tcBorders>
            <w:gridSpan w:val="4"/>
          </w:tcPr>
          <w:p>
            <w:pPr>
              <w:jc w:val="center"/>
              <w:ind w:right="3020"/>
              <w:spacing w:after="0"/>
              <w:rPr>
                <w:sz w:val="20"/>
                <w:szCs w:val="20"/>
                <w:color w:val="auto"/>
              </w:rPr>
            </w:pPr>
            <w:r>
              <w:rPr>
                <w:rFonts w:ascii="Arial" w:cs="Arial" w:eastAsia="Arial" w:hAnsi="Arial"/>
                <w:sz w:val="18"/>
                <w:szCs w:val="18"/>
                <w:color w:val="auto"/>
                <w:w w:val="96"/>
              </w:rPr>
              <w:t>F-1</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Internal control over financial reporting includes those policies and procedures that:</w:t>
      </w:r>
    </w:p>
    <w:p>
      <w:pPr>
        <w:spacing w:after="0" w:line="154" w:lineRule="exact"/>
        <w:rPr>
          <w:sz w:val="20"/>
          <w:szCs w:val="20"/>
          <w:color w:val="auto"/>
        </w:rPr>
      </w:pPr>
    </w:p>
    <w:p>
      <w:pPr>
        <w:ind w:left="1020" w:hanging="332"/>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pertain to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1020" w:right="60" w:hanging="332"/>
        <w:spacing w:after="0" w:line="265"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made only in accordance with authorizations of management and directors of the Company; and</w:t>
      </w:r>
    </w:p>
    <w:p>
      <w:pPr>
        <w:ind w:left="1020" w:right="80" w:hanging="332"/>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our chief executive officer and chief financial officer, we assessed the effectiveness of our internal control over financial reporting as of February 3, 2018, based on the criteria described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(2013), </w:t>
      </w:r>
      <w:r>
        <w:rPr>
          <w:rFonts w:ascii="Arial" w:cs="Arial" w:eastAsia="Arial" w:hAnsi="Arial"/>
          <w:sz w:val="18"/>
          <w:szCs w:val="18"/>
          <w:color w:val="auto"/>
        </w:rPr>
        <w:t>issued by the Committee of Sponsoring Organizations of the Treadway Commission (“COSO”).</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this assessment, our management concluded that our internal control over financial reporting was effective based on those criteria as of February 3, 2018.</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independent registered public accounting firm, KPMG LLP, audited the effectiveness of our internal control over financial reporting as of February 3, 2018,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audited the accompanying consolidated balance sheets of Citi Trends, Inc. and subsidiary (the Company) as of February 3, 2018 and January 28, 2017, the related consolidated statements of operations, stockholders’ equity, and cash flows for each of the years ended February 3, 2018, January 28, 2017, and January 30, 2016, and the related notes (collectively, the consolidated financial statements). In our opinion, the consolidated financial statements present fairly, in all material respects, the financial position of the Company as of February 3, 2018 and January 28, 2017, and the results of its operations and its cash flows for each of the years ended February 3, 2018, January 28, 2017, and January 30, 2016, in conformity with U.S. generally accepted accounting principles.</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February 3, 2018,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and our report dated April 18,</w:t>
      </w:r>
      <w:r>
        <w:rPr>
          <w:rFonts w:ascii="Arial" w:cs="Arial" w:eastAsia="Arial" w:hAnsi="Arial"/>
          <w:sz w:val="16"/>
          <w:szCs w:val="16"/>
          <w:i w:val="1"/>
          <w:iCs w:val="1"/>
          <w:color w:val="auto"/>
        </w:rPr>
        <w:t xml:space="preserve"> </w:t>
      </w:r>
      <w:r>
        <w:rPr>
          <w:rFonts w:ascii="Arial" w:cs="Arial" w:eastAsia="Arial" w:hAnsi="Arial"/>
          <w:sz w:val="16"/>
          <w:szCs w:val="16"/>
          <w:color w:val="auto"/>
        </w:rPr>
        <w:t>2018 expressed an unqualified opinion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audited Citi Trends, Inc. and subsidiary’s (the Company) internal control over financial reporting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February 3, 2018 and January 28, 2017, the related consolidated statements of operations, stockholders’ equity, and cash flows for each of the years ended February 3, 2018, January 28, 2017, and January 30, 2016, and the related notes (collectively, the consolidated financial statements), and our report dated April 18, 2018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2018 and January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February 3,</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28,</w:t>
            </w:r>
          </w:p>
        </w:tc>
      </w:tr>
      <w:tr>
        <w:trPr>
          <w:trHeight w:val="171"/>
        </w:trPr>
        <w:tc>
          <w:tcPr>
            <w:tcW w:w="7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798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Short-term investment securities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38,026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137,701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134,649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r>
      <w:tr>
        <w:trPr>
          <w:trHeight w:val="210"/>
        </w:trPr>
        <w:tc>
          <w:tcPr>
            <w:tcW w:w="79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233,346</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237,312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Long-term investment securities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18"/>
                <w:szCs w:val="18"/>
                <w:color w:val="auto"/>
              </w:rPr>
            </w:pPr>
          </w:p>
        </w:tc>
      </w:tr>
      <w:tr>
        <w:trPr>
          <w:trHeight w:val="217"/>
        </w:trPr>
        <w:tc>
          <w:tcPr>
            <w:tcW w:w="7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327,071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332,514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15,584</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Layaway deposits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r>
      <w:tr>
        <w:trPr>
          <w:trHeight w:val="210"/>
        </w:trPr>
        <w:tc>
          <w:tcPr>
            <w:tcW w:w="79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109,170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100,409</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00" w:type="dxa"/>
            <w:vAlign w:val="bottom"/>
            <w:shd w:val="clear" w:color="auto" w:fill="CCEEFF"/>
          </w:tcPr>
          <w:p>
            <w:pPr>
              <w:spacing w:after="0"/>
              <w:rPr>
                <w:sz w:val="18"/>
                <w:szCs w:val="18"/>
                <w:color w:val="auto"/>
              </w:rPr>
            </w:pPr>
          </w:p>
        </w:tc>
      </w:tr>
      <w:tr>
        <w:trPr>
          <w:trHeight w:val="210"/>
        </w:trPr>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117,603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108,923</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stock, $0.01 par value. Authorized 32,000,000 shares; 15,777,946 shares issued as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February 3, 2018 and 15,732,339 shares issued as of January 28, 2017; 13,743,776 shares outstanding</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of February 3, 2018 and 14,899,151 shares outstanding as of January 28, 2017</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Paid in capital</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90,605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90,036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158,927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148,585</w:t>
            </w: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ind w:left="220"/>
              <w:spacing w:after="0" w:line="201" w:lineRule="exact"/>
              <w:rPr>
                <w:sz w:val="20"/>
                <w:szCs w:val="20"/>
                <w:color w:val="auto"/>
              </w:rPr>
            </w:pPr>
            <w:r>
              <w:rPr>
                <w:rFonts w:ascii="Arial" w:cs="Arial" w:eastAsia="Arial" w:hAnsi="Arial"/>
                <w:sz w:val="18"/>
                <w:szCs w:val="18"/>
                <w:color w:val="auto"/>
                <w:w w:val="96"/>
              </w:rPr>
              <w:t>Treasury stock, at cost; 2,034,170 shares held as of February 3, 2018 and 833,188 shares held as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January 28, 2017</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(40,220)</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(15,185)</w:t>
            </w:r>
          </w:p>
        </w:tc>
      </w:tr>
      <w:tr>
        <w:trPr>
          <w:trHeight w:val="210"/>
        </w:trPr>
        <w:tc>
          <w:tcPr>
            <w:tcW w:w="7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209,468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327,071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332,514</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3, 2018, January 28, 2017, and January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Fiscal 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Fiscal 2016</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Fiscal 2015</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755,241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683,791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(466,022)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(428,167)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(416,779)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(247,062)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(230,666)</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(224,218)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Asset impairment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7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10"/>
        </w:trPr>
        <w:tc>
          <w:tcPr>
            <w:tcW w:w="710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24,314</w:t>
            </w: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(8,787)</w:t>
            </w:r>
          </w:p>
        </w:tc>
      </w:tr>
      <w:tr>
        <w:trPr>
          <w:trHeight w:val="217"/>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15,527</w:t>
            </w:r>
          </w:p>
        </w:tc>
        <w:tc>
          <w:tcPr>
            <w:tcW w:w="60" w:type="dxa"/>
            <w:vAlign w:val="bottom"/>
            <w:tcBorders>
              <w:bottom w:val="single" w:sz="8" w:color="CCEEFF"/>
            </w:tcBorders>
          </w:tcPr>
          <w:p>
            <w:pPr>
              <w:spacing w:after="0"/>
              <w:rPr>
                <w:sz w:val="18"/>
                <w:szCs w:val="18"/>
                <w:color w:val="auto"/>
              </w:rPr>
            </w:pPr>
          </w:p>
        </w:tc>
      </w:tr>
      <w:tr>
        <w:trPr>
          <w:trHeight w:val="216"/>
        </w:trPr>
        <w:tc>
          <w:tcPr>
            <w:tcW w:w="7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6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3, 2018, January 28, 2017, and January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2017</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Fiscal 2016</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2015</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14,574</w:t>
            </w:r>
          </w:p>
        </w:tc>
        <w:tc>
          <w:tcPr>
            <w:tcW w:w="80" w:type="dxa"/>
            <w:vAlign w:val="bottom"/>
          </w:tcPr>
          <w:p>
            <w:pPr>
              <w:spacing w:after="0"/>
              <w:rPr>
                <w:sz w:val="18"/>
                <w:szCs w:val="18"/>
                <w:color w:val="auto"/>
              </w:rPr>
            </w:pPr>
          </w:p>
        </w:tc>
        <w:tc>
          <w:tcPr>
            <w:tcW w:w="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13,331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15,527</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18,577</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320"/>
              <w:spacing w:after="0"/>
              <w:rPr>
                <w:sz w:val="20"/>
                <w:szCs w:val="20"/>
                <w:color w:val="auto"/>
              </w:rPr>
            </w:pPr>
            <w:r>
              <w:rPr>
                <w:rFonts w:ascii="Arial" w:cs="Arial" w:eastAsia="Arial" w:hAnsi="Arial"/>
                <w:sz w:val="18"/>
                <w:szCs w:val="18"/>
                <w:color w:val="auto"/>
              </w:rPr>
              <w:t>Insurance proceeds related to operating activities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320"/>
              <w:spacing w:after="0"/>
              <w:rPr>
                <w:sz w:val="20"/>
                <w:szCs w:val="20"/>
                <w:color w:val="auto"/>
              </w:rPr>
            </w:pPr>
            <w:r>
              <w:rPr>
                <w:rFonts w:ascii="Arial" w:cs="Arial" w:eastAsia="Arial" w:hAnsi="Arial"/>
                <w:sz w:val="18"/>
                <w:szCs w:val="18"/>
                <w:color w:val="auto"/>
              </w:rPr>
              <w:t>Excess tax benefits from stock-based payment arrangements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(1,312)</w:t>
            </w:r>
          </w:p>
        </w:tc>
      </w:tr>
      <w:tr>
        <w:trPr>
          <w:trHeight w:val="216"/>
        </w:trPr>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(5,963)</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Accrued expenses and other long-term liabilities</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(1,899)</w:t>
            </w: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Income tax payable/receivable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Layaway deposits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10"/>
        </w:trPr>
        <w:tc>
          <w:tcPr>
            <w:tcW w:w="7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39,743</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27,488</w:t>
            </w:r>
          </w:p>
        </w:tc>
        <w:tc>
          <w:tcPr>
            <w:tcW w:w="60" w:type="dxa"/>
            <w:vAlign w:val="bottom"/>
            <w:tcBorders>
              <w:bottom w:val="single" w:sz="8" w:color="CCEEFF"/>
            </w:tcBorders>
          </w:tcPr>
          <w:p>
            <w:pPr>
              <w:spacing w:after="0"/>
              <w:rPr>
                <w:sz w:val="18"/>
                <w:szCs w:val="18"/>
                <w:color w:val="auto"/>
              </w:rPr>
            </w:pPr>
          </w:p>
        </w:tc>
      </w:tr>
      <w:tr>
        <w:trPr>
          <w:trHeight w:val="210"/>
        </w:trPr>
        <w:tc>
          <w:tcPr>
            <w:tcW w:w="7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(44,882)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(44,310)</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Sales/redemptions of investment securities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19,046</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(23,932)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(19,601)</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Insurance proceeds related to investing activities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1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(24,667)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(44,865)</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7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Excess tax benefits from stock-based payment arrangements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18"/>
                <w:szCs w:val="18"/>
                <w:color w:val="auto"/>
              </w:rPr>
            </w:pPr>
          </w:p>
        </w:tc>
      </w:tr>
      <w:tr>
        <w:trPr>
          <w:trHeight w:val="202"/>
        </w:trPr>
        <w:tc>
          <w:tcPr>
            <w:tcW w:w="71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Cash used to settle withholding taxes on stock option exercises and the vesting of nonvested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(2,586)</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to stockholders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(1,797)</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(25,035)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(15,020)</w:t>
            </w:r>
          </w:p>
        </w:tc>
      </w:tr>
      <w:tr>
        <w:trPr>
          <w:trHeight w:val="210"/>
        </w:trPr>
        <w:tc>
          <w:tcPr>
            <w:tcW w:w="71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7120" w:type="dxa"/>
            <w:vAlign w:val="bottom"/>
          </w:tcPr>
          <w:p>
            <w:pPr>
              <w:ind w:left="66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(35,398)</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74,514</w:t>
            </w:r>
          </w:p>
        </w:tc>
        <w:tc>
          <w:tcPr>
            <w:tcW w:w="60" w:type="dxa"/>
            <w:vAlign w:val="bottom"/>
            <w:shd w:val="clear" w:color="auto" w:fill="CCEEFF"/>
          </w:tcPr>
          <w:p>
            <w:pPr>
              <w:spacing w:after="0"/>
              <w:rPr>
                <w:sz w:val="18"/>
                <w:szCs w:val="18"/>
                <w:color w:val="auto"/>
              </w:rPr>
            </w:pPr>
          </w:p>
        </w:tc>
      </w:tr>
      <w:tr>
        <w:trPr>
          <w:trHeight w:val="217"/>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60" w:type="dxa"/>
            <w:vAlign w:val="bottom"/>
            <w:tcBorders>
              <w:bottom w:val="single" w:sz="8" w:color="CCEEFF"/>
            </w:tcBorders>
          </w:tcPr>
          <w:p>
            <w:pPr>
              <w:spacing w:after="0"/>
              <w:rPr>
                <w:sz w:val="18"/>
                <w:szCs w:val="18"/>
                <w:color w:val="auto"/>
              </w:rPr>
            </w:pPr>
          </w:p>
        </w:tc>
      </w:tr>
      <w:tr>
        <w:trPr>
          <w:trHeight w:val="216"/>
        </w:trPr>
        <w:tc>
          <w:tcPr>
            <w:tcW w:w="7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20"/>
                <w:szCs w:val="20"/>
                <w:color w:val="auto"/>
              </w:rPr>
            </w:pPr>
          </w:p>
        </w:tc>
      </w:tr>
      <w:tr>
        <w:trPr>
          <w:trHeight w:val="210"/>
        </w:trPr>
        <w:tc>
          <w:tcPr>
            <w:tcW w:w="712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Cash payments of income taxes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2,646</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7,088</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Accrual for purchases of property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2,036</w:t>
            </w:r>
          </w:p>
        </w:tc>
        <w:tc>
          <w:tcPr>
            <w:tcW w:w="6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Years Ended February 3, 2018, January 28, 2017, and January 30, 2016</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4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31, 2015</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15,743,617</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85,598</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125,037</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165,750</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210,622</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shares and restricted stock units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Excess tax benefits from stock based payment arrangements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to employees and directors under incentive plan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68,607</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(14,591)</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4,148</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4,148</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(100,909)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(2,588)</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(2,589)</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667,438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(15,020)</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(1,839)</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(1,839)</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15,527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15,527</w:t>
            </w:r>
          </w:p>
        </w:tc>
        <w:tc>
          <w:tcPr>
            <w:tcW w:w="40" w:type="dxa"/>
            <w:vAlign w:val="bottom"/>
            <w:shd w:val="clear" w:color="auto" w:fill="CCEEFF"/>
          </w:tcPr>
          <w:p>
            <w:pPr>
              <w:spacing w:after="0"/>
              <w:rPr>
                <w:sz w:val="12"/>
                <w:szCs w:val="12"/>
                <w:color w:val="auto"/>
              </w:rPr>
            </w:pPr>
          </w:p>
        </w:tc>
      </w:tr>
      <w:tr>
        <w:trPr>
          <w:trHeight w:val="142"/>
        </w:trPr>
        <w:tc>
          <w:tcPr>
            <w:tcW w:w="5020" w:type="dxa"/>
            <w:vAlign w:val="bottom"/>
          </w:tcPr>
          <w:p>
            <w:pPr>
              <w:spacing w:after="0" w:line="142" w:lineRule="exact"/>
              <w:rPr>
                <w:sz w:val="20"/>
                <w:szCs w:val="20"/>
                <w:color w:val="auto"/>
              </w:rPr>
            </w:pPr>
            <w:r>
              <w:rPr>
                <w:rFonts w:ascii="Arial" w:cs="Arial" w:eastAsia="Arial" w:hAnsi="Arial"/>
                <w:sz w:val="14"/>
                <w:szCs w:val="14"/>
                <w:color w:val="auto"/>
              </w:rPr>
              <w:t>Balances —January 30, 2016</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15,707,859</w:t>
            </w: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154</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88,540</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138,725</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833,188</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(15,185)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212,234</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shares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Excess tax benefits from stock based payment arrangements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to employees and directors under incentive plan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134,710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(25,018)</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2,923</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(85,212)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(1,595)</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(1,596)</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(3,471)</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13,331</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13,331</w:t>
            </w:r>
          </w:p>
        </w:tc>
        <w:tc>
          <w:tcPr>
            <w:tcW w:w="40" w:type="dxa"/>
            <w:vAlign w:val="bottom"/>
          </w:tcPr>
          <w:p>
            <w:pPr>
              <w:spacing w:after="0"/>
              <w:rPr>
                <w:sz w:val="12"/>
                <w:szCs w:val="12"/>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28, 2017</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15,732,339</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90,036</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148,585</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833,188</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(15,185)</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223,591</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12,982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to employees and directors under incentive plan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118,676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(31,303)</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1,632</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(54,748)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(1,064)</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1,200,982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(25,035)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(25,035)</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(4,232)</w:t>
            </w:r>
          </w:p>
        </w:tc>
        <w:tc>
          <w:tcPr>
            <w:tcW w:w="4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14,574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14,574</w:t>
            </w:r>
          </w:p>
        </w:tc>
        <w:tc>
          <w:tcPr>
            <w:tcW w:w="40" w:type="dxa"/>
            <w:vAlign w:val="bottom"/>
            <w:shd w:val="clear" w:color="auto" w:fill="CCEEFF"/>
          </w:tcPr>
          <w:p>
            <w:pPr>
              <w:spacing w:after="0"/>
              <w:rPr>
                <w:sz w:val="12"/>
                <w:szCs w:val="12"/>
                <w:color w:val="auto"/>
              </w:rPr>
            </w:pPr>
          </w:p>
        </w:tc>
      </w:tr>
      <w:tr>
        <w:trPr>
          <w:trHeight w:val="149"/>
        </w:trPr>
        <w:tc>
          <w:tcPr>
            <w:tcW w:w="5020" w:type="dxa"/>
            <w:vAlign w:val="bottom"/>
          </w:tcPr>
          <w:p>
            <w:pPr>
              <w:spacing w:after="0" w:line="142" w:lineRule="exact"/>
              <w:rPr>
                <w:sz w:val="20"/>
                <w:szCs w:val="20"/>
                <w:color w:val="auto"/>
              </w:rPr>
            </w:pPr>
            <w:r>
              <w:rPr>
                <w:rFonts w:ascii="Arial" w:cs="Arial" w:eastAsia="Arial" w:hAnsi="Arial"/>
                <w:sz w:val="14"/>
                <w:szCs w:val="14"/>
                <w:color w:val="auto"/>
              </w:rPr>
              <w:t>Balances—February 3, 2018</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15,777,946</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156</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$ 90,605</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$ 158,927</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2,034,170</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 (40,220)</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$ 209,468</w:t>
            </w:r>
          </w:p>
        </w:tc>
        <w:tc>
          <w:tcPr>
            <w:tcW w:w="40" w:type="dxa"/>
            <w:vAlign w:val="bottom"/>
          </w:tcPr>
          <w:p>
            <w:pPr>
              <w:spacing w:after="0"/>
              <w:rPr>
                <w:sz w:val="12"/>
                <w:szCs w:val="1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60"/>
          </w:cols>
          <w:pgMar w:left="920" w:top="125" w:right="8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2018, January 28, 2017 and January 30, 2016</w:t>
      </w:r>
    </w:p>
    <w:p>
      <w:pPr>
        <w:spacing w:after="0" w:line="207" w:lineRule="exact"/>
        <w:rPr>
          <w:sz w:val="20"/>
          <w:szCs w:val="20"/>
          <w:color w:val="auto"/>
        </w:rPr>
      </w:pPr>
    </w:p>
    <w:p>
      <w:pPr>
        <w:ind w:left="480" w:hanging="480"/>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Citi Trends, Inc. and its subsidiary (the “Company”) operate as a value-priced retailer of urban fashion apparel and accessories for the entire family. As of February 3, 2018, the Company operated 549 stores in 31 states.</w:t>
      </w:r>
    </w:p>
    <w:p>
      <w:pPr>
        <w:spacing w:after="0" w:line="166" w:lineRule="exact"/>
        <w:rPr>
          <w:sz w:val="20"/>
          <w:szCs w:val="20"/>
          <w:color w:val="auto"/>
        </w:rPr>
      </w:pPr>
    </w:p>
    <w:p>
      <w:pPr>
        <w:ind w:left="480" w:hanging="480"/>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20" w:hanging="291"/>
        <w:spacing w:after="0"/>
        <w:tabs>
          <w:tab w:leader="none" w:pos="42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subsidiary. All intercompany transactions and balances have been eliminated in consolidation.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Fiscal Year</w:t>
      </w:r>
    </w:p>
    <w:p>
      <w:pPr>
        <w:spacing w:after="0" w:line="22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Company’s fiscal year ends on the Saturday closest to January 31 of each year. The years ended February 3, 2018, January 28, 2017 and January 30, 2016 are referred to as fiscal 2017, fiscal 2016 and fiscal 2015, respectively, in the accompanying consolidated financial statements. Fiscal year 2017 is comprised of 53 weeks, while fiscal years 2016 and 2015 are each comprised of 52 weeks.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Cash and Cash Equivalents/Concentration of Credit Risk</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Inventory</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Inventory is stated at the lower of cost (first-in, first-out basis) or market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Property and Equipment, net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 Impairment of Long-Lived Assets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primarily to leasehold improvements and fixtures and equipment at underperforming stores totaled $0.5 million, $0.3 million and $0.0 million in fiscal 2017, 2016 and 2015,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 Insurance Liabilities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is largely self-insured for workers’ compensation costs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 Stock-Based Compensation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recognizes compensation expense associated with all nonvested restricted stock and restricted stock units based on an estimate of the grant-date fair value of each equity award. Grants of time-based nonvested restricted stock are valued based on the closing stock price on the grant date, while grants of performance-based restricted stock units are valued at an estimate of fair market value using a lattice model. See Note 8 for additional information on the Company’s stock-based compensation plans.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Revenue Recognition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Revenue from retail sales, net of sales taxes, is recognized at the time the customer takes possession of and pays for merchandise, less an allowance for returns. The Company allows customers to return merchandise for up to thirty days after the date of sale and the Company reduces revenues for each fiscal year using a combination of actual and estimated return information for the returns in the thirty days after the year ends. The sales returns allowance and related changes were not significant for 2017 or 2016. Revenue from layaway sales is recognized when the customer has paid for and received the merchandise. If the merchandise is not fully paid for within sixty days, the customer is given a store credit for merchandise payments made, less a re-stocking and layaway service fee. Such fees, which are non-refundable, are recognized in revenue when collected. Proceeds from the sale of gift cards are deferred until the customers use the cards to purchase merchandise. No amounts have yet been amortized into income for gift cards that were sold and are not expected to be redeemed (“breakage”) due to the relative immateriality of the total gift card liability ($1.0 million as of February 3, 2018 and $0.8 million as of January 28, 2017) and requirements to escheat certain amounts to the state in which the gift card subsidiary is incorporated. All sales are from cash, check or major credit card company transactions. The Company does not offer company-sponsored customer credit accounts.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 Cost of Sales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2017, 2016 and 2015 were $17.4 million, $17.2 million and $15.7 million, respectively.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 Earnings per Share</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and stock options. During loss periods, diluted loss per share amounts are based on the weighted average number of common shares outstanding because the inclusion of common stock equivalents would be antidilutive.</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 for fiscal 2017, 2016 and 2015:</w:t>
      </w:r>
    </w:p>
    <w:tbl>
      <w:tblPr>
        <w:tblLayout w:type="fixed"/>
        <w:tblInd w:w="0" w:type="dxa"/>
        <w:tblCellMar>
          <w:top w:w="0" w:type="dxa"/>
          <w:left w:w="0" w:type="dxa"/>
          <w:bottom w:w="0" w:type="dxa"/>
          <w:right w:w="0" w:type="dxa"/>
        </w:tblCellMar>
      </w:tblPr>
      <w:tr>
        <w:trPr>
          <w:trHeight w:val="162"/>
        </w:trPr>
        <w:tc>
          <w:tcPr>
            <w:tcW w:w="6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common shares outstanding</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14,058,008</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14,656,753</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14,996,496</w:t>
            </w:r>
          </w:p>
        </w:tc>
        <w:tc>
          <w:tcPr>
            <w:tcW w:w="100" w:type="dxa"/>
            <w:vAlign w:val="bottom"/>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Incremental shares from assumed exercises of 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57,887</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58,849</w:t>
            </w:r>
          </w:p>
        </w:tc>
        <w:tc>
          <w:tcPr>
            <w:tcW w:w="100" w:type="dxa"/>
            <w:vAlign w:val="bottom"/>
            <w:shd w:val="clear" w:color="auto" w:fill="CCEEFF"/>
          </w:tcPr>
          <w:p>
            <w:pPr>
              <w:spacing w:after="0"/>
              <w:rPr>
                <w:sz w:val="18"/>
                <w:szCs w:val="18"/>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Average number of common shares and common stock equivalents outstanding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14,115,895</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14,662,272</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15,055,538</w:t>
            </w:r>
          </w:p>
        </w:tc>
        <w:tc>
          <w:tcPr>
            <w:tcW w:w="100" w:type="dxa"/>
            <w:vAlign w:val="bottom"/>
          </w:tcPr>
          <w:p>
            <w:pPr>
              <w:spacing w:after="0"/>
              <w:rPr>
                <w:sz w:val="18"/>
                <w:szCs w:val="18"/>
                <w:color w:val="auto"/>
              </w:rPr>
            </w:pPr>
          </w:p>
        </w:tc>
      </w:tr>
      <w:tr>
        <w:trPr>
          <w:trHeight w:val="864"/>
        </w:trPr>
        <w:tc>
          <w:tcPr>
            <w:tcW w:w="6400" w:type="dxa"/>
            <w:vAlign w:val="bottom"/>
          </w:tcPr>
          <w:p>
            <w:pPr>
              <w:ind w:left="4860"/>
              <w:spacing w:after="0"/>
              <w:rPr>
                <w:sz w:val="20"/>
                <w:szCs w:val="20"/>
                <w:color w:val="auto"/>
              </w:rPr>
            </w:pPr>
            <w:r>
              <w:rPr>
                <w:rFonts w:ascii="Arial" w:cs="Arial" w:eastAsia="Arial" w:hAnsi="Arial"/>
                <w:sz w:val="18"/>
                <w:szCs w:val="18"/>
                <w:color w:val="auto"/>
              </w:rPr>
              <w:t>F-10</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This method assumes that the proceeds the Company receives from the exercise of stock options are used to repurchase common shares in the market. Prior to the adoption of ASU No. 2016-09, Compensation-Stock Compensation: Improvements to Employee Share-Based Payment Accounting, in the first quarter of fiscal 2017, the Company included as assumed proceeds the amount of compensation costs attributed to future services and not yet recognized, and the amount of tax benefits, if any, that would be credited to additional paid-in capital assuming exercise of outstanding options and vesting of nonvested restricted stock. Following the adoption of ASU No. 2016-09, the assumed proceeds include only the amount of compensation costs attributed to future services and not yet recognized but does not include any tax benefits arising from the assumed exercise of outstanding options and the vesting of nonvested restricted stock. For fiscal 2017, 2016 and 2015, respectively, there were 0, 4,000 and 19,000 options outstanding to purchase shares of common stock excluded from the calculation of diluted earnings per share because of antidilution. For fiscal 2017, 2016 and 2015, respectively, there were 125,000, 237,000 and 332,000 shares of nonvested restricted stock, respectively, excluded from the calculation of diluted earnings per share because of antidilution.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 Advertising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expenses advertising as incurred. Advertising expense for fiscal 2017, 2016 and 2015 was $2.0 million, $2.5 million and $2.6 million,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 Operating Leases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leases all of its store properties and accounts for the leases as operating leases. Many lease agreements contain tenant improvement allowances, rent holidays, rent escalation clauses and/or contingent rent provisions. For purposes of recognizing incentives and minimum rent expense on a straight-line basis over the terms of the leases, the Company uses the date of initial possession to begin amortization, which is generally when the Company enters the space and begins to make improvements in preparation of intended use.</w:t>
      </w:r>
    </w:p>
    <w:p>
      <w:pPr>
        <w:spacing w:after="0" w:line="15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scheduled rent escalation clauses during the lease terms or for rental payments commencing “rent holidays” at a date other than the date of initial occupancy, the Company records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w:t>
      </w:r>
    </w:p>
    <w:p>
      <w:pPr>
        <w:spacing w:after="0" w:line="14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The Company is required to recognize a liability for the fair value of a conditional asset retirement obligation when incurred if the liability’s fair value can be reasonably estimated. The Company included a liability of $0.8 million as of February 3, 2018 and January 28, 2017 in other long-term liabilities, representing estimated expenses that would be incurred upon the termination of the Company’s operating leases</w:t>
      </w:r>
      <w:r>
        <w:rPr>
          <w:rFonts w:ascii="Arial" w:cs="Arial" w:eastAsia="Arial" w:hAnsi="Arial"/>
          <w:sz w:val="18"/>
          <w:szCs w:val="18"/>
          <w:i w:val="1"/>
          <w:iCs w:val="1"/>
          <w:color w:val="auto"/>
        </w:rPr>
        <w: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 Store Opening and Closing Costs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New and relocated store opening period costs are charged directly to expense when incurred. When the Company decides to close or relocate a store, the Company records an expense for the present value of expected future rent payments, net of sublease income, if any, in the period that a store closes or relocates. All store opening and closing costs are included in selling, general and administrative expenses.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Income Taxes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 Use of Estimates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 Business Reporting Segments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value-priced retailer of urban fashion apparel and accessories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 The Company’s merchandise assortment by classification as a percentage of net sales for fiscal 2017, 2016 and 2015 is as follows:</w:t>
      </w:r>
    </w:p>
    <w:p>
      <w:pPr>
        <w:spacing w:after="0" w:line="198"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82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w w:val="92"/>
              </w:rPr>
              <w:t>Percentage of Net Sales</w:t>
            </w:r>
          </w:p>
        </w:tc>
      </w:tr>
      <w:tr>
        <w:trPr>
          <w:trHeight w:val="142"/>
        </w:trPr>
        <w:tc>
          <w:tcPr>
            <w:tcW w:w="5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Ladies’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24 %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Men’s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 Recent Accounting Pronouncements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 Update (“ASU”) No. 2014-09, Revenue from Contracts with Customers (Topic 606) (“ASU 2014-09”). The guidance requires an entity to recognize revenue on contracts with customers relating to the transfer of promised goods or services in an amount that reflects the consideration to which the entity expects to be entitled in exchange for those goods or services. To achieve this, an entity is required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of 2015, the FASB issued ASU 2015-14 which defers the effective date of ASU 2014-09 to annual reporting periods beginning after December 15, 2017 and interim periods in the year of adoption. The Company may use either a full retrospective or modified retrospective approach to adopt these ASUs. The Company will adopt ASU 2014-09 in fiscal 2018 beginning February 4, 2018 using the modified retrospective approach. The Company’s primary source of revenue is derived from the sale of clothing and accessories to its customers with the Company’s performance obligations satisfied immediately when the customer pays for their purchase and receives the merchandise. As such, adoption of the new standard will not have a material impact on the Company’s consolidated balance sheet, results of operations or cash flows. Additionally, the Company does not anticipate significant changes to business processes, controls, systems or disclosures as a result of adopting the new standard.</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(“ASU 2015-11”). ASU 2015-11 requires entities to measure inventory at the lower of cost or net realizable value, simplifying the current requirement that inventories be measured at the lower of cost or market. The ASU does not apply to inventories that are measured using the last-in, first-out method or retail inventory method. The guidance was effective prospectively for annual periods, and interim periods within those annual periods, that began after December 15, 2016. The Company adopted ASU 2015-11 in the first quarter of 2017. As the majority of the Company's inventory is accounted for under the retail inventory method, the adoption of this guidance did not have a material impact on the Company's consolidated balance sheet,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February 2016, the FASB issued ASU No. 2016-02, Leases (“ASU 2016–02”) which replaces the existing guidance in ASC 840, Leases.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is effective for fiscal years beginning after December 15, 2018, including interim periods within those fiscal years, and requires a modified retrospective transition approach. The Company will adopt ASU 2016-02 in fiscal 2019. The Company is currently in the process of evaluating the new lease guidance to determine the ultimate impact, but anticipates the new standard will result in significant right of use assets and related liabilities associated with its operating leases. All of the Company’s retail store locations are subject to operating lease arrangements. Being party to 549 leases for individual retail locations with an average remaining contractual rent period of 3.0 years, the Company has determined that the adoption of the new lease standard will have a significant impact on the Company’s consolidated balance sheet and disclosures.</w:t>
      </w:r>
    </w:p>
    <w:p>
      <w:pPr>
        <w:spacing w:after="0" w:line="16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March 2016, the FASB issued ASU No. 2016-09, Compensation — Stock Compensation: Improvements to Employee Share-Based Payment Accounting (“ASU 2016-09”). The new guidance changes how companies account for certain aspects of share-based payments to employees. Under previous accounting guidance, tax benefits and certain tax deficiencies arising from the vesting of share-based payments were recorded in additional paid-in-capital. The new guidance requires such benefits or deficiencies to be recognized as components of income tax expense in the statement of operations. The ASU also allows election of an accounting policy whereby forfeitures of share-based payment awards are recognized as they occur, or alternatively, are accounted for on a prospective basis utilizing an estimate of expected forfeitures. Entities are required to apply the new guidance prospectively. The new standard was effective for fiscal years beginning after December 15, 2016. The Company adopted ASU 2016-09 in the first quarter of fiscal 2017 and elected to recognize the impact of forfeitures as they occur. These impacts on the Company’s consolidated balance sheet, results of operations and cash flows were immaterial. Future impacts will be dependent on the volume of vestings of restricted stock and changes in the Company's stock price.</w:t>
      </w:r>
    </w:p>
    <w:p>
      <w:pPr>
        <w:spacing w:after="0" w:line="381" w:lineRule="exact"/>
        <w:rPr>
          <w:sz w:val="20"/>
          <w:szCs w:val="20"/>
          <w:color w:val="auto"/>
        </w:rPr>
      </w:pPr>
    </w:p>
    <w:p>
      <w:pPr>
        <w:ind w:left="480" w:hanging="480"/>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as of February 3, 2018 and January 28, 2017 are as follows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w w:val="95"/>
              </w:rPr>
              <w:t>February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January 28,</w:t>
            </w:r>
          </w:p>
        </w:tc>
      </w:tr>
      <w:tr>
        <w:trPr>
          <w:trHeight w:val="185"/>
        </w:trPr>
        <w:tc>
          <w:tcPr>
            <w:tcW w:w="20" w:type="dxa"/>
            <w:vAlign w:val="bottom"/>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Buildings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118,105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(212,742)</w:t>
            </w: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480" w:hanging="480"/>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47"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2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February 3, 2018,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4"/>
              </w:rPr>
              <w:t>Obligations of the U.S. Treasury and U.S. government agencies (Level 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3, 2018 by contractual maturity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Mature in one year or less</w:t>
            </w:r>
          </w:p>
        </w:tc>
        <w:tc>
          <w:tcPr>
            <w:tcW w:w="1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8"/>
              </w:rPr>
              <w:t>31,474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8"/>
              </w:rPr>
              <w:t>25,335</w:t>
            </w:r>
          </w:p>
        </w:tc>
        <w:tc>
          <w:tcPr>
            <w:tcW w:w="80" w:type="dxa"/>
            <w:vAlign w:val="bottom"/>
            <w:tcBorders>
              <w:bottom w:val="single" w:sz="8" w:color="CCEEFF"/>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56,951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8"/>
              </w:rPr>
              <w:t>56,809</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January 28, 2017, the Company’s investment securities were classified as held-to-maturity and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3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Fair Market</w:t>
            </w:r>
          </w:p>
        </w:tc>
      </w:tr>
      <w:tr>
        <w:trPr>
          <w:trHeight w:val="185"/>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9,995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9,996</w:t>
            </w:r>
          </w:p>
        </w:tc>
        <w:tc>
          <w:tcPr>
            <w:tcW w:w="40" w:type="dxa"/>
            <w:vAlign w:val="bottom"/>
          </w:tcPr>
          <w:p>
            <w:pPr>
              <w:spacing w:after="0"/>
              <w:rPr>
                <w:sz w:val="18"/>
                <w:szCs w:val="18"/>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14,817</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Bank certificates of deposit (Level 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13,215</w:t>
            </w:r>
          </w:p>
        </w:tc>
        <w:tc>
          <w:tcPr>
            <w:tcW w:w="40" w:type="dxa"/>
            <w:vAlign w:val="bottom"/>
          </w:tcPr>
          <w:p>
            <w:pPr>
              <w:spacing w:after="0"/>
              <w:rPr>
                <w:sz w:val="18"/>
                <w:szCs w:val="18"/>
                <w:color w:val="auto"/>
              </w:rPr>
            </w:pPr>
          </w:p>
        </w:tc>
      </w:tr>
      <w:tr>
        <w:trPr>
          <w:trHeight w:val="216"/>
        </w:trPr>
        <w:tc>
          <w:tcPr>
            <w:tcW w:w="6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0"/>
        </w:trPr>
        <w:tc>
          <w:tcPr>
            <w:tcW w:w="6320" w:type="dxa"/>
            <w:vAlign w:val="bottom"/>
          </w:tcPr>
          <w:p>
            <w:pPr>
              <w:spacing w:after="0" w:line="189" w:lineRule="exact"/>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14,960</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Bank certificates of deposit (Level 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11,680</w:t>
            </w:r>
          </w:p>
        </w:tc>
        <w:tc>
          <w:tcPr>
            <w:tcW w:w="40" w:type="dxa"/>
            <w:vAlign w:val="bottom"/>
          </w:tcPr>
          <w:p>
            <w:pPr>
              <w:spacing w:after="0"/>
              <w:rPr>
                <w:sz w:val="18"/>
                <w:szCs w:val="18"/>
                <w:color w:val="auto"/>
              </w:rPr>
            </w:pPr>
          </w:p>
        </w:tc>
      </w:tr>
      <w:tr>
        <w:trPr>
          <w:trHeight w:val="203"/>
        </w:trPr>
        <w:tc>
          <w:tcPr>
            <w:tcW w:w="6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January 28, 2017 by contractual maturity were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w:t>
            </w:r>
          </w:p>
        </w:tc>
      </w:tr>
      <w:tr>
        <w:trPr>
          <w:trHeight w:val="18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Mature in one year or less</w:t>
            </w:r>
          </w:p>
        </w:tc>
        <w:tc>
          <w:tcPr>
            <w:tcW w:w="1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8"/>
              </w:rPr>
              <w:t>38,028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w w:val="98"/>
              </w:rPr>
              <w:t>26,640</w:t>
            </w:r>
          </w:p>
        </w:tc>
        <w:tc>
          <w:tcPr>
            <w:tcW w:w="60" w:type="dxa"/>
            <w:vAlign w:val="bottom"/>
            <w:tcBorders>
              <w:bottom w:val="single" w:sz="8" w:color="CCEEFF"/>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64,717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8"/>
              </w:rPr>
              <w:t>64,668</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three fiscal years ended February 3, 2018.</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Fair market values of Level 2 investments are determined by management with the assistance of a third party pricing service. Since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9" w:name="page50"/>
    <w:bookmarkEnd w:id="4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1" w:hanging="480"/>
        <w:spacing w:after="0"/>
        <w:tabs>
          <w:tab w:leader="none" w:pos="48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229" w:lineRule="exact"/>
        <w:rPr>
          <w:sz w:val="20"/>
          <w:szCs w:val="20"/>
          <w:color w:val="auto"/>
        </w:rPr>
      </w:pPr>
    </w:p>
    <w:p>
      <w:pPr>
        <w:ind w:left="1" w:right="20"/>
        <w:spacing w:after="0" w:line="286" w:lineRule="auto"/>
        <w:rPr>
          <w:sz w:val="20"/>
          <w:szCs w:val="20"/>
          <w:color w:val="auto"/>
        </w:rPr>
      </w:pPr>
      <w:r>
        <w:rPr>
          <w:rFonts w:ascii="Arial" w:cs="Arial" w:eastAsia="Arial" w:hAnsi="Arial"/>
          <w:sz w:val="16"/>
          <w:szCs w:val="16"/>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w:t>
      </w:r>
    </w:p>
    <w:p>
      <w:pPr>
        <w:spacing w:after="0" w:line="2" w:lineRule="exact"/>
        <w:rPr>
          <w:sz w:val="20"/>
          <w:szCs w:val="20"/>
          <w:color w:val="auto"/>
        </w:rPr>
      </w:pPr>
    </w:p>
    <w:p>
      <w:pPr>
        <w:ind w:left="1"/>
        <w:spacing w:after="0" w:line="288" w:lineRule="auto"/>
        <w:tabs>
          <w:tab w:leader="none" w:pos="256"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64" w:lineRule="exact"/>
        <w:rPr>
          <w:rFonts w:ascii="Arial" w:cs="Arial" w:eastAsia="Arial" w:hAnsi="Arial"/>
          <w:sz w:val="16"/>
          <w:szCs w:val="16"/>
          <w:color w:val="auto"/>
        </w:rPr>
      </w:pPr>
    </w:p>
    <w:p>
      <w:pPr>
        <w:ind w:left="481" w:hanging="481"/>
        <w:spacing w:after="0"/>
        <w:tabs>
          <w:tab w:leader="none" w:pos="48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Income tax expense for fiscal 2017, 2016 and 2015 consists of the following (in thousands):</w:t>
      </w:r>
    </w:p>
    <w:p>
      <w:pPr>
        <w:spacing w:after="0" w:line="230" w:lineRule="exact"/>
        <w:rPr>
          <w:sz w:val="20"/>
          <w:szCs w:val="20"/>
          <w:color w:val="auto"/>
        </w:rPr>
      </w:pPr>
    </w:p>
    <w:tbl>
      <w:tblPr>
        <w:tblLayout w:type="fixed"/>
        <w:tblInd w:w="1001"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(3,759)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(6,197)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(3,078)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income tax expense</w:t>
            </w: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(8,926)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 w:right="200"/>
        <w:spacing w:after="0" w:line="277" w:lineRule="auto"/>
        <w:rPr>
          <w:sz w:val="20"/>
          <w:szCs w:val="20"/>
          <w:color w:val="auto"/>
        </w:rPr>
      </w:pPr>
      <w:r>
        <w:rPr>
          <w:rFonts w:ascii="Arial" w:cs="Arial" w:eastAsia="Arial" w:hAnsi="Arial"/>
          <w:sz w:val="18"/>
          <w:szCs w:val="18"/>
          <w:color w:val="auto"/>
        </w:rPr>
        <w:t>Income tax expense computed using the federal statutory rate is reconciled to the reported income tax expense as follows for fiscal 2017, 2016 and 2015 (in thousands):</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8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r>
      <w:tr>
        <w:trPr>
          <w:trHeight w:val="210"/>
        </w:trPr>
        <w:tc>
          <w:tcPr>
            <w:tcW w:w="56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taxes</w:t>
            </w: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(7,924)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(6,773)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(8,510)</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Revaluation of net deferred tax assets due to the Tax Cuts and Jobs Act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State tax credits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186</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 valuation allowance (net of federal benefit)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Tax exempt interest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8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Excess compensation</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 based compensation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54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58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(8,926)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(8,787)</w:t>
            </w:r>
          </w:p>
        </w:tc>
        <w:tc>
          <w:tcPr>
            <w:tcW w:w="540" w:type="dxa"/>
            <w:vAlign w:val="bottom"/>
          </w:tcPr>
          <w:p>
            <w:pPr>
              <w:spacing w:after="0"/>
              <w:rPr>
                <w:sz w:val="19"/>
                <w:szCs w:val="19"/>
                <w:color w:val="auto"/>
              </w:rPr>
            </w:pPr>
          </w:p>
        </w:tc>
      </w:tr>
      <w:tr>
        <w:trPr>
          <w:trHeight w:val="851"/>
        </w:trPr>
        <w:tc>
          <w:tcPr>
            <w:tcW w:w="560" w:type="dxa"/>
            <w:vAlign w:val="bottom"/>
          </w:tcPr>
          <w:p>
            <w:pPr>
              <w:spacing w:after="0"/>
              <w:rPr>
                <w:sz w:val="24"/>
                <w:szCs w:val="24"/>
                <w:color w:val="auto"/>
              </w:rPr>
            </w:pPr>
          </w:p>
        </w:tc>
        <w:tc>
          <w:tcPr>
            <w:tcW w:w="5840" w:type="dxa"/>
            <w:vAlign w:val="bottom"/>
          </w:tcPr>
          <w:p>
            <w:pPr>
              <w:ind w:left="4300"/>
              <w:spacing w:after="0"/>
              <w:rPr>
                <w:sz w:val="20"/>
                <w:szCs w:val="20"/>
                <w:color w:val="auto"/>
              </w:rPr>
            </w:pPr>
            <w:r>
              <w:rPr>
                <w:rFonts w:ascii="Arial" w:cs="Arial" w:eastAsia="Arial" w:hAnsi="Arial"/>
                <w:sz w:val="18"/>
                <w:szCs w:val="18"/>
                <w:color w:val="auto"/>
              </w:rPr>
              <w:t>F-15</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29"/>
        </w:trPr>
        <w:tc>
          <w:tcPr>
            <w:tcW w:w="560" w:type="dxa"/>
            <w:vAlign w:val="bottom"/>
            <w:tcBorders>
              <w:bottom w:val="single" w:sz="8" w:color="auto"/>
            </w:tcBorders>
          </w:tcPr>
          <w:p>
            <w:pPr>
              <w:spacing w:after="0"/>
              <w:rPr>
                <w:sz w:val="11"/>
                <w:szCs w:val="11"/>
                <w:color w:val="auto"/>
              </w:rPr>
            </w:pPr>
          </w:p>
        </w:tc>
        <w:tc>
          <w:tcPr>
            <w:tcW w:w="58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1"/>
          </w:cols>
          <w:pgMar w:left="919" w:top="125" w:right="9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deferred tax assets and deferred tax liabilities as of February 3, 2018 and January 28, 2017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3,</w:t>
            </w:r>
          </w:p>
        </w:tc>
        <w:tc>
          <w:tcPr>
            <w:tcW w:w="1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Deferred rent amortization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558</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capitalization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Federal jobs credits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Book and tax depreciation differences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Vacation liability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tax credits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Stock compensation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expense reserve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Insurance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Subtotal deferred tax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State tax credits valuation allowance - net</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tax assets</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 tax liabilities</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asset</w:t>
            </w: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2012. The Company reviews and assesses uncertain tax positions, if any, with recognition and measurement of tax benefit based on a “more-likely-than-not” standard with respect to the ultimate outcome, regardless of whether this assessment is favorable or unfavorable. As of February 3, 2018,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8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 assets. Subsequent to 2011, the Company has continued to earn such state credits and has further adjusted the related valuation allowance. At February 3, 2018, the valuation allowance, net of federal tax benefit, totaled $1.6 million.</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effective income tax rate for fiscal 2017, 2016 and 2015 included the recognition of benefits arising from various federal and state tax credits. Under current IRS and state income tax regulations, these credits may be carried back for one year or carried forward for periods up to 20 years. The income tax benefit included $1.3 million related to such credits in fiscal 2017, $1.8 million related to such credits in fiscal 2016 and $1.2 million related to such credits in fiscal 2015.</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legislation. The legislation was effective January 1, 2018 and made significant changes to U.S. tax law including a reduction in the corporate income tax rate, changes to net operating loss carryforwards and carrybacks, and a repeal of the corporate alternative minimum tax.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51" w:name="page52"/>
    <w:bookmarkEnd w:id="51"/>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line="291" w:lineRule="auto"/>
        <w:rPr>
          <w:sz w:val="20"/>
          <w:szCs w:val="20"/>
          <w:color w:val="auto"/>
        </w:rPr>
      </w:pPr>
      <w:r>
        <w:rPr>
          <w:rFonts w:ascii="Arial" w:cs="Arial" w:eastAsia="Arial" w:hAnsi="Arial"/>
          <w:sz w:val="16"/>
          <w:szCs w:val="16"/>
          <w:color w:val="auto"/>
        </w:rPr>
        <w:t>legislation reduced the federal statutory tax rate from 35% to 21% and required corporations with fiscal years spanning periods before and after the effective date to use a blended federal tax rate for fiscal years which include January 1, 2018. As a result of the provision requiring a blended rate, the Company’s federal statutory rate was reduced from 35% to 33.7% with a commensurate reduction in income tax expense of $0.3 million for fiscal year 2017. In addition, the Company was required to revalue its deferred tax assets and liabilities to reflect the reduced federal income tax rate expected to be in effect at the time of future reversals. Such revaluation resulted in the reduction of net deferred tax assets and a charge to income tax expense in the fourth quarter of $1.9 million. The other provisions of the Tax Cuts and Jobs Act did not have a material impact on the fiscal 2017 consolidated financial statements.</w:t>
      </w:r>
    </w:p>
    <w:p>
      <w:pPr>
        <w:spacing w:after="0" w:line="163" w:lineRule="exact"/>
        <w:rPr>
          <w:sz w:val="20"/>
          <w:szCs w:val="20"/>
          <w:color w:val="auto"/>
        </w:rPr>
      </w:pPr>
    </w:p>
    <w:p>
      <w:pPr>
        <w:ind w:left="481" w:hanging="480"/>
        <w:spacing w:after="0"/>
        <w:tabs>
          <w:tab w:leader="none" w:pos="48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components of other long-term liabilities as of February 3, 2018 and January 28, 2017 are as follows (in thousands):</w:t>
      </w:r>
    </w:p>
    <w:p>
      <w:pPr>
        <w:spacing w:after="0" w:line="230" w:lineRule="exact"/>
        <w:rPr>
          <w:sz w:val="20"/>
          <w:szCs w:val="20"/>
          <w:color w:val="auto"/>
        </w:rPr>
      </w:pPr>
    </w:p>
    <w:tbl>
      <w:tblPr>
        <w:tblLayout w:type="fixed"/>
        <w:tblInd w:w="1001"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January 28,</w:t>
            </w:r>
          </w:p>
        </w:tc>
      </w:tr>
      <w:tr>
        <w:trPr>
          <w:trHeight w:val="185"/>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4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40" w:type="dxa"/>
            <w:vAlign w:val="bottom"/>
          </w:tcPr>
          <w:p>
            <w:pPr>
              <w:spacing w:after="0"/>
              <w:rPr>
                <w:sz w:val="18"/>
                <w:szCs w:val="18"/>
                <w:color w:val="auto"/>
              </w:rPr>
            </w:pPr>
          </w:p>
        </w:tc>
      </w:tr>
    </w:tbl>
    <w:p>
      <w:pPr>
        <w:spacing w:after="0" w:line="225" w:lineRule="exact"/>
        <w:rPr>
          <w:sz w:val="20"/>
          <w:szCs w:val="20"/>
          <w:color w:val="auto"/>
        </w:rPr>
      </w:pPr>
    </w:p>
    <w:p>
      <w:pPr>
        <w:ind w:left="481" w:hanging="481"/>
        <w:spacing w:after="0"/>
        <w:tabs>
          <w:tab w:leader="none" w:pos="481"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121"/>
        <w:spacing w:after="0"/>
        <w:rPr>
          <w:sz w:val="20"/>
          <w:szCs w:val="20"/>
          <w:color w:val="auto"/>
        </w:rPr>
      </w:pPr>
      <w:r>
        <w:rPr>
          <w:rFonts w:ascii="Arial" w:cs="Arial" w:eastAsia="Arial" w:hAnsi="Arial"/>
          <w:sz w:val="18"/>
          <w:szCs w:val="18"/>
          <w:i w:val="1"/>
          <w:iCs w:val="1"/>
          <w:color w:val="auto"/>
        </w:rPr>
        <w:t>Repurchases of common stock</w:t>
      </w:r>
    </w:p>
    <w:p>
      <w:pPr>
        <w:spacing w:after="0" w:line="225" w:lineRule="exact"/>
        <w:rPr>
          <w:sz w:val="20"/>
          <w:szCs w:val="20"/>
          <w:color w:val="auto"/>
        </w:rPr>
      </w:pPr>
    </w:p>
    <w:p>
      <w:pPr>
        <w:ind w:left="1" w:right="120"/>
        <w:spacing w:after="0" w:line="297" w:lineRule="auto"/>
        <w:rPr>
          <w:sz w:val="20"/>
          <w:szCs w:val="20"/>
          <w:color w:val="auto"/>
        </w:rPr>
      </w:pPr>
      <w:r>
        <w:rPr>
          <w:rFonts w:ascii="Arial" w:cs="Arial" w:eastAsia="Arial" w:hAnsi="Arial"/>
          <w:sz w:val="16"/>
          <w:szCs w:val="16"/>
          <w:color w:val="auto"/>
        </w:rPr>
        <w:t>On April 10, 2017, the Company’s Board of Directors approved a program that authorized the purchase of up to $25.0 million in shares of the Company’s common stock. During the second and third quarters of 2017, the Company repurchased 1,201,000 shares of its common stock in the open market at an aggregate cost of $25.0 million. As of February 3, 2018, there were no additional shares which could be repurchased under the 2017 repurchase program. On March 16, 2018, the Board of Directors approved the 2018 repurchase program that authorized the purchase of another $25.0 million in shares of the Company’s common stock.</w:t>
      </w:r>
    </w:p>
    <w:p>
      <w:pPr>
        <w:spacing w:after="0" w:line="158" w:lineRule="exact"/>
        <w:rPr>
          <w:sz w:val="20"/>
          <w:szCs w:val="20"/>
          <w:color w:val="auto"/>
        </w:rPr>
      </w:pPr>
    </w:p>
    <w:p>
      <w:pPr>
        <w:ind w:left="121"/>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1" w:right="180"/>
        <w:spacing w:after="0" w:line="297" w:lineRule="auto"/>
        <w:rPr>
          <w:sz w:val="20"/>
          <w:szCs w:val="20"/>
          <w:color w:val="auto"/>
        </w:rPr>
      </w:pPr>
      <w:r>
        <w:rPr>
          <w:rFonts w:ascii="Arial" w:cs="Arial" w:eastAsia="Arial" w:hAnsi="Arial"/>
          <w:sz w:val="16"/>
          <w:szCs w:val="16"/>
          <w:color w:val="auto"/>
        </w:rPr>
        <w:t>In fiscal 2017, the Company paid four quarterly dividends: $0.06 per common share on March 14, 2017, and $0.08 per common share on June 13, 2017, September 12, 2017 and December 12, 2017. In fiscal 2016, the Company paid four quarterly dividends of $0.06 per common share on March 15, 2016, June 14, 2016, September 13, 2016 and December 13, 2016. On February 13, 2018, the Company’s Board of Directors declared a dividend of $0.08 per common share, which was paid on March 20, 2018 to stockholders of record as of March 6, 2018. Any determination to declare and pay cash dividends for future quarters will be made by the Board of Directors.</w:t>
      </w:r>
    </w:p>
    <w:p>
      <w:pPr>
        <w:spacing w:after="0" w:line="158" w:lineRule="exact"/>
        <w:rPr>
          <w:sz w:val="20"/>
          <w:szCs w:val="20"/>
          <w:color w:val="auto"/>
        </w:rPr>
      </w:pPr>
    </w:p>
    <w:p>
      <w:pPr>
        <w:ind w:left="121"/>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1"/>
        <w:spacing w:after="0" w:line="312" w:lineRule="auto"/>
        <w:rPr>
          <w:sz w:val="20"/>
          <w:szCs w:val="20"/>
          <w:color w:val="auto"/>
        </w:rPr>
      </w:pPr>
      <w:r>
        <w:rPr>
          <w:rFonts w:ascii="Arial" w:cs="Arial" w:eastAsia="Arial" w:hAnsi="Arial"/>
          <w:sz w:val="16"/>
          <w:szCs w:val="16"/>
          <w:color w:val="auto"/>
        </w:rPr>
        <w:t>On April 6, 2012, the Company adopted the Citi Trends, Inc. 2012 Incentive Plan (the “2012 Plan”), which became effective upon approval by the Company’s stockholders on May 23, 2012. The 2012 Plan is a successor plan to the 2005 Citi Trends, Inc. Long-Term Incentive Plan (the “2005 Plan”), which became effective upon the consummation of the Company’s initial public offering in May 2005.</w:t>
      </w:r>
    </w:p>
    <w:p>
      <w:pPr>
        <w:spacing w:after="0" w:line="147" w:lineRule="exact"/>
        <w:rPr>
          <w:sz w:val="20"/>
          <w:szCs w:val="20"/>
          <w:color w:val="auto"/>
        </w:rPr>
      </w:pPr>
    </w:p>
    <w:p>
      <w:pPr>
        <w:jc w:val="both"/>
        <w:ind w:left="1" w:right="420"/>
        <w:spacing w:after="0" w:line="312" w:lineRule="auto"/>
        <w:rPr>
          <w:sz w:val="20"/>
          <w:szCs w:val="20"/>
          <w:color w:val="auto"/>
        </w:rPr>
      </w:pPr>
      <w:r>
        <w:rPr>
          <w:rFonts w:ascii="Arial" w:cs="Arial" w:eastAsia="Arial" w:hAnsi="Arial"/>
          <w:sz w:val="16"/>
          <w:szCs w:val="16"/>
          <w:color w:val="auto"/>
        </w:rPr>
        <w:t>The 2005 Plan provided for the grant of incentive and nonqualified options, nonvested restricted stock and other forms of stock-based compensation to key employees and directors. The 2012 Plan provides for the grant of incentive and nonqualified options, nonvested restricted stock and other forms of stock-based and cash-based compensation to key employees and directors.</w:t>
      </w:r>
    </w:p>
    <w:p>
      <w:pPr>
        <w:spacing w:after="0" w:line="147" w:lineRule="exact"/>
        <w:rPr>
          <w:sz w:val="20"/>
          <w:szCs w:val="20"/>
          <w:color w:val="auto"/>
        </w:rPr>
      </w:pPr>
    </w:p>
    <w:p>
      <w:pPr>
        <w:ind w:left="1" w:right="60"/>
        <w:spacing w:after="0" w:line="290" w:lineRule="auto"/>
        <w:rPr>
          <w:sz w:val="20"/>
          <w:szCs w:val="20"/>
          <w:color w:val="auto"/>
        </w:rPr>
      </w:pPr>
      <w:r>
        <w:rPr>
          <w:rFonts w:ascii="Arial" w:cs="Arial" w:eastAsia="Arial" w:hAnsi="Arial"/>
          <w:sz w:val="16"/>
          <w:szCs w:val="16"/>
          <w:color w:val="auto"/>
        </w:rPr>
        <w:t>Shares of time-based nonvested restricted stock granted to employees vest in either equal installments over three or four years from the date of grant, or over three years at 25% on the first and second anniversaries and 50% on the third anniversary. Shares issued to directors vest one year from the date of grant. The Company records compensation expense for grants of time-based nonvested restricted stock on a straight line basis over the requisite service period of the stock recipients which is equal to the vesting period of the stock. Total compensation cost for such stock is calculated based on the closing market price on the date of grant multiplied by the number of shares granted. The Company expects to recognize $2.2 million in future compensation expense from the grants of time-based restricted stock over the requisite service period of up to three years. Compensation costs for grants of performance-based restricted stock units (“RSUs”) are recorded in full on the date of grant using a lattice model to estimate fair market value. During</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2" w:name="page53"/>
    <w:bookmarkEnd w:id="52"/>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20"/>
        <w:spacing w:after="0" w:line="277" w:lineRule="auto"/>
        <w:rPr>
          <w:sz w:val="20"/>
          <w:szCs w:val="20"/>
          <w:color w:val="auto"/>
        </w:rPr>
      </w:pPr>
      <w:r>
        <w:rPr>
          <w:rFonts w:ascii="Arial" w:cs="Arial" w:eastAsia="Arial" w:hAnsi="Arial"/>
          <w:sz w:val="18"/>
          <w:szCs w:val="18"/>
          <w:color w:val="auto"/>
        </w:rPr>
        <w:t>fiscal 2017, 2016 and 2015, compensation expense arising from time-based nonvested restricted stock grants and performance-based RSUs totaled $1.6 million, $2.9 million and $4.1 million, respectively.</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color w:val="auto"/>
        </w:rPr>
        <w:t>A summary of activity related to time-based nonvested restricted stock grants during fiscal year 2017 is as follows:</w:t>
      </w:r>
    </w:p>
    <w:p>
      <w:pPr>
        <w:spacing w:after="0" w:line="230" w:lineRule="exact"/>
        <w:rPr>
          <w:sz w:val="20"/>
          <w:szCs w:val="20"/>
          <w:color w:val="auto"/>
        </w:rPr>
      </w:pPr>
    </w:p>
    <w:tbl>
      <w:tblPr>
        <w:tblLayout w:type="fixed"/>
        <w:tblInd w:w="1001"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217,968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118,676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February 3,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173,208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 w:right="20"/>
        <w:spacing w:after="0" w:line="276" w:lineRule="auto"/>
        <w:rPr>
          <w:sz w:val="20"/>
          <w:szCs w:val="20"/>
          <w:color w:val="auto"/>
        </w:rPr>
      </w:pPr>
      <w:r>
        <w:rPr>
          <w:rFonts w:ascii="Arial" w:cs="Arial" w:eastAsia="Arial" w:hAnsi="Arial"/>
          <w:sz w:val="17"/>
          <w:szCs w:val="17"/>
          <w:color w:val="auto"/>
        </w:rPr>
        <w:t>In March 2017, the Company granted 23,551 RSUs to two employees. The RSUs had performance vesting criteria which were based upon the closing price of the Company’s stock achieving certain thresholds. The shares vest 25% upon achieving a closing stock price for a 20 consecutive day period of $19.10; $21.70; $24.30; and $26.90, respectively. The awards expire three years from the date of grant. On the date of grant, the Company expensed $306,000 which was the estimated fair market value. One of the two employees resigned after the date of grant and forfeited their shares. Three of these thresholds were achieved in 2017.</w:t>
      </w:r>
    </w:p>
    <w:p>
      <w:pPr>
        <w:spacing w:after="0" w:line="173" w:lineRule="exact"/>
        <w:rPr>
          <w:sz w:val="20"/>
          <w:szCs w:val="20"/>
          <w:color w:val="auto"/>
        </w:rPr>
      </w:pPr>
    </w:p>
    <w:p>
      <w:pPr>
        <w:ind w:left="1" w:right="20"/>
        <w:spacing w:after="0" w:line="257" w:lineRule="auto"/>
        <w:rPr>
          <w:sz w:val="20"/>
          <w:szCs w:val="20"/>
          <w:color w:val="auto"/>
        </w:rPr>
      </w:pPr>
      <w:r>
        <w:rPr>
          <w:rFonts w:ascii="Arial" w:cs="Arial" w:eastAsia="Arial" w:hAnsi="Arial"/>
          <w:sz w:val="18"/>
          <w:szCs w:val="18"/>
          <w:color w:val="auto"/>
        </w:rPr>
        <w:t>In March 2016, the Company granted 24,816 RSUs to two employees. The RSUs had performance vesting criteria which were based upon the closing price of the Company’s stock achieving certain thresholds. The shares vest 25% upon achieving a closing stock price for a 20 consecutive day period of $20.75; $23.50; $26.25; and $29.00, respectively. The awards expire three years from the date of grant. On the date of grant, the Company expensed $238,000 which was the estimated fair market value. Three of these thresholds were achieved in 2017.</w:t>
      </w:r>
    </w:p>
    <w:p>
      <w:pPr>
        <w:spacing w:after="0" w:line="188" w:lineRule="exact"/>
        <w:rPr>
          <w:sz w:val="20"/>
          <w:szCs w:val="20"/>
          <w:color w:val="auto"/>
        </w:rPr>
      </w:pPr>
    </w:p>
    <w:p>
      <w:pPr>
        <w:ind w:left="1"/>
        <w:spacing w:after="0" w:line="257" w:lineRule="auto"/>
        <w:rPr>
          <w:sz w:val="20"/>
          <w:szCs w:val="20"/>
          <w:color w:val="auto"/>
        </w:rPr>
      </w:pPr>
      <w:r>
        <w:rPr>
          <w:rFonts w:ascii="Arial" w:cs="Arial" w:eastAsia="Arial" w:hAnsi="Arial"/>
          <w:sz w:val="18"/>
          <w:szCs w:val="18"/>
          <w:color w:val="auto"/>
        </w:rPr>
        <w:t>In March 2015, the Company granted 16,823 RSUs to two employees. The RSUs had performance vesting criteria which were based upon the closing price of the Company’s stock achieving certain thresholds. The shares vest 25% upon achieving a closing stock price for a 20 consecutive day period of $27.00; $29.25; $31.50; and $33.50, respectively. The awards expire three years from the date of grant. On the date of grant, the Company expensed $331,000 which was the estimated fair market value. None of the thresholds were achieved in 2015, 2016 or 2017.</w:t>
      </w:r>
    </w:p>
    <w:p>
      <w:pPr>
        <w:spacing w:after="0" w:line="188" w:lineRule="exact"/>
        <w:rPr>
          <w:sz w:val="20"/>
          <w:szCs w:val="20"/>
          <w:color w:val="auto"/>
        </w:rPr>
      </w:pPr>
    </w:p>
    <w:p>
      <w:pPr>
        <w:ind w:left="1" w:right="60"/>
        <w:spacing w:after="0" w:line="288" w:lineRule="auto"/>
        <w:rPr>
          <w:sz w:val="20"/>
          <w:szCs w:val="20"/>
          <w:color w:val="auto"/>
        </w:rPr>
      </w:pPr>
      <w:r>
        <w:rPr>
          <w:rFonts w:ascii="Arial" w:cs="Arial" w:eastAsia="Arial" w:hAnsi="Arial"/>
          <w:sz w:val="16"/>
          <w:szCs w:val="16"/>
          <w:color w:val="auto"/>
        </w:rPr>
        <w:t>In fiscal 2016 and 2015, tax deductions in excess of cumulative compensation cost resulting from vestings of restricted shares (“excess tax benefits”) were recorded in additional paid-in-capital and classified as financing cash flows in the Company’s consolidated statements of cash flows. Such increases in excess tax benefits amounted to $0.2 million and $1.3 million in fiscal 2016 and 2015,</w:t>
      </w:r>
    </w:p>
    <w:p>
      <w:pPr>
        <w:ind w:left="1" w:right="20"/>
        <w:spacing w:after="0" w:line="255" w:lineRule="auto"/>
        <w:rPr>
          <w:sz w:val="20"/>
          <w:szCs w:val="20"/>
          <w:color w:val="auto"/>
        </w:rPr>
      </w:pPr>
      <w:r>
        <w:rPr>
          <w:rFonts w:ascii="Arial" w:cs="Arial" w:eastAsia="Arial" w:hAnsi="Arial"/>
          <w:sz w:val="18"/>
          <w:szCs w:val="18"/>
          <w:color w:val="auto"/>
        </w:rPr>
        <w:t>respectively. Beginning in fiscal 2017, following the implementation of ASU No. 2016-09, such income tax benefits or deficiencies are being recorded as a component of income tax expense in the Company’s consolidated statement of operations. In fiscal 2017, such amount was a $70,000 benefit to income tax expense.</w:t>
      </w:r>
    </w:p>
    <w:p>
      <w:pPr>
        <w:spacing w:after="0" w:line="186" w:lineRule="exact"/>
        <w:rPr>
          <w:sz w:val="20"/>
          <w:szCs w:val="20"/>
          <w:color w:val="auto"/>
        </w:rPr>
      </w:pPr>
    </w:p>
    <w:p>
      <w:pPr>
        <w:ind w:left="481" w:hanging="481"/>
        <w:spacing w:after="0"/>
        <w:tabs>
          <w:tab w:leader="none" w:pos="481"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1" w:right="280"/>
        <w:spacing w:after="0" w:line="342" w:lineRule="auto"/>
        <w:rPr>
          <w:sz w:val="20"/>
          <w:szCs w:val="20"/>
          <w:color w:val="auto"/>
        </w:rPr>
      </w:pPr>
      <w:r>
        <w:rPr>
          <w:rFonts w:ascii="Arial" w:cs="Arial" w:eastAsia="Arial" w:hAnsi="Arial"/>
          <w:sz w:val="16"/>
          <w:szCs w:val="16"/>
          <w:color w:val="auto"/>
        </w:rPr>
        <w:t>The Company leases its stores under operating leases, which generally have an initial term of five years with renewal options. Future minimum rent payments under operating leases having noncancellable lease terms as of February 3, 2018 are as follows (in thousands):</w:t>
      </w:r>
    </w:p>
    <w:p>
      <w:pPr>
        <w:spacing w:after="0" w:line="129" w:lineRule="exact"/>
        <w:rPr>
          <w:sz w:val="20"/>
          <w:szCs w:val="20"/>
          <w:color w:val="auto"/>
        </w:rPr>
      </w:pPr>
    </w:p>
    <w:tbl>
      <w:tblPr>
        <w:tblLayout w:type="fixed"/>
        <w:tblInd w:w="2141" w:type="dxa"/>
        <w:tblCellMar>
          <w:top w:w="0" w:type="dxa"/>
          <w:left w:w="0" w:type="dxa"/>
          <w:bottom w:w="0" w:type="dxa"/>
          <w:right w:w="0" w:type="dxa"/>
        </w:tblCellMar>
      </w:tblPr>
      <w:tr>
        <w:trPr>
          <w:trHeight w:val="185"/>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149,695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 w:right="40"/>
        <w:spacing w:after="0" w:line="259" w:lineRule="auto"/>
        <w:rPr>
          <w:sz w:val="20"/>
          <w:szCs w:val="20"/>
          <w:color w:val="auto"/>
        </w:rPr>
      </w:pPr>
      <w:r>
        <w:rPr>
          <w:rFonts w:ascii="Arial" w:cs="Arial" w:eastAsia="Arial" w:hAnsi="Arial"/>
          <w:sz w:val="18"/>
          <w:szCs w:val="18"/>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 Rent expense was $53.0 million, $50.7 million and $47.1 million in fiscal 2017, 2016 and 2015 (including $0.5 million, $0.4 million and $0.5 million of contingent rent), respectively.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4" w:lineRule="exact"/>
        <w:rPr>
          <w:sz w:val="20"/>
          <w:szCs w:val="20"/>
          <w:color w:val="auto"/>
        </w:rPr>
      </w:pPr>
    </w:p>
    <w:p>
      <w:pPr>
        <w:ind w:left="560" w:hanging="560"/>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allowances for inventory shrinkage and deferred tax assets (in thousands):</w:t>
      </w: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20" w:type="dxa"/>
            <w:vAlign w:val="bottom"/>
            <w:gridSpan w:val="3"/>
          </w:tcPr>
          <w:p>
            <w:pPr>
              <w:ind w:left="1260"/>
              <w:spacing w:after="0"/>
              <w:rPr>
                <w:sz w:val="20"/>
                <w:szCs w:val="20"/>
                <w:color w:val="auto"/>
              </w:rPr>
            </w:pPr>
            <w:r>
              <w:rPr>
                <w:rFonts w:ascii="Arial" w:cs="Arial" w:eastAsia="Arial" w:hAnsi="Arial"/>
                <w:sz w:val="14"/>
                <w:szCs w:val="14"/>
                <w:b w:val="1"/>
                <w:bCs w:val="1"/>
                <w:color w:val="auto"/>
                <w:w w:val="91"/>
              </w:rPr>
              <w:t>Allowance for</w:t>
            </w: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Allowance for</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8"/>
              </w:rPr>
              <w:t>Inventory</w:t>
            </w:r>
          </w:p>
        </w:tc>
        <w:tc>
          <w:tcPr>
            <w:tcW w:w="16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Deferred Tax</w:t>
            </w: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Shrinkage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Assets</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2015</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Balance as of January 30, 2016</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Deductions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28, 2017</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Deductions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3, 2018</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the allowance for inventory shrinkage, additions charged to costs and expenses are the result of estimated inventory shrinkage, while deductions represent actual inventory shrinkage incurred from physical inventories taken during the fiscal year.</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deferred tax asset valuation allowance, additions charged to costs and expenses represent the establishment of a valuation allowance when management determines that its ability to utilize certain tax credits included in deferred tax assets is no longer more likely than not. In fiscal 2017, the Company revalued its deferred tax assets and liabilities to reflect the reduced federal income tax rate expected to be in effect at the time of future reversals including the future utilization of tax credits. Such reduction was the result of the Tax Cuts and Jobs Act tax reform legislation enacted in December 2017 which reduced the federal statutory rate from 35% to 21%. The revaluation necessitated an increase in the valuation allowance related to the future realization of state income tax credits due to the reduction of the associated federal income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5" w:right="979" w:bottom="1440" w:gutter="0" w:footer="0" w:header="0"/>
        </w:sectPr>
      </w:pPr>
    </w:p>
    <w:bookmarkStart w:id="54" w:name="page55"/>
    <w:bookmarkEnd w:id="54"/>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61" w:hanging="561"/>
        <w:spacing w:after="0"/>
        <w:tabs>
          <w:tab w:leader="none" w:pos="56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 of Operations</w:t>
      </w:r>
    </w:p>
    <w:p>
      <w:pPr>
        <w:spacing w:after="0" w:line="23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Feb. 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Oct. 28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Jul. 29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Apr. 29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Jan. 28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Oct. 29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Jul. 30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Apr.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 (1)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20" w:type="dxa"/>
            <w:vAlign w:val="bottom"/>
            <w:gridSpan w:val="13"/>
          </w:tcPr>
          <w:p>
            <w:pPr>
              <w:jc w:val="right"/>
              <w:ind w:right="608"/>
              <w:spacing w:after="0" w:line="142" w:lineRule="exact"/>
              <w:rPr>
                <w:sz w:val="20"/>
                <w:szCs w:val="20"/>
                <w:color w:val="auto"/>
              </w:rPr>
            </w:pPr>
            <w:r>
              <w:rPr>
                <w:rFonts w:ascii="Arial" w:cs="Arial" w:eastAsia="Arial" w:hAnsi="Arial"/>
                <w:sz w:val="14"/>
                <w:szCs w:val="14"/>
                <w:b w:val="1"/>
                <w:bCs w:val="1"/>
                <w:color w:val="auto"/>
              </w:rPr>
              <w:t>(in thousands, except per share and share amounts)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212,143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176,943</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166,200</w:t>
            </w:r>
          </w:p>
        </w:tc>
        <w:tc>
          <w:tcPr>
            <w:tcW w:w="180" w:type="dxa"/>
            <w:vAlign w:val="bottom"/>
            <w:gridSpan w:val="2"/>
          </w:tcPr>
          <w:p>
            <w:pPr>
              <w:jc w:val="right"/>
              <w:ind w:right="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199,955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185,511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160,716</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155,276</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193,672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Cost of sales (exclusive of depreciation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gridSpan w:val="2"/>
          </w:tcPr>
          <w:p>
            <w:pPr>
              <w:spacing w:after="0"/>
              <w:rPr>
                <w:sz w:val="20"/>
                <w:szCs w:val="20"/>
                <w:color w:val="auto"/>
              </w:rPr>
            </w:pPr>
            <w:r>
              <w:rPr>
                <w:rFonts w:ascii="Arial" w:cs="Arial" w:eastAsia="Arial" w:hAnsi="Arial"/>
                <w:sz w:val="14"/>
                <w:szCs w:val="14"/>
                <w:color w:val="auto"/>
              </w:rPr>
              <w:t>shown separately below)</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(131,363)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(110,094)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(102,175)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(122,390)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(114,822)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(100,386)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(95,150)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(117,809)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(65,623)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(59,834)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(57,637)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(4,589)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line="142" w:lineRule="exact"/>
              <w:rPr>
                <w:sz w:val="20"/>
                <w:szCs w:val="20"/>
                <w:color w:val="auto"/>
              </w:rPr>
            </w:pPr>
            <w:r>
              <w:rPr>
                <w:rFonts w:ascii="Arial" w:cs="Arial" w:eastAsia="Arial" w:hAnsi="Arial"/>
                <w:sz w:val="14"/>
                <w:szCs w:val="14"/>
                <w:color w:val="auto"/>
              </w:rPr>
              <w:t>Income (loss) from operations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9,707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12,780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(1,591)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12,867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net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(4,688)</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5,247</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8,890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5,550</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(836)</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8,737</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Net income (loss) per common share: (2)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80" w:type="dxa"/>
            <w:vAlign w:val="bottom"/>
            <w:gridSpan w:val="2"/>
          </w:tcPr>
          <w:p>
            <w:pPr>
              <w:jc w:val="right"/>
              <w:ind w:right="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top w:val="single" w:sz="8" w:color="CCEEFF"/>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480" w:type="dxa"/>
            <w:vAlign w:val="bottom"/>
            <w:gridSpan w:val="2"/>
          </w:tcPr>
          <w:p>
            <w:pPr>
              <w:spacing w:after="0"/>
              <w:rPr>
                <w:sz w:val="20"/>
                <w:szCs w:val="20"/>
                <w:color w:val="auto"/>
              </w:rPr>
            </w:pPr>
            <w:r>
              <w:rPr>
                <w:rFonts w:ascii="Arial" w:cs="Arial" w:eastAsia="Arial" w:hAnsi="Arial"/>
                <w:sz w:val="14"/>
                <w:szCs w:val="14"/>
                <w:color w:val="auto"/>
                <w:w w:val="92"/>
              </w:rPr>
              <w:t>Weighted average shares used to compute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480" w:type="dxa"/>
            <w:vAlign w:val="bottom"/>
            <w:gridSpan w:val="2"/>
          </w:tcPr>
          <w:p>
            <w:pPr>
              <w:spacing w:after="0"/>
              <w:rPr>
                <w:sz w:val="20"/>
                <w:szCs w:val="20"/>
                <w:color w:val="auto"/>
              </w:rPr>
            </w:pPr>
            <w:r>
              <w:rPr>
                <w:rFonts w:ascii="Arial" w:cs="Arial" w:eastAsia="Arial" w:hAnsi="Arial"/>
                <w:sz w:val="14"/>
                <w:szCs w:val="14"/>
                <w:color w:val="auto"/>
              </w:rPr>
              <w:t>net income (loss) per common share: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13,567,870</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13,563,295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14,381,738</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14,719,130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14,680,129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14,676,990</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14,675,712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14,594,180</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ind w:left="200"/>
              <w:spacing w:after="0" w:line="136"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9"/>
              </w:rPr>
              <w:t>13,652,330</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13,614,404</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14,381,738</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14,779,930</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14,693,008</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9"/>
              </w:rPr>
              <w:t>14,676,990</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9"/>
              </w:rPr>
              <w:t>14,675,712</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14,603,377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1" w:right="80" w:hanging="381"/>
        <w:spacing w:after="0" w:line="277" w:lineRule="auto"/>
        <w:tabs>
          <w:tab w:leader="none" w:pos="4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Fourth quarter includes the impact of the Tax Cuts and Jobs Act enacted in December 2017. See Note 6 to the consolidated financial statements for additional information.</w:t>
      </w:r>
    </w:p>
    <w:p>
      <w:pPr>
        <w:spacing w:after="0" w:line="170" w:lineRule="exact"/>
        <w:rPr>
          <w:rFonts w:ascii="Arial" w:cs="Arial" w:eastAsia="Arial" w:hAnsi="Arial"/>
          <w:sz w:val="18"/>
          <w:szCs w:val="18"/>
          <w:color w:val="auto"/>
        </w:rPr>
      </w:pPr>
    </w:p>
    <w:p>
      <w:pPr>
        <w:ind w:left="381" w:right="120" w:hanging="381"/>
        <w:spacing w:after="0" w:line="277" w:lineRule="auto"/>
        <w:tabs>
          <w:tab w:leader="none" w:pos="4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(loss) per share is computed independently for each period presented. As a result, the total of net income (loss) per share for the four quarters may not equal the annual amount.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25" w:right="8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5"/>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Subsidiary of the Registrant</w:t>
            </w: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State of</w:t>
            </w:r>
          </w:p>
        </w:tc>
        <w:tc>
          <w:tcPr>
            <w:tcW w:w="3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Names Under Which</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Incorporation</w:t>
            </w:r>
          </w:p>
        </w:tc>
        <w:tc>
          <w:tcPr>
            <w:tcW w:w="3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Subsidiary Does Business</w:t>
            </w:r>
          </w:p>
        </w:tc>
        <w:tc>
          <w:tcPr>
            <w:tcW w:w="0" w:type="dxa"/>
            <w:vAlign w:val="bottom"/>
          </w:tcPr>
          <w:p>
            <w:pPr>
              <w:spacing w:after="0"/>
              <w:rPr>
                <w:sz w:val="1"/>
                <w:szCs w:val="1"/>
                <w:color w:val="auto"/>
              </w:rPr>
            </w:pPr>
          </w:p>
        </w:tc>
      </w:tr>
      <w:tr>
        <w:trPr>
          <w:trHeight w:val="48"/>
        </w:trPr>
        <w:tc>
          <w:tcPr>
            <w:tcW w:w="32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Citi Trends Marketing Solutions, Inc.</w:t>
            </w:r>
          </w:p>
        </w:tc>
        <w:tc>
          <w:tcPr>
            <w:tcW w:w="252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90"/>
              </w:rPr>
              <w:t>Colorado</w:t>
            </w:r>
          </w:p>
        </w:tc>
        <w:tc>
          <w:tcPr>
            <w:tcW w:w="3160" w:type="dxa"/>
            <w:vAlign w:val="bottom"/>
            <w:gridSpan w:val="2"/>
            <w:shd w:val="clear" w:color="auto" w:fill="CCEEFF"/>
          </w:tcPr>
          <w:p>
            <w:pPr>
              <w:jc w:val="center"/>
              <w:ind w:right="40"/>
              <w:spacing w:after="0" w:line="176" w:lineRule="exact"/>
              <w:rPr>
                <w:sz w:val="20"/>
                <w:szCs w:val="20"/>
                <w:color w:val="auto"/>
              </w:rPr>
            </w:pPr>
            <w:r>
              <w:rPr>
                <w:rFonts w:ascii="Arial" w:cs="Arial" w:eastAsia="Arial" w:hAnsi="Arial"/>
                <w:sz w:val="18"/>
                <w:szCs w:val="18"/>
                <w:color w:val="auto"/>
                <w:w w:val="92"/>
              </w:rPr>
              <w:t>Citi Trends Marketing Solutions, Inc.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Citi Trends, Inc.:</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consent to the incorporation by reference in the registration statements (No. 333-125611 and 333-181609) on Form S-8 of Citi Trends, Inc. of our reports dated April 18, 2018, with respect to the consolidated balance sheets of Citi Trends, Inc. as of February 3, 2018 and January 28, 2017, and the related consolidated statements of operations, stockholders’ equity, and cash flows for each of the years ended February 3, 2018, January 28, 2017, and January 30, 2016, and the related notes (collectively, the “consolidated financial statements”), and the effectiveness of internal control over financial reporting as of February 3, 2018, which reports appear in the February 3, 2018 annual report on Form 10-K of Citi Trends,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03" w:lineRule="auto"/>
        <w:rPr>
          <w:sz w:val="20"/>
          <w:szCs w:val="20"/>
          <w:color w:val="auto"/>
        </w:rPr>
      </w:pPr>
      <w:r>
        <w:rPr>
          <w:rFonts w:ascii="Arial" w:cs="Arial" w:eastAsia="Arial" w:hAnsi="Arial"/>
          <w:sz w:val="18"/>
          <w:szCs w:val="18"/>
          <w:color w:val="auto"/>
        </w:rPr>
        <w:t>April 18, 2018</w:t>
      </w:r>
    </w:p>
    <w:p>
      <w:pPr>
        <w:spacing w:after="0"/>
        <w:rPr>
          <w:sz w:val="20"/>
          <w:szCs w:val="20"/>
          <w:color w:val="auto"/>
        </w:rPr>
      </w:pPr>
      <w:r>
        <w:rPr>
          <w:rFonts w:ascii="Arial" w:cs="Arial" w:eastAsia="Arial" w:hAnsi="Arial"/>
          <w:sz w:val="18"/>
          <w:szCs w:val="18"/>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17 CFR 240.13a-14</w:t>
      </w:r>
    </w:p>
    <w:p>
      <w:pPr>
        <w:jc w:val="center"/>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660" w:hanging="65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144" w:lineRule="exact"/>
        <w:rPr>
          <w:rFonts w:ascii="Arial" w:cs="Arial" w:eastAsia="Arial" w:hAnsi="Arial"/>
          <w:sz w:val="18"/>
          <w:szCs w:val="18"/>
          <w:color w:val="auto"/>
        </w:rPr>
      </w:pPr>
    </w:p>
    <w:p>
      <w:pPr>
        <w:ind w:left="660" w:right="120" w:hanging="657"/>
        <w:spacing w:after="0" w:line="22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140" w:hanging="657"/>
        <w:spacing w:after="0" w:line="22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320" w:hanging="657"/>
        <w:spacing w:after="0" w:line="23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300" w:right="360" w:hanging="649"/>
        <w:spacing w:after="0" w:line="21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60" w:hanging="649"/>
        <w:spacing w:after="0" w:line="21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300" w:right="200" w:hanging="649"/>
        <w:spacing w:after="0" w:line="22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140" w:hanging="649"/>
        <w:spacing w:after="0" w:line="21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60" w:right="260" w:hanging="657"/>
        <w:spacing w:after="0" w:line="22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140" w:hanging="649"/>
        <w:spacing w:after="0" w:line="22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20" w:hanging="649"/>
        <w:spacing w:after="0" w:line="235"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3053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Bruce D. Smith</w:t>
      </w:r>
    </w:p>
    <w:p>
      <w:pPr>
        <w:spacing w:after="0" w:line="204" w:lineRule="auto"/>
        <w:rPr>
          <w:sz w:val="20"/>
          <w:szCs w:val="20"/>
          <w:color w:val="auto"/>
        </w:rPr>
      </w:pPr>
      <w:r>
        <w:rPr>
          <w:rFonts w:ascii="Arial" w:cs="Arial" w:eastAsia="Arial" w:hAnsi="Arial"/>
          <w:sz w:val="18"/>
          <w:szCs w:val="18"/>
          <w:color w:val="auto"/>
        </w:rPr>
        <w:t>President and Chief Executive Officer</w:t>
      </w: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6114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6114415" cy="26035"/>
                    </a:xfrm>
                    <a:prstGeom prst="rect">
                      <a:avLst/>
                    </a:prstGeom>
                    <a:noFill/>
                  </pic:spPr>
                </pic:pic>
              </a:graphicData>
            </a:graphic>
          </wp:anchor>
        </w:drawing>
      </w:r>
    </w:p>
    <w:p>
      <w:pPr>
        <w:sectPr>
          <w:pgSz w:w="11900" w:h="16838" w:orient="portrait"/>
          <w:cols w:equalWidth="0" w:num="1">
            <w:col w:w="9620"/>
          </w:cols>
          <w:pgMar w:left="1140" w:top="108" w:right="1139" w:bottom="1440" w:gutter="0" w:footer="0" w:header="0"/>
        </w:sectPr>
      </w:pPr>
    </w:p>
    <w:bookmarkStart w:id="58" w:name="page59"/>
    <w:bookmarkEnd w:id="58"/>
    <w:p>
      <w:pPr>
        <w:ind w:left="888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CERTIFICATION OF PRINCIPAL FINANCIAL OFFICER PURSUANT TO 17 CFR 240.13a-14</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Stuart C. Clifford, certify that:</w:t>
      </w:r>
    </w:p>
    <w:p>
      <w:pPr>
        <w:spacing w:after="0" w:line="225" w:lineRule="exact"/>
        <w:rPr>
          <w:sz w:val="20"/>
          <w:szCs w:val="20"/>
          <w:color w:val="auto"/>
        </w:rPr>
      </w:pPr>
    </w:p>
    <w:p>
      <w:pPr>
        <w:ind w:left="760" w:hanging="656"/>
        <w:spacing w:after="0"/>
        <w:tabs>
          <w:tab w:leader="none" w:pos="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225" w:lineRule="exact"/>
        <w:rPr>
          <w:rFonts w:ascii="Arial" w:cs="Arial" w:eastAsia="Arial" w:hAnsi="Arial"/>
          <w:sz w:val="18"/>
          <w:szCs w:val="18"/>
          <w:color w:val="auto"/>
        </w:rPr>
      </w:pPr>
    </w:p>
    <w:p>
      <w:pPr>
        <w:jc w:val="both"/>
        <w:ind w:left="800" w:right="300" w:hanging="790"/>
        <w:spacing w:after="0" w:line="264"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hanging="770"/>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w:t>
      </w:r>
    </w:p>
    <w:p>
      <w:pPr>
        <w:spacing w:after="0" w:line="23" w:lineRule="exact"/>
        <w:rPr>
          <w:rFonts w:ascii="Arial" w:cs="Arial" w:eastAsia="Arial" w:hAnsi="Arial"/>
          <w:sz w:val="18"/>
          <w:szCs w:val="18"/>
          <w:color w:val="auto"/>
        </w:rPr>
      </w:pPr>
    </w:p>
    <w:p>
      <w:pPr>
        <w:ind w:left="780" w:right="820"/>
        <w:spacing w:after="0" w:line="261" w:lineRule="auto"/>
        <w:rPr>
          <w:rFonts w:ascii="Arial" w:cs="Arial" w:eastAsia="Arial" w:hAnsi="Arial"/>
          <w:sz w:val="18"/>
          <w:szCs w:val="18"/>
          <w:color w:val="auto"/>
        </w:rPr>
      </w:pPr>
      <w:r>
        <w:rPr>
          <w:rFonts w:ascii="Arial" w:cs="Arial" w:eastAsia="Arial" w:hAnsi="Arial"/>
          <w:sz w:val="18"/>
          <w:szCs w:val="18"/>
          <w:color w:val="auto"/>
        </w:rPr>
        <w:t>fairly present in all material respects the financial condition, results of operations and cash flows of the registrant as of, and for, the periods presented in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350"/>
              <w:spacing w:after="0"/>
              <w:rPr>
                <w:sz w:val="20"/>
                <w:szCs w:val="20"/>
                <w:color w:val="auto"/>
              </w:rPr>
            </w:pPr>
            <w:r>
              <w:rPr>
                <w:rFonts w:ascii="Arial" w:cs="Arial" w:eastAsia="Arial" w:hAnsi="Arial"/>
                <w:sz w:val="18"/>
                <w:szCs w:val="18"/>
                <w:color w:val="auto"/>
                <w:w w:val="79"/>
              </w:rPr>
              <w:t>4.</w:t>
            </w:r>
          </w:p>
        </w:tc>
        <w:tc>
          <w:tcPr>
            <w:tcW w:w="8960" w:type="dxa"/>
            <w:vAlign w:val="bottom"/>
          </w:tcPr>
          <w:p>
            <w:pPr>
              <w:ind w:left="420"/>
              <w:spacing w:after="0"/>
              <w:rPr>
                <w:sz w:val="20"/>
                <w:szCs w:val="20"/>
                <w:color w:val="auto"/>
              </w:rPr>
            </w:pPr>
            <w:r>
              <w:rPr>
                <w:rFonts w:ascii="Arial" w:cs="Arial" w:eastAsia="Arial" w:hAnsi="Arial"/>
                <w:sz w:val="18"/>
                <w:szCs w:val="18"/>
                <w:color w:val="auto"/>
              </w:rPr>
              <w:t>The  registrant’s  other  certifying  officer  and  I  are  responsible  for  establishing  and  maintaining</w:t>
            </w:r>
          </w:p>
        </w:tc>
      </w:tr>
      <w:tr>
        <w:trPr>
          <w:trHeight w:val="216"/>
        </w:trPr>
        <w:tc>
          <w:tcPr>
            <w:tcW w:w="58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2"/>
              </w:rPr>
              <w:t>disclosure controls and procedures (as defined in Exchange Act Rules 13a-15(e) and 15d-15(e)) and internal control</w:t>
            </w:r>
          </w:p>
        </w:tc>
      </w:tr>
      <w:tr>
        <w:trPr>
          <w:trHeight w:val="230"/>
        </w:trPr>
        <w:tc>
          <w:tcPr>
            <w:tcW w:w="580" w:type="dxa"/>
            <w:vAlign w:val="bottom"/>
          </w:tcPr>
          <w:p>
            <w:pPr>
              <w:spacing w:after="0"/>
              <w:rPr>
                <w:sz w:val="20"/>
                <w:szCs w:val="20"/>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6"/>
              </w:rPr>
              <w:t>over financial reporting (as defined in Exchange Act Rules 13a-15(f) and 15d-15(f)) for the registrant and have:</w:t>
            </w:r>
          </w:p>
        </w:tc>
      </w:tr>
    </w:tbl>
    <w:p>
      <w:pPr>
        <w:spacing w:after="0" w:line="202" w:lineRule="exact"/>
        <w:rPr>
          <w:sz w:val="20"/>
          <w:szCs w:val="20"/>
          <w:color w:val="auto"/>
        </w:rPr>
      </w:pPr>
    </w:p>
    <w:p>
      <w:pPr>
        <w:ind w:left="1140" w:hanging="1130"/>
        <w:spacing w:after="0" w:line="312"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780" w:right="640" w:hanging="770"/>
        <w:spacing w:after="0" w:line="312"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9940"/>
          </w:cols>
          <w:pgMar w:left="1040" w:top="121" w:right="91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evaluated the effectiveness of the registrant’s disclosure controls and procedures and report our conclusions about the effectiveness of the disclosure controls and procedures, as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firstLine="5"/>
        <w:spacing w:after="0" w:line="258" w:lineRule="auto"/>
        <w:rPr>
          <w:sz w:val="20"/>
          <w:szCs w:val="20"/>
          <w:color w:val="auto"/>
        </w:rPr>
      </w:pPr>
      <w:r>
        <w:rPr>
          <w:rFonts w:ascii="Arial" w:cs="Arial" w:eastAsia="Arial" w:hAnsi="Arial"/>
          <w:sz w:val="18"/>
          <w:szCs w:val="18"/>
          <w:color w:val="auto"/>
        </w:rPr>
        <w:t>presented of the end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w:t>
      </w:r>
    </w:p>
    <w:p>
      <w:pPr>
        <w:spacing w:after="0" w:line="44" w:lineRule="exact"/>
        <w:rPr>
          <w:sz w:val="20"/>
          <w:szCs w:val="20"/>
          <w:color w:val="auto"/>
        </w:rPr>
      </w:pPr>
    </w:p>
    <w:p>
      <w:pPr>
        <w:sectPr>
          <w:pgSz w:w="11900" w:h="16838" w:orient="portrait"/>
          <w:cols w:equalWidth="0" w:num="5">
            <w:col w:w="260" w:space="720"/>
            <w:col w:w="7060" w:space="100"/>
            <w:col w:w="840" w:space="20"/>
            <w:col w:w="220" w:space="60"/>
            <w:col w:w="660"/>
          </w:cols>
          <w:pgMar w:left="1040" w:top="121" w:right="91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period covered by this report based on such evaluation; and</w:t>
      </w:r>
    </w:p>
    <w:p>
      <w:pPr>
        <w:sectPr>
          <w:pgSz w:w="11900" w:h="16838" w:orient="portrait"/>
          <w:cols w:equalWidth="0" w:num="1">
            <w:col w:w="9940"/>
          </w:cols>
          <w:pgMar w:left="1040" w:top="121" w:right="919" w:bottom="1440" w:gutter="0" w:footer="0" w:header="0"/>
          <w:type w:val="continuous"/>
        </w:sectPr>
      </w:pPr>
    </w:p>
    <w:p>
      <w:pPr>
        <w:spacing w:after="0" w:line="234" w:lineRule="exact"/>
        <w:rPr>
          <w:sz w:val="20"/>
          <w:szCs w:val="20"/>
          <w:color w:val="auto"/>
        </w:rPr>
      </w:pPr>
    </w:p>
    <w:p>
      <w:pPr>
        <w:ind w:left="780" w:right="320" w:hanging="770"/>
        <w:spacing w:after="0" w:line="312"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430"/>
              <w:spacing w:after="0"/>
              <w:rPr>
                <w:sz w:val="20"/>
                <w:szCs w:val="20"/>
                <w:color w:val="auto"/>
              </w:rPr>
            </w:pPr>
            <w:r>
              <w:rPr>
                <w:rFonts w:ascii="Arial" w:cs="Arial" w:eastAsia="Arial" w:hAnsi="Arial"/>
                <w:sz w:val="18"/>
                <w:szCs w:val="18"/>
                <w:color w:val="auto"/>
                <w:w w:val="79"/>
              </w:rPr>
              <w:t>5.</w:t>
            </w:r>
          </w:p>
        </w:tc>
        <w:tc>
          <w:tcPr>
            <w:tcW w:w="8800" w:type="dxa"/>
            <w:vAlign w:val="bottom"/>
          </w:tcPr>
          <w:p>
            <w:pPr>
              <w:ind w:left="520"/>
              <w:spacing w:after="0"/>
              <w:rPr>
                <w:sz w:val="20"/>
                <w:szCs w:val="20"/>
                <w:color w:val="auto"/>
              </w:rPr>
            </w:pPr>
            <w:r>
              <w:rPr>
                <w:rFonts w:ascii="Arial" w:cs="Arial" w:eastAsia="Arial" w:hAnsi="Arial"/>
                <w:sz w:val="18"/>
                <w:szCs w:val="18"/>
                <w:color w:val="auto"/>
                <w:w w:val="98"/>
              </w:rPr>
              <w:t>The  registrant’s  other  certifying  officer  and  I  have  disclosed,  based  on  our  most  recent  evaluation</w:t>
            </w:r>
          </w:p>
        </w:tc>
      </w:tr>
      <w:tr>
        <w:trPr>
          <w:trHeight w:val="216"/>
        </w:trPr>
        <w:tc>
          <w:tcPr>
            <w:tcW w:w="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w w:val="93"/>
              </w:rPr>
              <w:t>of internal control over financial reporting, to the registrant’s auditors and the audit committee of the registrant’s</w:t>
            </w:r>
          </w:p>
        </w:tc>
      </w:tr>
      <w:tr>
        <w:trPr>
          <w:trHeight w:val="230"/>
        </w:trPr>
        <w:tc>
          <w:tcPr>
            <w:tcW w:w="660" w:type="dxa"/>
            <w:vAlign w:val="bottom"/>
          </w:tcPr>
          <w:p>
            <w:pPr>
              <w:spacing w:after="0"/>
              <w:rPr>
                <w:sz w:val="20"/>
                <w:szCs w:val="20"/>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board of directors (or persons performing the equivalent functions):</w:t>
            </w:r>
          </w:p>
        </w:tc>
      </w:tr>
    </w:tbl>
    <w:p>
      <w:pPr>
        <w:spacing w:after="0" w:line="202" w:lineRule="exact"/>
        <w:rPr>
          <w:sz w:val="20"/>
          <w:szCs w:val="20"/>
          <w:color w:val="auto"/>
        </w:rPr>
      </w:pPr>
    </w:p>
    <w:p>
      <w:pPr>
        <w:ind w:left="1140" w:hanging="1130"/>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w:t>
      </w:r>
    </w:p>
    <w:p>
      <w:pPr>
        <w:spacing w:after="0" w:line="23" w:lineRule="exact"/>
        <w:rPr>
          <w:rFonts w:ascii="Arial" w:cs="Arial" w:eastAsia="Arial" w:hAnsi="Arial"/>
          <w:sz w:val="18"/>
          <w:szCs w:val="18"/>
          <w:color w:val="auto"/>
        </w:rPr>
      </w:pPr>
    </w:p>
    <w:p>
      <w:pPr>
        <w:ind w:left="1140" w:right="1360"/>
        <w:spacing w:after="0" w:line="261" w:lineRule="auto"/>
        <w:rPr>
          <w:rFonts w:ascii="Arial" w:cs="Arial" w:eastAsia="Arial" w:hAnsi="Arial"/>
          <w:sz w:val="18"/>
          <w:szCs w:val="18"/>
          <w:color w:val="auto"/>
        </w:rPr>
      </w:pPr>
      <w:r>
        <w:rPr>
          <w:rFonts w:ascii="Arial" w:cs="Arial" w:eastAsia="Arial" w:hAnsi="Arial"/>
          <w:sz w:val="18"/>
          <w:szCs w:val="18"/>
          <w:color w:val="auto"/>
        </w:rPr>
        <w:t>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80" w:right="2300" w:hanging="87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18, 2018</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Stuart C. Clifford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-130810</wp:posOffset>
            </wp:positionV>
            <wp:extent cx="32931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623443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6234430" cy="26035"/>
                    </a:xfrm>
                    <a:prstGeom prst="rect">
                      <a:avLst/>
                    </a:prstGeom>
                    <a:noFill/>
                  </pic:spPr>
                </pic:pic>
              </a:graphicData>
            </a:graphic>
          </wp:anchor>
        </w:drawing>
      </w:r>
    </w:p>
    <w:p>
      <w:pPr>
        <w:sectPr>
          <w:pgSz w:w="11900" w:h="16838" w:orient="portrait"/>
          <w:cols w:equalWidth="0" w:num="1">
            <w:col w:w="9940"/>
          </w:cols>
          <w:pgMar w:left="1040" w:top="121" w:right="91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CERTIFICATION OF PRINCIPAL EXECUTIVE OFFICER PURSUANT TO 18 U.S.C. SECTION 1350, AS ADOPTED</w:t>
      </w: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8"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In connection with this Annual Report of Citi Trends, Inc. (the “Company”) on Form 10-K for the fiscal year ending February 3, 2018 as filed with the Securities and Exchange Commission on the date hereof (the “Report”), I, Bruce D. Smith, President and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1280" w:right="180" w:hanging="641"/>
        <w:spacing w:after="0" w:line="235"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280" w:right="300" w:hanging="641"/>
        <w:spacing w:after="0" w:line="235"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311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Bruce D. Smith</w:t>
      </w:r>
    </w:p>
    <w:p>
      <w:pPr>
        <w:spacing w:after="0" w:line="204" w:lineRule="auto"/>
        <w:rPr>
          <w:sz w:val="20"/>
          <w:szCs w:val="20"/>
          <w:color w:val="auto"/>
        </w:rPr>
      </w:pPr>
      <w:r>
        <w:rPr>
          <w:rFonts w:ascii="Arial" w:cs="Arial" w:eastAsia="Arial" w:hAnsi="Arial"/>
          <w:sz w:val="18"/>
          <w:szCs w:val="18"/>
          <w:color w:val="auto"/>
        </w:rPr>
        <w:t>President and Chief Executive Officer</w:t>
      </w:r>
    </w:p>
    <w:p>
      <w:pPr>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589153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8" w:right="1299" w:bottom="1440" w:gutter="0" w:footer="0" w:header="0"/>
        </w:sectPr>
      </w:pPr>
    </w:p>
    <w:bookmarkStart w:id="60" w:name="page61"/>
    <w:bookmarkEnd w:id="60"/>
    <w:p>
      <w:pPr>
        <w:ind w:left="8349"/>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right="11"/>
        <w:spacing w:after="0" w:line="277" w:lineRule="auto"/>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 SARBANES-OXLEY ACT OF 2002</w:t>
      </w:r>
    </w:p>
    <w:p>
      <w:pPr>
        <w:spacing w:after="0" w:line="170" w:lineRule="exact"/>
        <w:rPr>
          <w:sz w:val="20"/>
          <w:szCs w:val="20"/>
          <w:color w:val="auto"/>
        </w:rPr>
      </w:pPr>
    </w:p>
    <w:p>
      <w:pPr>
        <w:ind w:left="109"/>
        <w:spacing w:after="0"/>
        <w:rPr>
          <w:sz w:val="20"/>
          <w:szCs w:val="20"/>
          <w:color w:val="auto"/>
        </w:rPr>
      </w:pPr>
      <w:r>
        <w:rPr>
          <w:rFonts w:ascii="Arial" w:cs="Arial" w:eastAsia="Arial" w:hAnsi="Arial"/>
          <w:sz w:val="18"/>
          <w:szCs w:val="18"/>
          <w:color w:val="auto"/>
        </w:rPr>
        <w:t>In connection with this Annual Report of Citi Trends, Inc. (the “Company”) on Form 10-K for the</w:t>
      </w:r>
    </w:p>
    <w:p>
      <w:pPr>
        <w:spacing w:after="0" w:line="23" w:lineRule="exact"/>
        <w:rPr>
          <w:sz w:val="20"/>
          <w:szCs w:val="20"/>
          <w:color w:val="auto"/>
        </w:rPr>
      </w:pPr>
    </w:p>
    <w:p>
      <w:pPr>
        <w:ind w:left="109" w:right="580"/>
        <w:spacing w:after="0" w:line="255" w:lineRule="auto"/>
        <w:rPr>
          <w:sz w:val="20"/>
          <w:szCs w:val="20"/>
          <w:color w:val="auto"/>
        </w:rPr>
      </w:pPr>
      <w:r>
        <w:rPr>
          <w:rFonts w:ascii="Arial" w:cs="Arial" w:eastAsia="Arial" w:hAnsi="Arial"/>
          <w:sz w:val="18"/>
          <w:szCs w:val="18"/>
          <w:color w:val="auto"/>
        </w:rPr>
        <w:t>fiscal year ending February 3, 2018 as filed with the Securities and Exchange Commission on the date hereof (the “Report”), I, Stuart C. Clifford,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929" w:right="560" w:hanging="929"/>
        <w:spacing w:after="0" w:line="277" w:lineRule="auto"/>
        <w:tabs>
          <w:tab w:leader="none" w:pos="9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769" w:right="820" w:hanging="769"/>
        <w:spacing w:after="0" w:line="277" w:lineRule="auto"/>
        <w:tabs>
          <w:tab w:leader="none" w:pos="7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April 18,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Stuart C. Clifford</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127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9"/>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9"/>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3" w:lineRule="exact"/>
        <w:rPr>
          <w:sz w:val="20"/>
          <w:szCs w:val="20"/>
          <w:color w:val="auto"/>
        </w:rPr>
      </w:pPr>
    </w:p>
    <w:p>
      <w:pPr>
        <w:jc w:val="both"/>
        <w:ind w:left="109" w:right="900"/>
        <w:spacing w:after="0" w:line="342" w:lineRule="auto"/>
        <w:tabs>
          <w:tab w:leader="none" w:pos="3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589153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sectPr>
      <w:pgSz w:w="11900" w:h="16838" w:orient="portrait"/>
      <w:cols w:equalWidth="0" w:num="1">
        <w:col w:w="9289"/>
      </w:cols>
      <w:pgMar w:left="1311"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upperLetter"/>
      <w:start w:val="1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lvl w:ilvl="1">
      <w:lvlJc w:val="left"/>
      <w:lvlText w:val="%2"/>
      <w:numFmt w:val="decimal"/>
      <w:start w:val="10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lvl w:ilvl="1">
      <w:lvlJc w:val="left"/>
      <w:lvlText w:val="(%2)"/>
      <w:numFmt w:val="lowerLetter"/>
      <w:start w:val="1"/>
    </w:lvl>
  </w:abstractNum>
  <w:abstractNum w:abstractNumId="15">
    <w:nsid w:val="4353D0CD"/>
    <w:multiLevelType w:val="hybridMultilevel"/>
    <w:lvl w:ilvl="0">
      <w:lvlJc w:val="left"/>
      <w:lvlText w:val="(%1)"/>
      <w:numFmt w:val="decimal"/>
      <w:start w:val="3"/>
    </w:lvl>
  </w:abstractNum>
  <w:abstractNum w:abstractNumId="16">
    <w:nsid w:val="B03E0C6"/>
    <w:multiLevelType w:val="hybridMultilevel"/>
    <w:lvl w:ilvl="0">
      <w:lvlJc w:val="left"/>
      <w:lvlText w:val="(%1)"/>
      <w:numFmt w:val="decimal"/>
      <w:start w:val="4"/>
    </w:lvl>
  </w:abstractNum>
  <w:abstractNum w:abstractNumId="17">
    <w:nsid w:val="189A769B"/>
    <w:multiLevelType w:val="hybridMultilevel"/>
    <w:lvl w:ilvl="0">
      <w:lvlJc w:val="left"/>
      <w:lvlText w:val="(%1)"/>
      <w:numFmt w:val="decimal"/>
      <w:start w:val="5"/>
    </w:lvl>
  </w:abstractNum>
  <w:abstractNum w:abstractNumId="18">
    <w:nsid w:val="54E49EB4"/>
    <w:multiLevelType w:val="hybridMultilevel"/>
    <w:lvl w:ilvl="0">
      <w:lvlJc w:val="left"/>
      <w:lvlText w:val="%1"/>
      <w:numFmt w:val="decimal"/>
      <w:start w:val="1"/>
    </w:lvl>
    <w:lvl w:ilvl="1">
      <w:lvlJc w:val="left"/>
      <w:lvlText w:val="(%2)"/>
      <w:numFmt w:val="lowerLetter"/>
      <w:start w:val="2"/>
    </w:lvl>
  </w:abstractNum>
  <w:abstractNum w:abstractNumId="19">
    <w:nsid w:val="71F32454"/>
    <w:multiLevelType w:val="hybridMultilevel"/>
    <w:lvl w:ilvl="0">
      <w:lvlJc w:val="left"/>
      <w:lvlText w:val="(%1)"/>
      <w:numFmt w:val="decimal"/>
      <w:start w:val="6"/>
    </w:lvl>
    <w:lvl w:ilvl="1">
      <w:lvlJc w:val="left"/>
      <w:lvlText w:val="%2"/>
      <w:numFmt w:val="lowerLetter"/>
      <w:start w:val="1"/>
    </w:lvl>
  </w:abstractNum>
  <w:abstractNum w:abstractNumId="20">
    <w:nsid w:val="2CA88611"/>
    <w:multiLevelType w:val="hybridMultilevel"/>
    <w:lvl w:ilvl="0">
      <w:lvlJc w:val="left"/>
      <w:lvlText w:val="(%1)"/>
      <w:numFmt w:val="decimal"/>
      <w:start w:val="7"/>
    </w:lvl>
  </w:abstractNum>
  <w:abstractNum w:abstractNumId="21">
    <w:nsid w:val="836C40E"/>
    <w:multiLevelType w:val="hybridMultilevel"/>
    <w:lvl w:ilvl="0">
      <w:lvlJc w:val="left"/>
      <w:lvlText w:val="(%1)"/>
      <w:numFmt w:val="decimal"/>
      <w:start w:val="8"/>
    </w:lvl>
  </w:abstractNum>
  <w:abstractNum w:abstractNumId="22">
    <w:nsid w:val="2901D82"/>
    <w:multiLevelType w:val="hybridMultilevel"/>
    <w:lvl w:ilvl="0">
      <w:lvlJc w:val="left"/>
      <w:lvlText w:val="(%1)"/>
      <w:numFmt w:val="decimal"/>
      <w:start w:val="9"/>
    </w:lvl>
  </w:abstractNum>
  <w:abstractNum w:abstractNumId="23">
    <w:nsid w:val="3A95F874"/>
    <w:multiLevelType w:val="hybridMultilevel"/>
    <w:lvl w:ilvl="0">
      <w:lvlJc w:val="left"/>
      <w:lvlText w:val="(%1)"/>
      <w:numFmt w:val="decimal"/>
      <w:start w:val="10"/>
    </w:lvl>
  </w:abstractNum>
  <w:abstractNum w:abstractNumId="24">
    <w:nsid w:val="8138641"/>
    <w:multiLevelType w:val="hybridMultilevel"/>
    <w:lvl w:ilvl="0">
      <w:lvlJc w:val="left"/>
      <w:lvlText w:val="(%1)"/>
      <w:numFmt w:val="decimal"/>
      <w:start w:val="1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lvl w:ilvl="1">
      <w:lvlJc w:val="left"/>
      <w:lvlText w:val="(%2)"/>
      <w:numFmt w:val="lowerLetter"/>
      <w:start w:val="1"/>
    </w:lvl>
  </w:abstractNum>
  <w:abstractNum w:abstractNumId="27">
    <w:nsid w:val="737B8DDC"/>
    <w:multiLevelType w:val="hybridMultilevel"/>
    <w:lvl w:ilvl="0">
      <w:lvlJc w:val="left"/>
      <w:lvlText w:val="%1"/>
      <w:numFmt w:val="decimal"/>
      <w:start w:val="1"/>
    </w:lvl>
    <w:lvl w:ilvl="1">
      <w:lvlJc w:val="left"/>
      <w:lvlText w:val="%2."/>
      <w:numFmt w:val="decimal"/>
      <w:start w:val="1"/>
    </w:lvl>
  </w:abstractNum>
  <w:abstractNum w:abstractNumId="28">
    <w:nsid w:val="6CEAF087"/>
    <w:multiLevelType w:val="hybridMultilevel"/>
    <w:lvl w:ilvl="0">
      <w:lvlJc w:val="left"/>
      <w:lvlText w:val="%1."/>
      <w:numFmt w:val="decimal"/>
      <w:start w:val="2"/>
    </w:lvl>
    <w:lvl w:ilvl="1">
      <w:lvlJc w:val="left"/>
      <w:lvlText w:val="%2"/>
      <w:numFmt w:val="decimal"/>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4"/>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45" Type="http://schemas.openxmlformats.org/officeDocument/2006/relationships/hyperlink" Target="http://www.sec.gov/Archives/edgar/data/1318484/000110465906057184/a06-18658_1ex3d1.htm" TargetMode="External"/><Relationship Id="rId46" Type="http://schemas.openxmlformats.org/officeDocument/2006/relationships/hyperlink" Target="http://www.sec.gov/Archives/edgar/data/1318484/000110465917036273/a17-14415_1ex3d1.htm" TargetMode="External"/><Relationship Id="rId47" Type="http://schemas.openxmlformats.org/officeDocument/2006/relationships/hyperlink" Target="http://www.sec.gov/Archives/edgar/data/1318484/000110465918019577/a18-8798_1ex3d1.htm" TargetMode="External"/><Relationship Id="rId48" Type="http://schemas.openxmlformats.org/officeDocument/2006/relationships/hyperlink" Target="http://www.sec.gov/Archives/edgar/data/1318484/000095012305005222/y05802a2exv4w1.txt" TargetMode="External"/><Relationship Id="rId49" Type="http://schemas.openxmlformats.org/officeDocument/2006/relationships/hyperlink" Target="http://www.sec.gov/Archives/edgar/data/1318484/000110465908056424/a08-19275_1ex10d1.htm" TargetMode="External"/><Relationship Id="rId50" Type="http://schemas.openxmlformats.org/officeDocument/2006/relationships/hyperlink" Target="http://www.sec.gov/Archives/edgar/data/1318484/000110465908056424/a08-19275_1ex10d2.htm" TargetMode="External"/><Relationship Id="rId51" Type="http://schemas.openxmlformats.org/officeDocument/2006/relationships/hyperlink" Target="http://www.sec.gov/Archives/edgar/data/1318484/000110465907027716/a07-5988_1ex10d19.htm" TargetMode="External"/><Relationship Id="rId52" Type="http://schemas.openxmlformats.org/officeDocument/2006/relationships/hyperlink" Target="http://www.sec.gov/Archives/edgar/data/1318484/000110465907027716/a07-5988_1ex10d20.htm" TargetMode="External"/><Relationship Id="rId53" Type="http://schemas.openxmlformats.org/officeDocument/2006/relationships/hyperlink" Target="http://www.sec.gov/Archives/edgar/data/1318484/000110465907027716/a07-5988_1ex10d21.htm" TargetMode="External"/><Relationship Id="rId54" Type="http://schemas.openxmlformats.org/officeDocument/2006/relationships/hyperlink" Target="http://www.sec.gov/Archives/edgar/data/1318484/000110465908024754/a08-10806_1ex10d24.htm" TargetMode="External"/><Relationship Id="rId55" Type="http://schemas.openxmlformats.org/officeDocument/2006/relationships/hyperlink" Target="http://www.sec.gov/Archives/edgar/data/1318484/000110465907045987/a07-11374_1ex10d1.htm" TargetMode="External"/><Relationship Id="rId58" Type="http://schemas.openxmlformats.org/officeDocument/2006/relationships/hyperlink" Target="http://www.sec.gov/Archives/edgar/data/1318484/000110465909052323/a09-23752_1ex10d1.htm" TargetMode="External"/><Relationship Id="rId59" Type="http://schemas.openxmlformats.org/officeDocument/2006/relationships/hyperlink" Target="http://www.sec.gov/Archives/edgar/data/1318484/000110465909068723/a09-31281_1ex10d1.htm" TargetMode="External"/><Relationship Id="rId60" Type="http://schemas.openxmlformats.org/officeDocument/2006/relationships/hyperlink" Target="http://www.sec.gov/Archives/edgar/data/1318484/000110465909068723/a09-31281_1ex10d2.htm" TargetMode="External"/><Relationship Id="rId61" Type="http://schemas.openxmlformats.org/officeDocument/2006/relationships/hyperlink" Target="http://www.sec.gov/Archives/edgar/data/1318484/000110465912024701/a11-32493_1ex10d29.htm" TargetMode="External"/><Relationship Id="rId62" Type="http://schemas.openxmlformats.org/officeDocument/2006/relationships/hyperlink" Target="http://www.sec.gov/Archives/edgar/data/1318484/000110465911067772/a11-28294_1ex10d1.htm" TargetMode="External"/><Relationship Id="rId63" Type="http://schemas.openxmlformats.org/officeDocument/2006/relationships/hyperlink" Target="http://www.sec.gov/Archives/edgar/data/1318484/000110465912024701/a11-32493_1ex10d34.htm" TargetMode="External"/><Relationship Id="rId64" Type="http://schemas.openxmlformats.org/officeDocument/2006/relationships/hyperlink" Target="http://www.sec.gov/Archives/edgar/data/1318484/000110465912008628/a12-4616_1ex10d2.htm" TargetMode="External"/><Relationship Id="rId65" Type="http://schemas.openxmlformats.org/officeDocument/2006/relationships/hyperlink" Target="http://www.sec.gov/Archives/edgar/data/1318484/000110465912024701/a11-32493_1ex10d36.htm" TargetMode="External"/><Relationship Id="rId66" Type="http://schemas.openxmlformats.org/officeDocument/2006/relationships/hyperlink" Target="http://www.sec.gov/Archives/edgar/data/1318484/000110465912024701/a11-32493_1ex10d37.htm" TargetMode="External"/><Relationship Id="rId67" Type="http://schemas.openxmlformats.org/officeDocument/2006/relationships/hyperlink" Target="http://www.sec.gov/Archives/edgar/data/1318484/000110465912024701/a11-32493_1ex10d38.htm" TargetMode="External"/><Relationship Id="rId68" Type="http://schemas.openxmlformats.org/officeDocument/2006/relationships/hyperlink" Target="http://www.sec.gov/Archives/edgar/data/1318484/000110465912024701/a11-32493_1ex10d39.htm" TargetMode="External"/><Relationship Id="rId69" Type="http://schemas.openxmlformats.org/officeDocument/2006/relationships/hyperlink" Target="http://www.sec.gov/Archives/edgar/data/1318484/000110465912060562/a12-14842_1ex10d1.htm" TargetMode="External"/><Relationship Id="rId70" Type="http://schemas.openxmlformats.org/officeDocument/2006/relationships/hyperlink" Target="http://www.sec.gov/Archives/edgar/data/1318484/000110465912060562/a12-14842_1ex10d2.htm" TargetMode="External"/><Relationship Id="rId71" Type="http://schemas.openxmlformats.org/officeDocument/2006/relationships/hyperlink" Target="http://www.sec.gov/Archives/edgar/data/1318484/000110465912060562/a12-14842_1ex10d3.htm" TargetMode="External"/><Relationship Id="rId74" Type="http://schemas.openxmlformats.org/officeDocument/2006/relationships/hyperlink" Target="http://www.sec.gov/Archives/edgar/data/1318484/000155837017004561/ctrn-20170429ex103c7a2bd.htm" TargetMode="External"/><Relationship Id="rId75" Type="http://schemas.openxmlformats.org/officeDocument/2006/relationships/hyperlink" Target="http://www.sec.gov/Archives/edgar/data/1318484/000110465913067891/a13-15982_1ex10d1.htm" TargetMode="External"/><Relationship Id="rId76" Type="http://schemas.openxmlformats.org/officeDocument/2006/relationships/hyperlink" Target="http://www.sec.gov/Archives/edgar/data/1318484/000110465913067891/a13-15982_1ex10d2.htm" TargetMode="External"/><Relationship Id="rId77" Type="http://schemas.openxmlformats.org/officeDocument/2006/relationships/hyperlink" Target="http://www.sec.gov/Archives/edgar/data/1318484/000110465913067891/a13-15982_1ex10d3.htm" TargetMode="External"/><Relationship Id="rId78" Type="http://schemas.openxmlformats.org/officeDocument/2006/relationships/hyperlink" Target="http://www.sec.gov/Archives/edgar/data/1318484/000110465913067891/a13-15982_1ex10d4.htm" TargetMode="External"/><Relationship Id="rId79" Type="http://schemas.openxmlformats.org/officeDocument/2006/relationships/hyperlink" Target="http://www.sec.gov/Archives/edgar/data/1318484/000110465913067891/a13-15982_1ex10d5.htm" TargetMode="External"/><Relationship Id="rId80" Type="http://schemas.openxmlformats.org/officeDocument/2006/relationships/hyperlink" Target="http://www.sec.gov/Archives/edgar/data/1318484/000110465913067891/a13-15982_1ex10d6.htm" TargetMode="External"/><Relationship Id="rId81" Type="http://schemas.openxmlformats.org/officeDocument/2006/relationships/hyperlink" Target="http://www.sec.gov/Archives/edgar/data/1318484/000110465913067891/a13-15982_1ex10d7.htm" TargetMode="External"/><Relationship Id="rId82" Type="http://schemas.openxmlformats.org/officeDocument/2006/relationships/hyperlink" Target="http://www.sec.gov/Archives/edgar/data/1318484/000110465913067891/a13-15982_1ex10d8.htm" TargetMode="External"/><Relationship Id="rId83" Type="http://schemas.openxmlformats.org/officeDocument/2006/relationships/hyperlink" Target="http://www.sec.gov/Archives/edgar/data/1318484/000110465915060817/a15-18205_1ex10d1.htm" TargetMode="External"/><Relationship Id="rId84" Type="http://schemas.openxmlformats.org/officeDocument/2006/relationships/hyperlink" Target="http://www.sec.gov/Archives/edgar/data/1318484/000155837017004561/ctrn-20170429ex101238e63.htm" TargetMode="External"/><Relationship Id="rId85" Type="http://schemas.openxmlformats.org/officeDocument/2006/relationships/hyperlink" Target="http://www.sec.gov/Archives/edgar/data/1318484/000110465918018002/a18-8439_1ex10d1.htm" TargetMode="External"/><Relationship Id="rId86" Type="http://schemas.openxmlformats.org/officeDocument/2006/relationships/hyperlink" Target="http://www.sec.gov/Archives/edgar/data/1318484/000110465918018002/a18-8439_1ex10d2.htm" TargetMode="External"/><Relationship Id="rId87" Type="http://schemas.openxmlformats.org/officeDocument/2006/relationships/hyperlink" Target="http://www.sec.gov/Archives/edgar/data/1318484/000110465918018002/a18-8439_1ex10d3.htm" TargetMode="External"/><Relationship Id="rId88" Type="http://schemas.openxmlformats.org/officeDocument/2006/relationships/hyperlink" Target="http://www.sec.gov/Archives/edgar/data/1318484/000110465918018002/a18-8439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2019-12-28T22:42:59Z</dcterms:created>
  <dcterms:modified xsi:type="dcterms:W3CDTF">2019-12-28T22:42:59Z</dcterms:modified>
</cp:coreProperties>
</file>