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Citi Trends,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780" w:type="dxa"/>
            <w:vAlign w:val="bottom"/>
          </w:tcPr>
          <w:p>
            <w:pPr>
              <w:jc w:val="right"/>
              <w:ind w:right="1190"/>
              <w:spacing w:after="0"/>
              <w:rPr>
                <w:sz w:val="20"/>
                <w:szCs w:val="20"/>
                <w:color w:val="auto"/>
              </w:rPr>
            </w:pPr>
            <w:r>
              <w:rPr>
                <w:rFonts w:ascii="Times New Roman" w:cs="Times New Roman" w:eastAsia="Times New Roman" w:hAnsi="Times New Roman"/>
                <w:sz w:val="18"/>
                <w:szCs w:val="18"/>
                <w:b w:val="1"/>
                <w:bCs w:val="1"/>
                <w:color w:val="auto"/>
              </w:rPr>
              <w:t>000-41886</w:t>
            </w:r>
          </w:p>
        </w:tc>
        <w:tc>
          <w:tcPr>
            <w:tcW w:w="3940" w:type="dxa"/>
            <w:vAlign w:val="bottom"/>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rPr>
              <w:t>52-2150697</w:t>
            </w:r>
          </w:p>
        </w:tc>
      </w:tr>
      <w:tr>
        <w:trPr>
          <w:trHeight w:val="216"/>
        </w:trPr>
        <w:tc>
          <w:tcPr>
            <w:tcW w:w="4520" w:type="dxa"/>
            <w:vAlign w:val="bottom"/>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27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(Commission File Number)</w:t>
            </w:r>
          </w:p>
        </w:tc>
        <w:tc>
          <w:tcPr>
            <w:tcW w:w="39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(I.R.S. Employer Identification No.)</w:t>
            </w:r>
          </w:p>
        </w:tc>
      </w:tr>
      <w:tr>
        <w:trPr>
          <w:trHeight w:val="238"/>
        </w:trPr>
        <w:tc>
          <w:tcPr>
            <w:tcW w:w="452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w w:val="99"/>
              </w:rPr>
              <w:t>incorporation)</w:t>
            </w:r>
          </w:p>
        </w:tc>
        <w:tc>
          <w:tcPr>
            <w:tcW w:w="2780" w:type="dxa"/>
            <w:vAlign w:val="bottom"/>
          </w:tcPr>
          <w:p>
            <w:pPr>
              <w:spacing w:after="0"/>
              <w:rPr>
                <w:sz w:val="20"/>
                <w:szCs w:val="20"/>
                <w:color w:val="auto"/>
              </w:rPr>
            </w:pPr>
          </w:p>
        </w:tc>
        <w:tc>
          <w:tcPr>
            <w:tcW w:w="3940" w:type="dxa"/>
            <w:vAlign w:val="bottom"/>
          </w:tcPr>
          <w:p>
            <w:pPr>
              <w:spacing w:after="0"/>
              <w:rPr>
                <w:sz w:val="20"/>
                <w:szCs w:val="20"/>
                <w:color w:val="auto"/>
              </w:rPr>
            </w:pPr>
          </w:p>
        </w:tc>
      </w:tr>
      <w:tr>
        <w:trPr>
          <w:trHeight w:val="216"/>
        </w:trPr>
        <w:tc>
          <w:tcPr>
            <w:tcW w:w="452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tcPr>
          <w:p>
            <w:pPr>
              <w:spacing w:after="0"/>
              <w:rPr>
                <w:sz w:val="18"/>
                <w:szCs w:val="18"/>
                <w:color w:val="auto"/>
              </w:rPr>
            </w:pPr>
          </w:p>
        </w:tc>
        <w:tc>
          <w:tcPr>
            <w:tcW w:w="3940" w:type="dxa"/>
            <w:vAlign w:val="bottom"/>
            <w:tcBorders>
              <w:bottom w:val="single" w:sz="8" w:color="auto"/>
            </w:tcBorders>
          </w:tcPr>
          <w:p>
            <w:pPr>
              <w:spacing w:after="0"/>
              <w:rPr>
                <w:sz w:val="18"/>
                <w:szCs w:val="18"/>
                <w:color w:val="auto"/>
              </w:rPr>
            </w:pPr>
          </w:p>
        </w:tc>
      </w:tr>
      <w:tr>
        <w:trPr>
          <w:trHeight w:val="403"/>
        </w:trPr>
        <w:tc>
          <w:tcPr>
            <w:tcW w:w="4520" w:type="dxa"/>
            <w:vAlign w:val="bottom"/>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17 Park of Commerce Boulevard, Suite 200,</w:t>
            </w:r>
          </w:p>
        </w:tc>
        <w:tc>
          <w:tcPr>
            <w:tcW w:w="278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216"/>
        </w:trPr>
        <w:tc>
          <w:tcPr>
            <w:tcW w:w="4520" w:type="dxa"/>
            <w:vAlign w:val="bottom"/>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rPr>
              <w:t>Savannah, Georgia</w:t>
            </w:r>
          </w:p>
        </w:tc>
        <w:tc>
          <w:tcPr>
            <w:tcW w:w="2780" w:type="dxa"/>
            <w:vAlign w:val="bottom"/>
          </w:tcPr>
          <w:p>
            <w:pPr>
              <w:spacing w:after="0"/>
              <w:rPr>
                <w:sz w:val="18"/>
                <w:szCs w:val="18"/>
                <w:color w:val="auto"/>
              </w:rPr>
            </w:pPr>
          </w:p>
        </w:tc>
        <w:tc>
          <w:tcPr>
            <w:tcW w:w="3940" w:type="dxa"/>
            <w:vAlign w:val="bottom"/>
          </w:tcPr>
          <w:p>
            <w:pPr>
              <w:jc w:val="right"/>
              <w:ind w:right="2490"/>
              <w:spacing w:after="0"/>
              <w:rPr>
                <w:sz w:val="20"/>
                <w:szCs w:val="20"/>
                <w:color w:val="auto"/>
              </w:rPr>
            </w:pPr>
            <w:r>
              <w:rPr>
                <w:rFonts w:ascii="Times New Roman" w:cs="Times New Roman" w:eastAsia="Times New Roman" w:hAnsi="Times New Roman"/>
                <w:sz w:val="18"/>
                <w:szCs w:val="18"/>
                <w:b w:val="1"/>
                <w:bCs w:val="1"/>
                <w:color w:val="auto"/>
              </w:rPr>
              <w:t>31405</w:t>
            </w:r>
          </w:p>
        </w:tc>
      </w:tr>
      <w:tr>
        <w:trPr>
          <w:trHeight w:val="238"/>
        </w:trPr>
        <w:tc>
          <w:tcPr>
            <w:tcW w:w="4520" w:type="dxa"/>
            <w:vAlign w:val="bottom"/>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780" w:type="dxa"/>
            <w:vAlign w:val="bottom"/>
          </w:tcPr>
          <w:p>
            <w:pPr>
              <w:spacing w:after="0"/>
              <w:rPr>
                <w:sz w:val="20"/>
                <w:szCs w:val="20"/>
                <w:color w:val="auto"/>
              </w:rPr>
            </w:pPr>
          </w:p>
        </w:tc>
        <w:tc>
          <w:tcPr>
            <w:tcW w:w="394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Kenneth D. Seipel</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(912) 236-1561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submitted, and provide the period to which the information in this</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Form applies:</w:t>
      </w:r>
    </w:p>
    <w:p>
      <w:pPr>
        <w:spacing w:after="0" w:line="20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w:t>
      </w:r>
    </w:p>
    <w:p>
      <w:pPr>
        <w:spacing w:after="0" w:line="22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13q-1 under the Securities Exchange Act (17 CFR 240.13q-1) for the fiscal year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634365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Conflict Minerals Disclosure and Report</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Citi Trends, Inc. (the “Company”) has prepared this Conflict Minerals Disclosure for the period from January 1, 2025 to December 31, 2025, in accordance with Rule 13p-1 under the Securities Exchange Act of 1934 (the “Exchange Act”). Unless otherwise defined herein, please refer to Form SD and the Exchange Act Release No. 34-67716 for definitions of the terms used in this report.</w:t>
      </w:r>
    </w:p>
    <w:p>
      <w:pPr>
        <w:spacing w:after="0" w:line="17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conducted a Reasonable Country of Origin Inquiry (“RCOI”) that was reasonably designed to determine whether, for products potentially involving a contract to manufacture (the Company does not manufacture any products), and where such products could contain conflict minerals that are necessary to their functionality or production, any of such conflict minerals originated in the Democratic Republic of the Congo or an adjoining country (which includes Angola, Burundi, Central African Republic, the Republic of the Congo, Rwanda, South Sudan, Tanzania, Uganda, and Zambia) (together, the “Covered Countries”), or originated from recycled or scrap sources. Based on that inquiry, the Company determined that:</w:t>
      </w:r>
    </w:p>
    <w:p>
      <w:pPr>
        <w:spacing w:after="0" w:line="18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Those conflict minerals did not originate in the Covered Countries; or</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Company has no reason to believe that any necessary conflict minerals have originated in the Covered Countries.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Reasonable Country of Origin Inquiry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RCOI included:</w:t>
      </w:r>
    </w:p>
    <w:p>
      <w:pPr>
        <w:spacing w:after="0" w:line="225" w:lineRule="exact"/>
        <w:rPr>
          <w:sz w:val="20"/>
          <w:szCs w:val="20"/>
          <w:color w:val="auto"/>
        </w:rPr>
      </w:pPr>
    </w:p>
    <w:p>
      <w:pPr>
        <w:ind w:left="660" w:right="40" w:hanging="328"/>
        <w:spacing w:after="0" w:line="281" w:lineRule="auto"/>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Reviewing a list of its suppliers and products to identify merchandise the Company may have contracted to manufacture that may include conflict minerals that could be reasonably expected to be necessary to the functionality or production of the product;</w:t>
      </w:r>
    </w:p>
    <w:p>
      <w:pPr>
        <w:spacing w:after="0" w:line="162" w:lineRule="exact"/>
        <w:rPr>
          <w:rFonts w:ascii="Arial" w:cs="Arial" w:eastAsia="Arial" w:hAnsi="Arial"/>
          <w:sz w:val="18"/>
          <w:szCs w:val="18"/>
          <w:b w:val="1"/>
          <w:bCs w:val="1"/>
          <w:color w:val="auto"/>
        </w:rPr>
      </w:pPr>
    </w:p>
    <w:p>
      <w:pPr>
        <w:ind w:left="660" w:right="360" w:hanging="328"/>
        <w:spacing w:after="0" w:line="281" w:lineRule="auto"/>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Conducting a supply chain survey of identified suppliers and products, using the Responsible Minerals Initiative Conflict Minerals Reporting Template, to identify conflict mineral sourcing information; and</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Evaluating and following up on information received.</w:t>
      </w:r>
    </w:p>
    <w:p>
      <w:pPr>
        <w:spacing w:after="0" w:line="22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As a result of the measures and inquiries described above, the Company determined that none of the responses received reflected the use of conflict minerals from the Covered Countries, and no specific responses were noted that raised question regarding the validity of such responses. The Company is also not aware of any concerns associated with non-responding suppliers as relates to this determination.</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1.02</w:t>
      </w:r>
      <w:r>
        <w:rPr>
          <w:sz w:val="20"/>
          <w:szCs w:val="20"/>
          <w:color w:val="auto"/>
        </w:rPr>
        <w:tab/>
      </w:r>
      <w:r>
        <w:rPr>
          <w:rFonts w:ascii="Times New Roman" w:cs="Times New Roman" w:eastAsia="Times New Roman" w:hAnsi="Times New Roman"/>
          <w:sz w:val="18"/>
          <w:szCs w:val="18"/>
          <w:b w:val="1"/>
          <w:bCs w:val="1"/>
          <w:color w:val="auto"/>
        </w:rPr>
        <w:t>Exhibit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Resource Extraction Issuer Disclosure</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2.01</w:t>
      </w:r>
      <w:r>
        <w:rPr>
          <w:sz w:val="20"/>
          <w:szCs w:val="20"/>
          <w:color w:val="auto"/>
        </w:rPr>
        <w:tab/>
      </w:r>
      <w:r>
        <w:rPr>
          <w:rFonts w:ascii="Times New Roman" w:cs="Times New Roman" w:eastAsia="Times New Roman" w:hAnsi="Times New Roman"/>
          <w:sz w:val="18"/>
          <w:szCs w:val="18"/>
          <w:b w:val="1"/>
          <w:bCs w:val="1"/>
          <w:color w:val="auto"/>
        </w:rPr>
        <w:t>Resource Extraction Issuer Disclosure and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3.01</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May 29,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Heather Plutino</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Heather Plutino</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75"/>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2026-05-29T16:57:05Z</dcterms:created>
  <dcterms:modified xsi:type="dcterms:W3CDTF">2026-05-29T16:57:05Z</dcterms:modified>
</cp:coreProperties>
</file>