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Citi Trends,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8"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000-41886</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52-2150697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760" w:space="720"/>
            <w:col w:w="3160"/>
          </w:cols>
          <w:pgMar w:left="320" w:top="698" w:right="339" w:bottom="1440" w:gutter="0" w:footer="0" w:header="0"/>
          <w:type w:val="continuous"/>
        </w:sectPr>
      </w:pPr>
    </w:p>
    <w:p>
      <w:pPr>
        <w:spacing w:after="0" w:line="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17 Park of Commerce Boulevard, Suite 200, Savannah, Georgia</w:t>
      </w:r>
    </w:p>
    <w:p>
      <w:pPr>
        <w:spacing w:after="0" w:line="4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31405</w:t>
      </w:r>
    </w:p>
    <w:p>
      <w:pPr>
        <w:spacing w:after="0" w:line="3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200" w:space="720"/>
            <w:col w:w="3320"/>
          </w:cols>
          <w:pgMar w:left="320" w:top="69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(912) 236-1561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20" w:firstLine="8"/>
        <w:spacing w:after="0" w:line="511" w:lineRule="auto"/>
        <w:tabs>
          <w:tab w:leader="none" w:pos="2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 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CTRN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0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 2026, the Company issued a press release reporting its financial results for the first quarter ended May 2, 2026 (the “Press Release”). A copy of the Press Release is attached to this Current Report on Form 8-K (the “Current Report”) as Exhibit 99.1, the contents of which are incorporated herein solely for purposes of this Item 2.02 disclosure by this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the Press Release attached to this Current Report, is being furnished and shall not be deemed “filed” for purposes of Section 18 of the Securities Exchange Act of 1934, as amended (the “Exchange Act”), or otherwise subject to the liabilities of such section. The information in this Item 2.02, including the Press Release, shall not be incorporated by reference into any filings under the Securities Act of 1933, as amended, or the Exchange Act, except as shall be expressly set forth by specific reference in any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2,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CITI TRENDS,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Heather Plutino</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Heather Plutino</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CITITRENDS ANNOUNCES FIRST QUARTER FISCAL 2026 RESULTS</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i w:val="1"/>
          <w:iCs w:val="1"/>
          <w:color w:val="auto"/>
        </w:rPr>
        <w:t>Q1 2026 total sales increased 14.4% to $230.9 million</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 of 13.9%; Two-year stack of 23.8%</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Q1 2026 Net Income of $7.8 million; Q1 2026 adjusted EBITDA* of $13.9 million, more than double Q1 2025 results</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Company reaffirms increased 2026 adjusted EBITDA* outlook, more than doubling Fiscal 2025 results</w:t>
      </w:r>
    </w:p>
    <w:p>
      <w:pPr>
        <w:spacing w:after="0" w:line="229"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SAVANNAH, GA (June 2, 2026) — Citi Trends, Inc. (NASDAQ: CTRN), a leading off-price value retailer of apparel, accessories and home trends primarily for Black families in the United States, today reported results for the first quarter ended May 2, 2026. For purposes of comparison, unless otherwise stated, metrics in this release are compared to the 13-week quarter ended May 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Chief Executive Officer Comments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Ken Seipel, Chief Executive Officer, said: “We delivered an exceptional start to 2026, building on the momentum established last year. Comparable store sales increased 13.9%, an increase of 23.8% on a two-year basis. We delivered $7.8 million of Net Income and adjusted EBITDA* more than doubled to $13.9 million, with performance accelerated across all merchandise categories and geographies. Most importantly, our growth was driven by increased customer traffic and larger basket size, reinforcing that our customers are responding to our improved assortment, trend-right product, and compelling value. We are also encouraged by the momentum we are seeing early in the second quarter, with quarter-to-date comparable store sales growth trending in the high-single digits, upper teens on a two-year basis, which further validates that our strategy is working to drive sustainable trends in our financial performance.”</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Seipel continued, “As we move through 2026, we remain focused on three priorities: consistent execution, strong sales flow-through to profit and accelerated growth. We are strengthening our product offering, expanding our off-price and extreme value opportunities, improving operational efficiency, and deepening customer engagement through initiatives like our upcoming Insiders Club loyalty platform. We are leveraging our refined, data-driven site selection process to open 25 new stores this year, with a mix of existing and new markets. With a debt-free balance sheet, improving profitability, and strong customer momentum, we believe CITITRENDS is well positioned for sustained profitable growth and long-term shareholder value creation, giving us confidence in our increased adjusted EBITDA* projection of $35 million to $40 million this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 First Quarter 2026</w:t>
      </w:r>
    </w:p>
    <w:p>
      <w:pPr>
        <w:spacing w:after="0" w:line="225" w:lineRule="exact"/>
        <w:rPr>
          <w:sz w:val="20"/>
          <w:szCs w:val="20"/>
          <w:color w:val="auto"/>
        </w:rPr>
      </w:pPr>
    </w:p>
    <w:p>
      <w:pPr>
        <w:ind w:left="740" w:right="320" w:hanging="327"/>
        <w:spacing w:after="0" w:line="285" w:lineRule="auto"/>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sales </w:t>
      </w:r>
      <w:r>
        <w:rPr>
          <w:rFonts w:ascii="Times New Roman" w:cs="Times New Roman" w:eastAsia="Times New Roman" w:hAnsi="Times New Roman"/>
          <w:sz w:val="18"/>
          <w:szCs w:val="18"/>
          <w:color w:val="auto"/>
        </w:rPr>
        <w:t>of $230.9 million increased $29.1 million, or 14.4% vs. Q1 2025;</w:t>
      </w:r>
      <w:r>
        <w:rPr>
          <w:rFonts w:ascii="Times New Roman" w:cs="Times New Roman" w:eastAsia="Times New Roman" w:hAnsi="Times New Roman"/>
          <w:sz w:val="18"/>
          <w:szCs w:val="18"/>
          <w:b w:val="1"/>
          <w:bCs w:val="1"/>
          <w:color w:val="auto"/>
        </w:rPr>
        <w:t xml:space="preserve"> comparable store sales </w:t>
      </w:r>
      <w:r>
        <w:rPr>
          <w:rFonts w:ascii="Times New Roman" w:cs="Times New Roman" w:eastAsia="Times New Roman" w:hAnsi="Times New Roman"/>
          <w:sz w:val="18"/>
          <w:szCs w:val="18"/>
          <w:color w:val="auto"/>
        </w:rPr>
        <w:t>increased 13.9% compared to Q1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increases in both traffic and basket</w:t>
      </w:r>
    </w:p>
    <w:p>
      <w:pPr>
        <w:spacing w:after="0" w:line="155" w:lineRule="exact"/>
        <w:rPr>
          <w:rFonts w:ascii="Arial" w:cs="Arial" w:eastAsia="Arial" w:hAnsi="Arial"/>
          <w:sz w:val="18"/>
          <w:szCs w:val="18"/>
          <w:b w:val="1"/>
          <w:bCs w:val="1"/>
          <w:color w:val="auto"/>
        </w:rPr>
      </w:pPr>
    </w:p>
    <w:p>
      <w:pPr>
        <w:ind w:left="740" w:right="240" w:hanging="327"/>
        <w:spacing w:after="0" w:line="285" w:lineRule="auto"/>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of 40.0% increased 40 basis points compared to Q1 2025 due to increased merchandise margin offset by higher freight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increased fuel surcharges</w:t>
      </w:r>
    </w:p>
    <w:p>
      <w:pPr>
        <w:spacing w:after="0" w:line="155" w:lineRule="exact"/>
        <w:rPr>
          <w:rFonts w:ascii="Arial" w:cs="Arial" w:eastAsia="Arial" w:hAnsi="Arial"/>
          <w:sz w:val="18"/>
          <w:szCs w:val="18"/>
          <w:b w:val="1"/>
          <w:bCs w:val="1"/>
          <w:color w:val="auto"/>
        </w:rPr>
      </w:pPr>
    </w:p>
    <w:p>
      <w:pPr>
        <w:ind w:left="740" w:right="40" w:hanging="327"/>
        <w:spacing w:after="0" w:line="285" w:lineRule="auto"/>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SG&amp;A </w:t>
      </w:r>
      <w:r>
        <w:rPr>
          <w:rFonts w:ascii="Times New Roman" w:cs="Times New Roman" w:eastAsia="Times New Roman" w:hAnsi="Times New Roman"/>
          <w:sz w:val="18"/>
          <w:szCs w:val="18"/>
          <w:color w:val="auto"/>
        </w:rPr>
        <w:t>expense of $79.7 million, $78.3 million as adjusted*; on a rate basis, adjusted SG&amp;A* was 33.9% of sales, leveraging 250 basis points vs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year, driven by leverage of fixed costs with higher sales</w:t>
      </w:r>
    </w:p>
    <w:p>
      <w:pPr>
        <w:spacing w:after="0" w:line="155" w:lineRule="exact"/>
        <w:rPr>
          <w:rFonts w:ascii="Arial" w:cs="Arial" w:eastAsia="Arial" w:hAnsi="Arial"/>
          <w:sz w:val="18"/>
          <w:szCs w:val="18"/>
          <w:b w:val="1"/>
          <w:bCs w:val="1"/>
          <w:color w:val="auto"/>
        </w:rPr>
      </w:pPr>
    </w:p>
    <w:p>
      <w:pPr>
        <w:ind w:left="740" w:hanging="327"/>
        <w:spacing w:after="0"/>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$7.8 million, $9.2 million as adjusted*, vs. net income of $0.9 million, or adjusted net income* of $2.4 million in Q1 2025</w:t>
      </w:r>
    </w:p>
    <w:p>
      <w:pPr>
        <w:spacing w:after="0" w:line="224" w:lineRule="exact"/>
        <w:rPr>
          <w:rFonts w:ascii="Arial" w:cs="Arial" w:eastAsia="Arial" w:hAnsi="Arial"/>
          <w:sz w:val="18"/>
          <w:szCs w:val="18"/>
          <w:b w:val="1"/>
          <w:bCs w:val="1"/>
          <w:color w:val="auto"/>
        </w:rPr>
      </w:pPr>
    </w:p>
    <w:p>
      <w:pPr>
        <w:ind w:left="740" w:hanging="327"/>
        <w:spacing w:after="0"/>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$13.9 million compared to adjusted EBITDA* of $6.4 million in Q1 2025</w:t>
      </w:r>
    </w:p>
    <w:p>
      <w:pPr>
        <w:spacing w:after="0" w:line="224" w:lineRule="exact"/>
        <w:rPr>
          <w:rFonts w:ascii="Arial" w:cs="Arial" w:eastAsia="Arial" w:hAnsi="Arial"/>
          <w:sz w:val="18"/>
          <w:szCs w:val="18"/>
          <w:b w:val="1"/>
          <w:bCs w:val="1"/>
          <w:color w:val="auto"/>
        </w:rPr>
      </w:pPr>
    </w:p>
    <w:p>
      <w:pPr>
        <w:ind w:left="740" w:hanging="327"/>
        <w:spacing w:after="0"/>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Opened 2 stores, closed 1 store and remodeled 25 stores in the quarter</w:t>
      </w:r>
    </w:p>
    <w:p>
      <w:pPr>
        <w:spacing w:after="0" w:line="224" w:lineRule="exact"/>
        <w:rPr>
          <w:rFonts w:ascii="Arial" w:cs="Arial" w:eastAsia="Arial" w:hAnsi="Arial"/>
          <w:sz w:val="18"/>
          <w:szCs w:val="18"/>
          <w:b w:val="1"/>
          <w:bCs w:val="1"/>
          <w:color w:val="auto"/>
        </w:rPr>
      </w:pPr>
    </w:p>
    <w:p>
      <w:pPr>
        <w:ind w:left="740" w:hanging="327"/>
        <w:spacing w:after="0"/>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of $81.1 million at quarter-end, with no debt and no borrowings under a $75 million credit facility</w:t>
      </w:r>
    </w:p>
    <w:p>
      <w:pPr>
        <w:spacing w:after="0" w:line="224" w:lineRule="exact"/>
        <w:rPr>
          <w:rFonts w:ascii="Arial" w:cs="Arial" w:eastAsia="Arial" w:hAnsi="Arial"/>
          <w:sz w:val="18"/>
          <w:szCs w:val="18"/>
          <w:b w:val="1"/>
          <w:bCs w:val="1"/>
          <w:color w:val="auto"/>
        </w:rPr>
      </w:pPr>
    </w:p>
    <w:p>
      <w:pPr>
        <w:ind w:left="740" w:hanging="327"/>
        <w:spacing w:after="0"/>
        <w:tabs>
          <w:tab w:leader="none" w:pos="7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Merchandise inventory </w:t>
      </w:r>
      <w:r>
        <w:rPr>
          <w:rFonts w:ascii="Times New Roman" w:cs="Times New Roman" w:eastAsia="Times New Roman" w:hAnsi="Times New Roman"/>
          <w:sz w:val="18"/>
          <w:szCs w:val="18"/>
          <w:color w:val="auto"/>
        </w:rPr>
        <w:t>was $115.2 million at the end of the quarter, an increase of 4.8% vs.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Fiscal 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outlook for fiscal 2026 compared to fiscal 2025 is as follows:</w:t>
      </w:r>
    </w:p>
    <w:p>
      <w:pPr>
        <w:spacing w:after="0" w:line="225" w:lineRule="exact"/>
        <w:rPr>
          <w:sz w:val="20"/>
          <w:szCs w:val="20"/>
          <w:color w:val="auto"/>
        </w:rPr>
      </w:pPr>
    </w:p>
    <w:p>
      <w:pPr>
        <w:ind w:left="660" w:right="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Expecting comparable store sales growth in the range of 8% to 10%, implying balance-of-year comps in the high single-digits. Total sales growth is expected to be 9% to 11% for the year.</w:t>
      </w:r>
    </w:p>
    <w:p>
      <w:pPr>
        <w:spacing w:after="0" w:line="162" w:lineRule="exact"/>
        <w:rPr>
          <w:rFonts w:ascii="Arial" w:cs="Arial" w:eastAsia="Arial" w:hAnsi="Arial"/>
          <w:sz w:val="18"/>
          <w:szCs w:val="18"/>
          <w:b w:val="1"/>
          <w:bCs w:val="1"/>
          <w:color w:val="auto"/>
        </w:rPr>
      </w:pPr>
    </w:p>
    <w:p>
      <w:pPr>
        <w:ind w:left="660" w:right="12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margin is expected to expand approximately 50 to 70 basis points, lower than previous outlook due to expected continued headwinds from fuel surcharges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SG&amp;A* is expected to leverage approximately 130 to 160 basis points, higher than previous outlook of 70 to 100 basis points, due to the impact of higher sales on the fixed cost structure and ongoing disciplined expense control</w:t>
      </w:r>
    </w:p>
    <w:p>
      <w:pPr>
        <w:spacing w:after="0" w:line="162" w:lineRule="exact"/>
        <w:rPr>
          <w:rFonts w:ascii="Arial" w:cs="Arial" w:eastAsia="Arial" w:hAnsi="Arial"/>
          <w:sz w:val="18"/>
          <w:szCs w:val="18"/>
          <w:b w:val="1"/>
          <w:bCs w:val="1"/>
          <w:color w:val="auto"/>
        </w:rPr>
      </w:pPr>
    </w:p>
    <w:p>
      <w:pPr>
        <w:ind w:left="660" w:right="72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is expected to be in the range of $35 million to $40 million. Adjusted EBITDA margin* expansion is expected to be approximately 200 basis points</w:t>
      </w:r>
    </w:p>
    <w:p>
      <w:pPr>
        <w:spacing w:after="0" w:line="162" w:lineRule="exact"/>
        <w:rPr>
          <w:rFonts w:ascii="Arial" w:cs="Arial" w:eastAsia="Arial" w:hAnsi="Arial"/>
          <w:sz w:val="18"/>
          <w:szCs w:val="18"/>
          <w:b w:val="1"/>
          <w:bCs w:val="1"/>
          <w:color w:val="auto"/>
        </w:rPr>
      </w:pPr>
    </w:p>
    <w:p>
      <w:pPr>
        <w:ind w:left="660" w:right="4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the year, the Company’s real estate plans remain unchanged with plans to open approximately 25 new stores, remodel approximately 50 stores, and close 4 stores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Capital expenditures are expected to be in the range of $35 million to $40 million, consistent with previous outlook, with the majority of the spend on new stores and remodels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Investor Conference Call and Webcast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CITITRENDS will host a conference call today at 9:00 a.m. ET. The live broadcast of CITITRENDS’ conference call will be available online at the Company’s Investor Relations website, www.ir.</w:t>
      </w:r>
      <w:r>
        <w:rPr>
          <w:rFonts w:ascii="Times New Roman" w:cs="Times New Roman" w:eastAsia="Times New Roman" w:hAnsi="Times New Roman"/>
          <w:sz w:val="18"/>
          <w:szCs w:val="18"/>
          <w:u w:val="single" w:color="auto"/>
          <w:color w:val="auto"/>
        </w:rPr>
        <w:t>cititrends.com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beginning today at 9:00 a.m. ET. The online replay will follow shortly after the call and will be available for replay for one year.</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live conference call can also be accessed by dialing (877) 407-0779. A replay of the conference call will be available until June 9, 2026, by dialing (844) 512-2921 and entering the passcode,13760258.</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conference call, the Company may discuss and answer questions concerning business and financial developments and trends that have occurred after quarter-end. The Company’s responses to questions, as well as other matters discussed during the call, may contain or constitute information that has not been disclosed previously.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Financial Measures</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historical non-GAAP financial measures discussed herein are reconciled to their corresponding GAAP measures at the end of this press release. The Company is unable to provide a full reconciliation of the forward-looking non-GAAP financial measures above without unreasonable effort because it is not possible to predict certain of the adjustment items with a reasonable degree of certainty. This information is dependent upon future events and may be outside of the Company’ control and its unavailability could have a significant impact on its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CITITRENDS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 xml:space="preserve">Citi Trends, Inc. is a leading off-price value retailer of apparel, accessories and home trends primarily for Black families in the United States. The Company operates 591 stores located in 33 states. For more information, visit </w:t>
      </w:r>
      <w:r>
        <w:rPr>
          <w:rFonts w:ascii="Times New Roman" w:cs="Times New Roman" w:eastAsia="Times New Roman" w:hAnsi="Times New Roman"/>
          <w:sz w:val="18"/>
          <w:szCs w:val="18"/>
          <w:u w:val="single" w:color="auto"/>
          <w:color w:val="auto"/>
        </w:rPr>
        <w:t>cititrends.com</w:t>
      </w:r>
      <w:r>
        <w:rPr>
          <w:rFonts w:ascii="Times New Roman" w:cs="Times New Roman" w:eastAsia="Times New Roman" w:hAnsi="Times New Roman"/>
          <w:sz w:val="18"/>
          <w:szCs w:val="18"/>
          <w:color w:val="auto"/>
        </w:rPr>
        <w:t xml:space="preserve"> or your local 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All statements other than historical facts contained in this news release, including statements regarding the Company’s future financial results and position, business policy and plans, objectives and expectations of management for future operations and capital allocation expectations, are forward-looking statements as defined in the Private Securities Litigation Reform Act of 1995 that are subject to material risks and uncertainties. The words “believe,” “may,” “could,” “plans,” “estimate,” “expects,” “continue,” “anticipate,” “intend,” “expect,” “upcoming,” “trend,” “guidance,” “outlook” and similar expressions, as they relate to the Company, are intended to identify forward-looking statements, although not all forward-looking statements contain such language. Statements with respect to earnings, sales or new store guidance, including under the section “Fiscal Year 2026 Outlook” and our ability to deliver on such financial outlook are forward-looking statements. Investors are cautioned that any such forward-looking statements are subject to the finalization of the Company’s quarter-end financial and accounting procedures, are not guarantees of future performance or results, and are inherently subject to risks and uncertainties, some of which cannot be predicted or quantified. Actual results or developments may differ materially from those included in the forward-looking statements as a result of various factors which are discussed in our Annual Reports and Quarterly Reports on Forms 10-K and 10-Q, respectively, and any amendments thereto, filed with the Securities and Exchange Commission. These risks and uncertainties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or trade relationships;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and to manage inventory shrinkage; the Company’s ability to gauge fashion trends and changing consumer preferences; consumer confidence and changes in consumer spending patterns; competition within the industry; competition in the Company’s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and costs associated with building, remodeling, assuming leases, opening and operating new stores; delays associated with building, and opening or expanding new or existing distribution centers; changes in regulator’s requirements or stakeholder’s expectations on environmental, social and sustainability related topics; challenges in effectively managing the use of artificial intelligence; and strategic transactions that could negative impact our liquidity, increase our expenses, or present significant distractions to management. Any forward-looking statements by the Company, with respect to guidance, the repurchase of shares pursuant to a share repurchase program, or otherwise, are intended to speak only as of the date such statements are made. Except as required by applicable law, including the securities laws of the United States and the rules and regulations of the Securities and Exchange Commission, the Company does not undertake to publicly update any forward-looking statements in this news release or with respect to matters described herein, whether as a result of any new information, future events or otherwise.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Filandro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CitiTrendsIR@icrinc.com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186,289</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(exclusive of depreciation shown separately below)</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(138,630)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(79,745)</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(74,887)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18"/>
                <w:szCs w:val="18"/>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2,773</w:t>
            </w:r>
          </w:p>
        </w:tc>
      </w:tr>
      <w:tr>
        <w:trPr>
          <w:trHeight w:val="263"/>
        </w:trPr>
        <w:tc>
          <w:tcPr>
            <w:tcW w:w="5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197"/>
        </w:trPr>
        <w:tc>
          <w:tcPr>
            <w:tcW w:w="58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net income (loss) per common share</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8,126</w:t>
            </w:r>
          </w:p>
        </w:tc>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8,253</w:t>
            </w:r>
          </w:p>
        </w:tc>
      </w:tr>
      <w:tr>
        <w:trPr>
          <w:trHeight w:val="196"/>
        </w:trPr>
        <w:tc>
          <w:tcPr>
            <w:tcW w:w="58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2"/>
        </w:trPr>
        <w:tc>
          <w:tcPr>
            <w:tcW w:w="5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41,556</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109,931</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13,752</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49,146</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218,360</w:t>
            </w:r>
          </w:p>
        </w:tc>
        <w:tc>
          <w:tcPr>
            <w:tcW w:w="80" w:type="dxa"/>
            <w:vAlign w:val="bottom"/>
          </w:tcPr>
          <w:p>
            <w:pPr>
              <w:spacing w:after="0"/>
              <w:rPr>
                <w:sz w:val="18"/>
                <w:szCs w:val="18"/>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shd w:val="clear" w:color="auto" w:fill="CCEEFF"/>
          </w:tcPr>
          <w:p>
            <w:pPr>
              <w:spacing w:after="0"/>
              <w:rPr>
                <w:sz w:val="19"/>
                <w:szCs w:val="19"/>
                <w:color w:val="auto"/>
              </w:rPr>
            </w:pPr>
          </w:p>
        </w:tc>
      </w:tr>
      <w:tr>
        <w:trPr>
          <w:trHeight w:val="263"/>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496,191</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437,408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8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80,919</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24,053</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44,592</w:t>
            </w: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175,797</w:t>
            </w:r>
          </w:p>
        </w:tc>
        <w:tc>
          <w:tcPr>
            <w:tcW w:w="80" w:type="dxa"/>
            <w:vAlign w:val="bottom"/>
            <w:shd w:val="clear" w:color="auto" w:fill="CCEEFF"/>
          </w:tcPr>
          <w:p>
            <w:pPr>
              <w:spacing w:after="0"/>
              <w:rPr>
                <w:sz w:val="18"/>
                <w:szCs w:val="18"/>
                <w:color w:val="auto"/>
              </w:rPr>
            </w:pPr>
          </w:p>
        </w:tc>
      </w:tr>
      <w:tr>
        <w:trPr>
          <w:trHeight w:val="22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tcPr>
          <w:p>
            <w:pPr>
              <w:spacing w:after="0"/>
              <w:rPr>
                <w:sz w:val="19"/>
                <w:szCs w:val="19"/>
                <w:color w:val="auto"/>
              </w:rPr>
            </w:pPr>
          </w:p>
        </w:tc>
      </w:tr>
      <w:tr>
        <w:trPr>
          <w:trHeight w:val="210"/>
        </w:trPr>
        <w:tc>
          <w:tcPr>
            <w:tcW w:w="58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125,343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108,559</w:t>
            </w:r>
          </w:p>
        </w:tc>
        <w:tc>
          <w:tcPr>
            <w:tcW w:w="80" w:type="dxa"/>
            <w:vAlign w:val="bottom"/>
            <w:shd w:val="clear" w:color="auto" w:fill="CCEEFF"/>
          </w:tcPr>
          <w:p>
            <w:pPr>
              <w:spacing w:after="0"/>
              <w:rPr>
                <w:sz w:val="19"/>
                <w:szCs w:val="19"/>
                <w:color w:val="auto"/>
              </w:rPr>
            </w:pPr>
          </w:p>
        </w:tc>
      </w:tr>
      <w:tr>
        <w:trPr>
          <w:trHeight w:val="223"/>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5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uses certain financial measures, including adjusted SG&amp;A, adjusted net income (loss), adjusted EBITDA, and adjusted EBITDA margin to understand and evaluate the Company’s current operating performance and to allow for period-to-period comparisons. The Company believes these non-GAAP financial measures provide meaningful supplemental information about our financial results to investors. These non-GAAP measures may not be comparable to similarly titled non-GAAP measures of other companies and should be considered in addition to and not as a substitute for, or superior to, any measure of performance, cash flow or liquidity prepared in accordance with GAAP. These Non-GAAP measures have no standardized meanings and are not defined by GAAP. The Company is providing a reconciliation of each of these non-GAAP financial measures to their most comparable financial measures on a GAAP basis.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Beginning in 2026 the Company updated its definition of Adjusted Net Income, Adjusted EBITDA and Adjusted SG&amp;A to include an addback of equity-based compensation expense. Equity-based compensation is a non-cash expense that the Company does not use to assess core profitability and the Company believes excluding equity-based compensation will improve comparability and provide greater transparency of cash generated from operations. Prior period information presented has been adjusted to reflect this change.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First Quarter</w:t>
            </w:r>
          </w:p>
        </w:tc>
      </w:tr>
      <w:tr>
        <w:trPr>
          <w:trHeight w:val="223"/>
        </w:trPr>
        <w:tc>
          <w:tcPr>
            <w:tcW w:w="5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SG&amp;A</w:t>
            </w:r>
          </w:p>
        </w:tc>
        <w:tc>
          <w:tcPr>
            <w:tcW w:w="2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SG&amp;A</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(79,745)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(74,887)</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968</w:t>
            </w:r>
          </w:p>
        </w:tc>
      </w:tr>
      <w:tr>
        <w:trPr>
          <w:trHeight w:val="257"/>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Leadership succession</w:t>
            </w:r>
            <w:r>
              <w:rPr>
                <w:rFonts w:ascii="Times New Roman" w:cs="Times New Roman" w:eastAsia="Times New Roman" w:hAnsi="Times New Roman"/>
                <w:sz w:val="29"/>
                <w:szCs w:val="29"/>
                <w:color w:val="auto"/>
                <w:vertAlign w:val="superscript"/>
              </w:rPr>
              <w:t>6</w:t>
            </w:r>
          </w:p>
        </w:tc>
        <w:tc>
          <w:tcPr>
            <w:tcW w:w="2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Lease termination fee</w:t>
            </w:r>
            <w:r>
              <w:rPr>
                <w:rFonts w:ascii="Times New Roman" w:cs="Times New Roman" w:eastAsia="Times New Roman" w:hAnsi="Times New Roman"/>
                <w:sz w:val="29"/>
                <w:szCs w:val="29"/>
                <w:color w:val="auto"/>
                <w:vertAlign w:val="superscript"/>
              </w:rPr>
              <w:t>5</w:t>
            </w:r>
          </w:p>
        </w:tc>
        <w:tc>
          <w:tcPr>
            <w:tcW w:w="2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w:t>
            </w:r>
          </w:p>
        </w:tc>
      </w:tr>
      <w:tr>
        <w:trPr>
          <w:trHeight w:val="257"/>
        </w:trPr>
        <w:tc>
          <w:tcPr>
            <w:tcW w:w="55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Severance</w:t>
            </w:r>
            <w:r>
              <w:rPr>
                <w:rFonts w:ascii="Times New Roman" w:cs="Times New Roman" w:eastAsia="Times New Roman" w:hAnsi="Times New Roman"/>
                <w:sz w:val="29"/>
                <w:szCs w:val="29"/>
                <w:color w:val="auto"/>
                <w:vertAlign w:val="superscript"/>
              </w:rPr>
              <w:t>1</w:t>
            </w:r>
          </w:p>
        </w:tc>
        <w:tc>
          <w:tcPr>
            <w:tcW w:w="2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r>
      <w:tr>
        <w:trPr>
          <w:trHeight w:val="257"/>
        </w:trPr>
        <w:tc>
          <w:tcPr>
            <w:tcW w:w="55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Shareholder matters</w:t>
            </w:r>
            <w:r>
              <w:rPr>
                <w:rFonts w:ascii="Times New Roman" w:cs="Times New Roman" w:eastAsia="Times New Roman" w:hAnsi="Times New Roman"/>
                <w:sz w:val="29"/>
                <w:szCs w:val="29"/>
                <w:color w:val="auto"/>
                <w:vertAlign w:val="superscript"/>
              </w:rPr>
              <w:t>4</w:t>
            </w:r>
          </w:p>
        </w:tc>
        <w:tc>
          <w:tcPr>
            <w:tcW w:w="2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w:t>
            </w:r>
          </w:p>
        </w:tc>
      </w:tr>
      <w:tr>
        <w:trPr>
          <w:trHeight w:val="270"/>
        </w:trPr>
        <w:tc>
          <w:tcPr>
            <w:tcW w:w="55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Cyber incident expenses</w:t>
            </w:r>
            <w:r>
              <w:rPr>
                <w:rFonts w:ascii="Times New Roman" w:cs="Times New Roman" w:eastAsia="Times New Roman" w:hAnsi="Times New Roman"/>
                <w:sz w:val="29"/>
                <w:szCs w:val="29"/>
                <w:color w:val="auto"/>
                <w:vertAlign w:val="superscript"/>
              </w:rPr>
              <w:t>3</w:t>
            </w:r>
          </w:p>
        </w:tc>
        <w:tc>
          <w:tcPr>
            <w:tcW w:w="2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SG&amp;A</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First Quarter</w:t>
            </w:r>
          </w:p>
        </w:tc>
      </w:tr>
      <w:tr>
        <w:trPr>
          <w:trHeight w:val="223"/>
        </w:trPr>
        <w:tc>
          <w:tcPr>
            <w:tcW w:w="5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 w:type="dxa"/>
            <w:vAlign w:val="bottom"/>
          </w:tcPr>
          <w:p>
            <w:pPr>
              <w:spacing w:after="0"/>
              <w:rPr>
                <w:sz w:val="19"/>
                <w:szCs w:val="19"/>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w:t>
            </w:r>
          </w:p>
        </w:tc>
        <w:tc>
          <w:tcPr>
            <w:tcW w:w="2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r>
      <w:tr>
        <w:trPr>
          <w:trHeight w:val="257"/>
        </w:trPr>
        <w:tc>
          <w:tcPr>
            <w:tcW w:w="57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Leadership succession</w:t>
            </w:r>
            <w:r>
              <w:rPr>
                <w:rFonts w:ascii="Times New Roman" w:cs="Times New Roman" w:eastAsia="Times New Roman" w:hAnsi="Times New Roman"/>
                <w:sz w:val="29"/>
                <w:szCs w:val="29"/>
                <w:color w:val="auto"/>
                <w:vertAlign w:val="superscript"/>
              </w:rPr>
              <w:t>6</w:t>
            </w:r>
          </w:p>
        </w:tc>
        <w:tc>
          <w:tcPr>
            <w:tcW w:w="2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7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Lease termination fee</w:t>
            </w:r>
            <w:r>
              <w:rPr>
                <w:rFonts w:ascii="Times New Roman" w:cs="Times New Roman" w:eastAsia="Times New Roman" w:hAnsi="Times New Roman"/>
                <w:sz w:val="29"/>
                <w:szCs w:val="29"/>
                <w:color w:val="auto"/>
                <w:vertAlign w:val="superscript"/>
              </w:rPr>
              <w:t>5</w:t>
            </w:r>
          </w:p>
        </w:tc>
        <w:tc>
          <w:tcPr>
            <w:tcW w:w="2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57"/>
        </w:trPr>
        <w:tc>
          <w:tcPr>
            <w:tcW w:w="57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Severance</w:t>
            </w:r>
            <w:r>
              <w:rPr>
                <w:rFonts w:ascii="Times New Roman" w:cs="Times New Roman" w:eastAsia="Times New Roman" w:hAnsi="Times New Roman"/>
                <w:sz w:val="29"/>
                <w:szCs w:val="29"/>
                <w:color w:val="auto"/>
                <w:vertAlign w:val="superscript"/>
              </w:rPr>
              <w:t>1</w:t>
            </w:r>
          </w:p>
        </w:tc>
        <w:tc>
          <w:tcPr>
            <w:tcW w:w="2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57"/>
        </w:trPr>
        <w:tc>
          <w:tcPr>
            <w:tcW w:w="57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Shareholder matters</w:t>
            </w:r>
            <w:r>
              <w:rPr>
                <w:rFonts w:ascii="Times New Roman" w:cs="Times New Roman" w:eastAsia="Times New Roman" w:hAnsi="Times New Roman"/>
                <w:sz w:val="29"/>
                <w:szCs w:val="29"/>
                <w:color w:val="auto"/>
                <w:vertAlign w:val="superscript"/>
              </w:rPr>
              <w:t>4</w:t>
            </w:r>
          </w:p>
        </w:tc>
        <w:tc>
          <w:tcPr>
            <w:tcW w:w="2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56"/>
        </w:trPr>
        <w:tc>
          <w:tcPr>
            <w:tcW w:w="57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Cyber incident expenses</w:t>
            </w:r>
            <w:r>
              <w:rPr>
                <w:rFonts w:ascii="Times New Roman" w:cs="Times New Roman" w:eastAsia="Times New Roman" w:hAnsi="Times New Roman"/>
                <w:sz w:val="29"/>
                <w:szCs w:val="29"/>
                <w:color w:val="auto"/>
                <w:vertAlign w:val="superscript"/>
              </w:rPr>
              <w:t>3</w:t>
            </w:r>
          </w:p>
        </w:tc>
        <w:tc>
          <w:tcPr>
            <w:tcW w:w="2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 (loss)</w:t>
            </w: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57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First Quarter</w:t>
            </w:r>
          </w:p>
        </w:tc>
      </w:tr>
      <w:tr>
        <w:trPr>
          <w:trHeight w:val="223"/>
        </w:trPr>
        <w:tc>
          <w:tcPr>
            <w:tcW w:w="56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 w:type="dxa"/>
            <w:vAlign w:val="bottom"/>
            <w:gridSpan w:val="2"/>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tc>
        <w:tc>
          <w:tcPr>
            <w:tcW w:w="2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4,370</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r>
      <w:tr>
        <w:trPr>
          <w:trHeight w:val="257"/>
        </w:trPr>
        <w:tc>
          <w:tcPr>
            <w:tcW w:w="56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Leadership succession</w:t>
            </w:r>
            <w:r>
              <w:rPr>
                <w:rFonts w:ascii="Times New Roman" w:cs="Times New Roman" w:eastAsia="Times New Roman" w:hAnsi="Times New Roman"/>
                <w:sz w:val="29"/>
                <w:szCs w:val="29"/>
                <w:color w:val="auto"/>
                <w:vertAlign w:val="superscript"/>
              </w:rPr>
              <w:t>6</w:t>
            </w:r>
          </w:p>
        </w:tc>
        <w:tc>
          <w:tcPr>
            <w:tcW w:w="2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Lease termination fee</w:t>
            </w:r>
            <w:r>
              <w:rPr>
                <w:rFonts w:ascii="Times New Roman" w:cs="Times New Roman" w:eastAsia="Times New Roman" w:hAnsi="Times New Roman"/>
                <w:sz w:val="29"/>
                <w:szCs w:val="29"/>
                <w:color w:val="auto"/>
                <w:vertAlign w:val="superscript"/>
              </w:rPr>
              <w:t>5</w:t>
            </w:r>
          </w:p>
        </w:tc>
        <w:tc>
          <w:tcPr>
            <w:tcW w:w="2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256"/>
        </w:trPr>
        <w:tc>
          <w:tcPr>
            <w:tcW w:w="56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Severance</w:t>
            </w:r>
            <w:r>
              <w:rPr>
                <w:rFonts w:ascii="Times New Roman" w:cs="Times New Roman" w:eastAsia="Times New Roman" w:hAnsi="Times New Roman"/>
                <w:sz w:val="29"/>
                <w:szCs w:val="29"/>
                <w:color w:val="auto"/>
                <w:vertAlign w:val="superscript"/>
              </w:rPr>
              <w:t>1</w:t>
            </w:r>
          </w:p>
        </w:tc>
        <w:tc>
          <w:tcPr>
            <w:tcW w:w="2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57"/>
        </w:trPr>
        <w:tc>
          <w:tcPr>
            <w:tcW w:w="56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Shareholder matters</w:t>
            </w:r>
            <w:r>
              <w:rPr>
                <w:rFonts w:ascii="Times New Roman" w:cs="Times New Roman" w:eastAsia="Times New Roman" w:hAnsi="Times New Roman"/>
                <w:sz w:val="29"/>
                <w:szCs w:val="29"/>
                <w:color w:val="auto"/>
                <w:vertAlign w:val="superscript"/>
              </w:rPr>
              <w:t>4</w:t>
            </w:r>
          </w:p>
        </w:tc>
        <w:tc>
          <w:tcPr>
            <w:tcW w:w="2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Cyber incident expenses</w:t>
            </w:r>
            <w:r>
              <w:rPr>
                <w:rFonts w:ascii="Times New Roman" w:cs="Times New Roman" w:eastAsia="Times New Roman" w:hAnsi="Times New Roman"/>
                <w:sz w:val="29"/>
                <w:szCs w:val="29"/>
                <w:color w:val="auto"/>
                <w:vertAlign w:val="superscript"/>
              </w:rPr>
              <w:t>3</w:t>
            </w:r>
          </w:p>
        </w:tc>
        <w:tc>
          <w:tcPr>
            <w:tcW w:w="2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First Quarter</w:t>
            </w:r>
          </w:p>
        </w:tc>
      </w:tr>
      <w:tr>
        <w:trPr>
          <w:trHeight w:val="223"/>
        </w:trPr>
        <w:tc>
          <w:tcPr>
            <w:tcW w:w="8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60" w:type="dxa"/>
            <w:vAlign w:val="bottom"/>
            <w:gridSpan w:val="2"/>
          </w:tcPr>
          <w:p>
            <w:pPr>
              <w:spacing w:after="0"/>
              <w:rPr>
                <w:sz w:val="19"/>
                <w:szCs w:val="19"/>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230,858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201,728</w:t>
            </w:r>
          </w:p>
        </w:tc>
        <w:tc>
          <w:tcPr>
            <w:tcW w:w="140" w:type="dxa"/>
            <w:vAlign w:val="bottom"/>
          </w:tcPr>
          <w:p>
            <w:pPr>
              <w:spacing w:after="0"/>
              <w:rPr>
                <w:sz w:val="18"/>
                <w:szCs w:val="18"/>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13,922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40" w:type="dxa"/>
            <w:vAlign w:val="bottom"/>
            <w:shd w:val="clear" w:color="auto" w:fill="CCEEFF"/>
          </w:tcPr>
          <w:p>
            <w:pPr>
              <w:spacing w:after="0"/>
              <w:rPr>
                <w:sz w:val="19"/>
                <w:szCs w:val="19"/>
                <w:color w:val="auto"/>
              </w:rPr>
            </w:pPr>
          </w:p>
        </w:tc>
      </w:tr>
      <w:tr>
        <w:trPr>
          <w:trHeight w:val="22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8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5"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severance and related costs resulting from the CEO transition and subsequent implementation of CEO-led organizational changes.</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Represents costs associated with the hiring of a new CEO.</w:t>
      </w:r>
    </w:p>
    <w:p>
      <w:pPr>
        <w:ind w:right="140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Represents costs associated with the cyber disruption of the Company's back office and distribution center IT systems in January 2023.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Represents costs related to requests and inquiries from a significant shareholder.</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Represents a lease termination fee associated with the closure of a store.</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Represents executive search costs incurred related to succession planning for our key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2026-06-02T06:00:38Z</dcterms:created>
  <dcterms:modified xsi:type="dcterms:W3CDTF">2026-06-02T06:00:38Z</dcterms:modified>
</cp:coreProperties>
</file>