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15,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Citi Trends,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3920" w:type="dxa"/>
            <w:vAlign w:val="bottom"/>
          </w:tcPr>
          <w:p>
            <w:pPr>
              <w:jc w:val="center"/>
              <w:ind w:right="43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270"/>
              <w:spacing w:after="0"/>
              <w:rPr>
                <w:sz w:val="20"/>
                <w:szCs w:val="20"/>
                <w:color w:val="auto"/>
              </w:rPr>
            </w:pPr>
            <w:r>
              <w:rPr>
                <w:rFonts w:ascii="Arial" w:cs="Arial" w:eastAsia="Arial" w:hAnsi="Arial"/>
                <w:sz w:val="18"/>
                <w:szCs w:val="18"/>
                <w:b w:val="1"/>
                <w:bCs w:val="1"/>
                <w:color w:val="auto"/>
              </w:rPr>
              <w:t>000-51315</w:t>
            </w:r>
          </w:p>
        </w:tc>
        <w:tc>
          <w:tcPr>
            <w:tcW w:w="3320" w:type="dxa"/>
            <w:vAlign w:val="bottom"/>
          </w:tcPr>
          <w:p>
            <w:pPr>
              <w:jc w:val="right"/>
              <w:ind w:right="790"/>
              <w:spacing w:after="0"/>
              <w:rPr>
                <w:sz w:val="20"/>
                <w:szCs w:val="20"/>
                <w:color w:val="auto"/>
              </w:rPr>
            </w:pPr>
            <w:r>
              <w:rPr>
                <w:rFonts w:ascii="Arial" w:cs="Arial" w:eastAsia="Arial" w:hAnsi="Arial"/>
                <w:sz w:val="18"/>
                <w:szCs w:val="18"/>
                <w:b w:val="1"/>
                <w:bCs w:val="1"/>
                <w:color w:val="auto"/>
              </w:rPr>
              <w:t>52-2150697</w:t>
            </w:r>
          </w:p>
        </w:tc>
      </w:tr>
      <w:tr>
        <w:trPr>
          <w:trHeight w:val="234"/>
        </w:trPr>
        <w:tc>
          <w:tcPr>
            <w:tcW w:w="392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3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(Commission File Number)</w:t>
            </w:r>
          </w:p>
        </w:tc>
        <w:tc>
          <w:tcPr>
            <w:tcW w:w="3320" w:type="dxa"/>
            <w:vAlign w:val="bottom"/>
          </w:tcPr>
          <w:p>
            <w:pPr>
              <w:jc w:val="center"/>
              <w:ind w:left="6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8"/>
        </w:trPr>
        <w:tc>
          <w:tcPr>
            <w:tcW w:w="3920" w:type="dxa"/>
            <w:vAlign w:val="bottom"/>
          </w:tcPr>
          <w:p>
            <w:pPr>
              <w:jc w:val="center"/>
              <w:ind w:right="410"/>
              <w:spacing w:after="0"/>
              <w:rPr>
                <w:sz w:val="20"/>
                <w:szCs w:val="20"/>
                <w:color w:val="auto"/>
              </w:rPr>
            </w:pPr>
            <w:r>
              <w:rPr>
                <w:rFonts w:ascii="Arial" w:cs="Arial" w:eastAsia="Arial" w:hAnsi="Arial"/>
                <w:sz w:val="18"/>
                <w:szCs w:val="18"/>
                <w:color w:val="auto"/>
                <w:w w:val="89"/>
              </w:rPr>
              <w:t>104 Coleman Boulevard, Savannah, Georgia</w:t>
            </w:r>
          </w:p>
        </w:tc>
        <w:tc>
          <w:tcPr>
            <w:tcW w:w="3300" w:type="dxa"/>
            <w:vAlign w:val="bottom"/>
          </w:tcPr>
          <w:p>
            <w:pPr>
              <w:spacing w:after="0"/>
              <w:rPr>
                <w:sz w:val="24"/>
                <w:szCs w:val="24"/>
                <w:color w:val="auto"/>
              </w:rPr>
            </w:pPr>
          </w:p>
        </w:tc>
        <w:tc>
          <w:tcPr>
            <w:tcW w:w="3320" w:type="dxa"/>
            <w:vAlign w:val="bottom"/>
          </w:tcPr>
          <w:p>
            <w:pPr>
              <w:jc w:val="right"/>
              <w:ind w:right="990"/>
              <w:spacing w:after="0"/>
              <w:rPr>
                <w:sz w:val="20"/>
                <w:szCs w:val="20"/>
                <w:color w:val="auto"/>
              </w:rPr>
            </w:pPr>
            <w:r>
              <w:rPr>
                <w:rFonts w:ascii="Arial" w:cs="Arial" w:eastAsia="Arial" w:hAnsi="Arial"/>
                <w:sz w:val="18"/>
                <w:szCs w:val="18"/>
                <w:color w:val="auto"/>
              </w:rPr>
              <w:t>31408</w:t>
            </w:r>
          </w:p>
        </w:tc>
      </w:tr>
      <w:tr>
        <w:trPr>
          <w:trHeight w:val="230"/>
        </w:trPr>
        <w:tc>
          <w:tcPr>
            <w:tcW w:w="3920" w:type="dxa"/>
            <w:vAlign w:val="bottom"/>
          </w:tcPr>
          <w:p>
            <w:pPr>
              <w:jc w:val="center"/>
              <w:ind w:right="410"/>
              <w:spacing w:after="0"/>
              <w:rPr>
                <w:sz w:val="20"/>
                <w:szCs w:val="20"/>
                <w:color w:val="auto"/>
              </w:rPr>
            </w:pPr>
            <w:r>
              <w:rPr>
                <w:rFonts w:ascii="Arial" w:cs="Arial" w:eastAsia="Arial" w:hAnsi="Arial"/>
                <w:sz w:val="18"/>
                <w:szCs w:val="18"/>
                <w:color w:val="auto"/>
                <w:w w:val="92"/>
              </w:rPr>
              <w:t>(Address of principal executive offices)</w:t>
            </w:r>
          </w:p>
        </w:tc>
        <w:tc>
          <w:tcPr>
            <w:tcW w:w="3300" w:type="dxa"/>
            <w:vAlign w:val="bottom"/>
          </w:tcPr>
          <w:p>
            <w:pPr>
              <w:spacing w:after="0"/>
              <w:rPr>
                <w:sz w:val="20"/>
                <w:szCs w:val="20"/>
                <w:color w:val="auto"/>
              </w:rPr>
            </w:pPr>
          </w:p>
        </w:tc>
        <w:tc>
          <w:tcPr>
            <w:tcW w:w="3320" w:type="dxa"/>
            <w:vAlign w:val="bottom"/>
          </w:tcPr>
          <w:p>
            <w:pPr>
              <w:jc w:val="center"/>
              <w:ind w:left="6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(912) 236-1561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 Not applicable</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20" w:firstLine="8"/>
        <w:spacing w:after="0" w:line="509" w:lineRule="auto"/>
        <w:tabs>
          <w:tab w:leader="none" w:pos="22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 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CTRN</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Stock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0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On April 15, 2021, Citi Trends, Inc. (the “Company”) entered into the Third Amendment (“Third Amendment”) to the Credit Agreement (“Existing Credit Agreement”), dated as of October 27, 2011 (as previously amended by the First Amendment, dated as of August 18, 2015, and Second Amendment, dated as of May 12, 2020), by and among the Company, as Borrower, the Company’s wholly-owned subsidiary, Citi Trends Marketing Solutions, Inc., as Guarantor, and Bank of America, N.A., as Lender.</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The Third Amendment amends the Existing Credit Agreement to, among other things, (i) extend the maturity date for five-years from August 18, 2021 to April 15, 2026; (ii) increase the facility amount from $50 million to $100 million, including a $25 million uncommitted “accordion” feature that under certain circumstances could allow the Company to increase the size of the facility to $125 million; and (iii) modify certain covenant and reporting terms. Borrowings under the Third Amendment will bear interest (a) for Eurodollar Loans, at a rate equal to LIBOR plus either 1.25%, 1.5%, or 1.75%, or</w:t>
      </w:r>
    </w:p>
    <w:p>
      <w:pPr>
        <w:spacing w:after="0" w:line="1" w:lineRule="exact"/>
        <w:rPr>
          <w:sz w:val="20"/>
          <w:szCs w:val="20"/>
          <w:color w:val="auto"/>
        </w:rPr>
      </w:pPr>
    </w:p>
    <w:p>
      <w:pPr>
        <w:ind w:right="140" w:firstLine="8"/>
        <w:spacing w:after="0" w:line="323"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 Base Rate Loans, at a rate equal to the highest of (i) the prime rate, (ii) the Federal Funds Rate plus 0.5%, or (iii) LIBOR for a period of one month plus 1.0%, plus, in each case either 1.25%, 1.5%, or 1.75% based in any such case on the average daily availability for borrowings under the facility.</w:t>
      </w:r>
    </w:p>
    <w:p>
      <w:pPr>
        <w:spacing w:after="0" w:line="138"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Third Amendment remains secured by the Company’s inventory, accounts receivable and related assets, but not its real estate, fixtures and equipment. The Third Amendment contains one financial covenant, a fixed charge coverage ratio, which is tested only in certain circumstances.</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foregoing description of the Third Amendment is qualified in its entirety by reference to the full text of the Third Amendment, which is filed as Exhibit 10.1 hereto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3"/>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Third Amendment to Credit Agreement, dated as of April 15, 2021, by and among the Company, as Borrower, Citi Trends Marketing</w:t>
              </w:r>
            </w:hyperlink>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Solutions, Inc., as Guarantor, and Bank of America, N.A., as Lender.</w:t>
              </w:r>
            </w:hyperlink>
          </w:p>
        </w:tc>
        <w:tc>
          <w:tcPr>
            <w:tcW w:w="46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CITI TRENDS,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April 15, 2021</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Pamela J. Edwards</w:t>
            </w:r>
          </w:p>
        </w:tc>
      </w:tr>
      <w:tr>
        <w:trPr>
          <w:trHeight w:val="195"/>
        </w:trPr>
        <w:tc>
          <w:tcPr>
            <w:tcW w:w="3560" w:type="dxa"/>
            <w:vAlign w:val="bottom"/>
          </w:tcPr>
          <w:p>
            <w:pPr>
              <w:spacing w:after="0"/>
              <w:rPr>
                <w:sz w:val="16"/>
                <w:szCs w:val="16"/>
                <w:color w:val="auto"/>
              </w:rPr>
            </w:pPr>
          </w:p>
        </w:tc>
        <w:tc>
          <w:tcPr>
            <w:tcW w:w="264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Pamela J. Edwards</w:t>
            </w:r>
          </w:p>
        </w:tc>
      </w:tr>
      <w:tr>
        <w:trPr>
          <w:trHeight w:val="230"/>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THIRD AMENDMENT TO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SECURITY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THIRD AMENDMENT TO CREDIT AGREEMENT AND FIRST AMENDMENT TO SECURITY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April 15, 2021 by and among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 TRENDS, INC., a corporation organized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GUARANTORS party hereto;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OF AMERICA, N.A., a national banking association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herein contained and benefits to be derived herefrom.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Loan Parties and the Lender have entered into a certain Credit Agreement dated as of October 27, 2011 (as amended, amended and restated, restated, supplemented or modified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Loan Parties and the Lender have entered into a certain Security Agreement dated as of October 27, 2011 (as amended, amended and restated, restated, supplemented or modified to the date hereof,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Loan Parties and the Lender have agreed to amend the Credit Agreement and the Security Agreement as set forth herein.</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NOW THEREFORE, in consideration of the mutual promises and agreements herein contained, the parties hereto hereby agree as follows:</w:t>
      </w:r>
    </w:p>
    <w:p>
      <w:pPr>
        <w:spacing w:after="0" w:line="225" w:lineRule="exact"/>
        <w:rPr>
          <w:sz w:val="20"/>
          <w:szCs w:val="20"/>
          <w:color w:val="auto"/>
        </w:rPr>
      </w:pPr>
    </w:p>
    <w:p>
      <w:pPr>
        <w:jc w:val="both"/>
        <w:ind w:left="660" w:hanging="652"/>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Incorporation of Terms and Conditions of Credit Agreement.</w:t>
      </w:r>
      <w:r>
        <w:rPr>
          <w:rFonts w:ascii="Arial" w:cs="Arial" w:eastAsia="Arial" w:hAnsi="Arial"/>
          <w:sz w:val="18"/>
          <w:szCs w:val="18"/>
          <w:color w:val="auto"/>
        </w:rPr>
        <w:t xml:space="preserve"> All of the terms and conditions of the Credit Agreement and the Security Agreement, in each case, as amended by this Amendment (including, without limitation, all definitions set forth therein) are specifically incorporated herein by reference. All capitalized terms not otherwise defined herein shall have the same meaning as in the Credit Agreement as amended by this Amendment, as applicable.</w:t>
      </w:r>
    </w:p>
    <w:p>
      <w:pPr>
        <w:spacing w:after="0" w:line="186" w:lineRule="exact"/>
        <w:rPr>
          <w:rFonts w:ascii="Arial" w:cs="Arial" w:eastAsia="Arial" w:hAnsi="Arial"/>
          <w:sz w:val="18"/>
          <w:szCs w:val="18"/>
          <w:color w:val="auto"/>
        </w:rPr>
      </w:pPr>
    </w:p>
    <w:p>
      <w:pPr>
        <w:jc w:val="both"/>
        <w:ind w:left="660" w:hanging="652"/>
        <w:spacing w:after="0" w:line="289"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Each Loan Party hereby represents and warrants that after giving effect to this Amendment, (i) no Default or Event of Default exists under the Credit Agreement as amended by this Amendment or under any other Loan Document, (ii) all representations and warranties contained in the Credit Agreement as amended by this Amendment and in the other Loan Documents are true and correct in all material respects (except in the case of any representation and warranty qualified by “materiality” or “Material Adverse Effect”, which is true and correct in all respects) as of the date hereof, except to the extent that such representations and warranties specifically refer to an earlier date, in which case they are true and correct in all material respects as of such earlier date and (iii) no event has occurred since February 1, 2020 that could reasonably be expected to have a Material Adverse Effect on the Loan Parties,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the Amendment Effective Date, the temporary closure of the Loan Parties’ store locations and other operational disruptions affecting the Loan Parties, in each case as a direct result of the COVID-19 pandemic, shall not be deemed to have resulted in a Material Adverse Effect under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92" w:hanging="644"/>
        <w:spacing w:after="0" w:line="301" w:lineRule="auto"/>
        <w:tabs>
          <w:tab w:leader="none" w:pos="1292"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Subject to Section 5, (i) the Credit Agreement is hereby amended by deleting the stricken text (indicated textually in the same manner as the following example: </w:t>
      </w:r>
      <w:r>
        <w:rPr>
          <w:rFonts w:ascii="Arial" w:cs="Arial" w:eastAsia="Arial" w:hAnsi="Arial"/>
          <w:sz w:val="16"/>
          <w:szCs w:val="16"/>
          <w:color w:val="FF0000"/>
          <w:strike w:val="1"/>
        </w:rPr>
        <w:t>stricken text</w:t>
      </w:r>
      <w:r>
        <w:rPr>
          <w:rFonts w:ascii="Arial" w:cs="Arial" w:eastAsia="Arial" w:hAnsi="Arial"/>
          <w:sz w:val="16"/>
          <w:szCs w:val="16"/>
          <w:color w:val="auto"/>
        </w:rPr>
        <w:t xml:space="preserve">) and adding the double-underlined text (indicated textually in the same manner as the following example: </w:t>
      </w:r>
      <w:r>
        <w:rPr>
          <w:rFonts w:ascii="Arial" w:cs="Arial" w:eastAsia="Arial" w:hAnsi="Arial"/>
          <w:sz w:val="16"/>
          <w:szCs w:val="16"/>
          <w:u w:val="single" w:color="auto"/>
          <w:color w:val="0070C0"/>
        </w:rPr>
        <w:t>double-underlined text</w:t>
      </w:r>
      <w:r>
        <w:rPr>
          <w:rFonts w:ascii="Arial" w:cs="Arial" w:eastAsia="Arial" w:hAnsi="Arial"/>
          <w:sz w:val="16"/>
          <w:szCs w:val="16"/>
          <w:color w:val="auto"/>
        </w:rPr>
        <w:t xml:space="preserve">) set forth in the pages of the amended Credit Agreement attached to this Amendment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and (ii) the Disclosure Schedule is hereby amended and restated in its entirety in the form of Annex A-1 attached hereto.</w:t>
      </w:r>
    </w:p>
    <w:p>
      <w:pPr>
        <w:spacing w:after="0" w:line="157" w:lineRule="exact"/>
        <w:rPr>
          <w:rFonts w:ascii="Arial" w:cs="Arial" w:eastAsia="Arial" w:hAnsi="Arial"/>
          <w:sz w:val="16"/>
          <w:szCs w:val="16"/>
          <w:color w:val="auto"/>
        </w:rPr>
      </w:pPr>
    </w:p>
    <w:p>
      <w:pPr>
        <w:jc w:val="both"/>
        <w:ind w:left="1292" w:right="20" w:hanging="644"/>
        <w:spacing w:after="0" w:line="311" w:lineRule="auto"/>
        <w:tabs>
          <w:tab w:leader="none" w:pos="1292"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Subject to Section 5, the Security Agreement is hereby amended by deleting the stricken text (indicated textually in the same manner as the following example: </w:t>
      </w:r>
      <w:r>
        <w:rPr>
          <w:rFonts w:ascii="Arial" w:cs="Arial" w:eastAsia="Arial" w:hAnsi="Arial"/>
          <w:sz w:val="16"/>
          <w:szCs w:val="16"/>
          <w:color w:val="FF0000"/>
          <w:strike w:val="1"/>
        </w:rPr>
        <w:t>stricken text</w:t>
      </w:r>
      <w:r>
        <w:rPr>
          <w:rFonts w:ascii="Arial" w:cs="Arial" w:eastAsia="Arial" w:hAnsi="Arial"/>
          <w:sz w:val="16"/>
          <w:szCs w:val="16"/>
          <w:color w:val="auto"/>
        </w:rPr>
        <w:t xml:space="preserve">) and adding the double-underlined text (indicated textually in the same manner as the following example: </w:t>
      </w:r>
      <w:r>
        <w:rPr>
          <w:rFonts w:ascii="Arial" w:cs="Arial" w:eastAsia="Arial" w:hAnsi="Arial"/>
          <w:sz w:val="16"/>
          <w:szCs w:val="16"/>
          <w:u w:val="single" w:color="auto"/>
          <w:color w:val="0070C0"/>
        </w:rPr>
        <w:t>double-underlined text</w:t>
      </w:r>
      <w:r>
        <w:rPr>
          <w:rFonts w:ascii="Arial" w:cs="Arial" w:eastAsia="Arial" w:hAnsi="Arial"/>
          <w:sz w:val="16"/>
          <w:szCs w:val="16"/>
          <w:color w:val="auto"/>
        </w:rPr>
        <w:t xml:space="preserve">) set forth in the pages of the amended Security Agreement attached to this Amendment as </w:t>
      </w:r>
      <w:r>
        <w:rPr>
          <w:rFonts w:ascii="Arial" w:cs="Arial" w:eastAsia="Arial" w:hAnsi="Arial"/>
          <w:sz w:val="16"/>
          <w:szCs w:val="16"/>
          <w:u w:val="single" w:color="auto"/>
          <w:color w:val="auto"/>
        </w:rPr>
        <w:t>Annex B</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Ratification of Loan Documents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Credit Agreement, as hereby amended, and all other Loan Documents are hereby ratified and re-affirmed in all respects and shall continue in full force and effect.</w:t>
      </w:r>
    </w:p>
    <w:p>
      <w:pPr>
        <w:spacing w:after="0" w:line="170"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5"/>
        </w:numPr>
        <w:rPr>
          <w:rFonts w:ascii="Arial" w:cs="Arial" w:eastAsia="Arial" w:hAnsi="Arial"/>
          <w:sz w:val="18"/>
          <w:szCs w:val="18"/>
          <w:color w:val="auto"/>
        </w:rPr>
      </w:pPr>
      <w:r>
        <w:rPr>
          <w:rFonts w:ascii="Arial" w:cs="Arial" w:eastAsia="Arial" w:hAnsi="Arial"/>
          <w:sz w:val="18"/>
          <w:szCs w:val="18"/>
          <w:color w:val="auto"/>
        </w:rPr>
        <w:t>Without limiting the foregoing, each of the Loan Parties hereby acknowledges, confirms and agrees that any and all Collateral previously pledged to the Lender pursuant to the Loan Documents shall continue to secure all Obligations of the Loan Parties at any time outstanding, as such Obligations have been, and may hereafter be, amended, restated, supplemented, increased or otherwise modified from time to time.</w:t>
      </w:r>
    </w:p>
    <w:p>
      <w:pPr>
        <w:spacing w:after="0" w:line="186"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Amendment shall be effective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when each of the following conditions precedent has been fulfilled (or waived) to the reasonable satisfaction of the Lender:</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This Amendment shall have been duly executed and delivered by the Loan Parties and the Lender.</w:t>
      </w:r>
    </w:p>
    <w:p>
      <w:pPr>
        <w:spacing w:after="0" w:line="225" w:lineRule="exact"/>
        <w:rPr>
          <w:rFonts w:ascii="Arial" w:cs="Arial" w:eastAsia="Arial" w:hAnsi="Arial"/>
          <w:sz w:val="18"/>
          <w:szCs w:val="18"/>
          <w:color w:val="auto"/>
        </w:rPr>
      </w:pPr>
    </w:p>
    <w:p>
      <w:pPr>
        <w:jc w:val="both"/>
        <w:ind w:left="1292" w:hanging="644"/>
        <w:spacing w:after="0" w:line="273" w:lineRule="auto"/>
        <w:tabs>
          <w:tab w:leader="none" w:pos="1292"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Lender shall have received a certificate of a Responsible Officer of each Loan Party dated as of the Amendment Effective Date with respect to and attaching (A) such Loan Party’s recently certified certificate of incorporation, articles of incorporation or equivalent charter document, (B) such Loan Party’s bylaws or equivalent organizational document, (C) board resolutions of such Loan Party authorizing the execution, delivery and performance of this Amendment and the other Loan Documents relating hereto or as amended hereby and any documents relating thereto, and (D) specimen signatures of Responsible Officers of such Loan Party authorized to execute and deliver this Amendment and the other Loan Documents relating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 w:name="page6"/>
    <w:bookmarkEnd w:id="5"/>
    <w:p>
      <w:pPr>
        <w:ind w:left="1292" w:hanging="644"/>
        <w:spacing w:after="0" w:line="277" w:lineRule="auto"/>
        <w:tabs>
          <w:tab w:leader="none" w:pos="12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Lender shall have received a certificate of good standing of each Loan Party in the jurisdiction of its organization issued no earlier than thirty (30) days prior to the Amendment Effective Date,</w:t>
      </w:r>
    </w:p>
    <w:p>
      <w:pPr>
        <w:spacing w:after="0" w:line="170"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Lender shall have received a favorable opinion of counsel to the Loan Parties, addressed to the Lender, as to such customary matters concerning the Loan Parties and the Loan Documents as the Lender may reasonably request.</w:t>
      </w:r>
    </w:p>
    <w:p>
      <w:pPr>
        <w:spacing w:after="0" w:line="170"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Loan Parties shall have paid to the Lender the fees set forth in that certain Amendment Fee Letter dated as of the date hereof between the Loan Parties and the Lender.</w:t>
      </w:r>
    </w:p>
    <w:p>
      <w:pPr>
        <w:spacing w:after="0" w:line="170" w:lineRule="exact"/>
        <w:rPr>
          <w:rFonts w:ascii="Arial" w:cs="Arial" w:eastAsia="Arial" w:hAnsi="Arial"/>
          <w:sz w:val="18"/>
          <w:szCs w:val="18"/>
          <w:color w:val="auto"/>
        </w:rPr>
      </w:pPr>
    </w:p>
    <w:p>
      <w:pPr>
        <w:jc w:val="both"/>
        <w:ind w:left="1292" w:hanging="644"/>
        <w:spacing w:after="0" w:line="286" w:lineRule="auto"/>
        <w:tabs>
          <w:tab w:leader="none" w:pos="1292"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Lender shall have received all documentation and other information required by regulatory authorities under applicable “know your customer” and anti-money laundering rules and regulations, including without limitation the Act and a Beneficial Ownership Certification in relation to any Loan Party that qualifies as a “legal entity customer” under the Beneficial Ownership Regulation.</w:t>
      </w:r>
    </w:p>
    <w:p>
      <w:pPr>
        <w:spacing w:after="0" w:line="165" w:lineRule="exact"/>
        <w:rPr>
          <w:rFonts w:ascii="Arial" w:cs="Arial" w:eastAsia="Arial" w:hAnsi="Arial"/>
          <w:sz w:val="17"/>
          <w:szCs w:val="17"/>
          <w:color w:val="auto"/>
        </w:rPr>
      </w:pPr>
    </w:p>
    <w:p>
      <w:pPr>
        <w:ind w:left="1292" w:hanging="644"/>
        <w:spacing w:after="0"/>
        <w:tabs>
          <w:tab w:leader="none" w:pos="1292" w:val="left"/>
        </w:tabs>
        <w:numPr>
          <w:ilvl w:val="1"/>
          <w:numId w:val="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jc w:val="both"/>
        <w:ind w:left="1292" w:hanging="644"/>
        <w:spacing w:after="0" w:line="279" w:lineRule="auto"/>
        <w:tabs>
          <w:tab w:leader="none" w:pos="1292"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representations and warranties made by each Loan Party contained herein and in the other Loan Documents shall be true and correct in all material respects (except in the case of any representation and warranty qualified by “materiality” or “Material Adverse Effect”, which is true and correct in all respects) as of the date hereof, except to the extent that such representations and warranties specifically refer to an earlier date, in which case they are true and correct in all material respects as of such earlier date.</w:t>
      </w:r>
    </w:p>
    <w:p>
      <w:pPr>
        <w:spacing w:after="0" w:line="171" w:lineRule="exact"/>
        <w:rPr>
          <w:rFonts w:ascii="Arial" w:cs="Arial" w:eastAsia="Arial" w:hAnsi="Arial"/>
          <w:sz w:val="17"/>
          <w:szCs w:val="17"/>
          <w:color w:val="auto"/>
        </w:rPr>
      </w:pPr>
    </w:p>
    <w:p>
      <w:pPr>
        <w:ind w:left="1292" w:hanging="644"/>
        <w:spacing w:after="0"/>
        <w:tabs>
          <w:tab w:leader="none" w:pos="1292"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necessary consents and approvals to authorize this Amendment shall have been obtained by the Loan Parties.</w:t>
      </w:r>
    </w:p>
    <w:p>
      <w:pPr>
        <w:spacing w:after="0" w:line="225" w:lineRule="exact"/>
        <w:rPr>
          <w:rFonts w:ascii="Arial" w:cs="Arial" w:eastAsia="Arial" w:hAnsi="Arial"/>
          <w:sz w:val="18"/>
          <w:szCs w:val="18"/>
          <w:color w:val="auto"/>
        </w:rPr>
      </w:pPr>
    </w:p>
    <w:p>
      <w:pPr>
        <w:jc w:val="both"/>
        <w:ind w:left="652" w:hanging="652"/>
        <w:spacing w:after="0" w:line="301" w:lineRule="auto"/>
        <w:tabs>
          <w:tab w:leader="none" w:pos="65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Post Closing Obligations</w:t>
      </w:r>
      <w:r>
        <w:rPr>
          <w:rFonts w:ascii="Arial" w:cs="Arial" w:eastAsia="Arial" w:hAnsi="Arial"/>
          <w:sz w:val="16"/>
          <w:szCs w:val="16"/>
          <w:color w:val="auto"/>
        </w:rPr>
        <w:t>. Notwithstanding anything to the contrary contained in any Loan Document (including any requirement for any earlier delivery), on or prior May 17, 2021, the Borrower shall execute and deliver a control agreements with respect to that certain securities account maintained by the Borrower with Oppenheimer &amp; Co., Inc. with account number “OPCOA-Citi Tends Inc,” and that certain DDA maintained by the Borrower with Lender with account number “01 3340 3706 6107” which shall be in form and substance reasonably satisfactory to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 w:name="page7"/>
    <w:bookmarkEnd w:id="6"/>
    <w:p>
      <w:pPr>
        <w:ind w:left="652" w:right="20" w:hanging="652"/>
        <w:spacing w:after="0" w:line="277"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The terms and provisions hereof shall be binding upon and inure to the benefit of the parties hereto and their heirs, representatives, successors and assigns. This Amendment is a Loan Document.</w:t>
      </w:r>
    </w:p>
    <w:p>
      <w:pPr>
        <w:spacing w:after="0" w:line="170" w:lineRule="exact"/>
        <w:rPr>
          <w:rFonts w:ascii="Arial" w:cs="Arial" w:eastAsia="Arial" w:hAnsi="Arial"/>
          <w:sz w:val="18"/>
          <w:szCs w:val="18"/>
          <w:color w:val="auto"/>
        </w:rPr>
      </w:pPr>
    </w:p>
    <w:p>
      <w:pPr>
        <w:jc w:val="both"/>
        <w:ind w:left="652" w:hanging="652"/>
        <w:spacing w:after="0" w:line="259"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Multiple Counterparts; Effectiveness</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any executed counterpart of a signature page of this Amendment by telecopy, pdf or other electronic transmission shall be as effective as delivery of a manually executed counterpart of this Amendment.</w:t>
      </w:r>
    </w:p>
    <w:p>
      <w:pPr>
        <w:spacing w:after="0" w:line="186" w:lineRule="exact"/>
        <w:rPr>
          <w:rFonts w:ascii="Arial" w:cs="Arial" w:eastAsia="Arial" w:hAnsi="Arial"/>
          <w:sz w:val="18"/>
          <w:szCs w:val="18"/>
          <w:color w:val="auto"/>
        </w:rPr>
      </w:pPr>
    </w:p>
    <w:p>
      <w:pPr>
        <w:jc w:val="both"/>
        <w:ind w:left="652" w:hanging="652"/>
        <w:spacing w:after="0" w:line="259"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ANY CLAIMS, CONTROVERSY, DISPUTE OR CAUSE OF ACTION (WHETHER IN CONTRACT OR TORT OR OTHERWISE) BASED UPON, ARISING OUT OF OR RELATING TO THIS AMENDMENT AND THE TRANSACTIONS CONTEMPLATED HEREBY AND THEREBY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IN WITNESS WHEREOF, this Amendment has been duly executed and delivered by each of the parties hereto as of the date first above written.</w:t>
      </w:r>
    </w:p>
    <w:p>
      <w:pPr>
        <w:spacing w:after="0" w:line="24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CITI TRENDS, INC., as Borrower</w:t>
      </w:r>
    </w:p>
    <w:p>
      <w:pPr>
        <w:spacing w:after="0" w:line="225" w:lineRule="exact"/>
        <w:rPr>
          <w:sz w:val="20"/>
          <w:szCs w:val="20"/>
          <w:color w:val="auto"/>
        </w:rPr>
      </w:pPr>
    </w:p>
    <w:p>
      <w:pPr>
        <w:ind w:left="486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David Makuen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CITI TRENDS MARKETING</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SOLUTIONS, INC., as a Guarantor</w:t>
      </w:r>
    </w:p>
    <w:p>
      <w:pPr>
        <w:spacing w:after="0" w:line="211" w:lineRule="exact"/>
        <w:rPr>
          <w:sz w:val="20"/>
          <w:szCs w:val="20"/>
          <w:color w:val="auto"/>
        </w:rPr>
      </w:pPr>
    </w:p>
    <w:p>
      <w:pPr>
        <w:ind w:left="486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14605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Henry Thompson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President and Secretary</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[Citi Trends – 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20"/>
          </w:cols>
          <w:pgMar w:left="1100" w:top="908"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BANK OF AMERICA, N.A., as Lender</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Matthew Potter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[Citi Trends – 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Amendments to Credit Agreement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COMPOSITE CREDIT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THROUGH [</w:t>
      </w:r>
      <w:r>
        <w:rPr>
          <w:rFonts w:ascii="Arial" w:cs="Arial" w:eastAsia="Arial" w:hAnsi="Arial"/>
          <w:sz w:val="18"/>
          <w:szCs w:val="18"/>
          <w:b w:val="1"/>
          <w:bCs w:val="1"/>
          <w:color w:val="FF0000"/>
          <w:strike w:val="1"/>
        </w:rPr>
        <w:t>SECOND</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0000FF"/>
        </w:rPr>
        <w:t>THIRD</w:t>
      </w:r>
      <w:r>
        <w:rPr>
          <w:rFonts w:ascii="Arial" w:cs="Arial" w:eastAsia="Arial" w:hAnsi="Arial"/>
          <w:sz w:val="18"/>
          <w:szCs w:val="18"/>
          <w:b w:val="1"/>
          <w:bCs w:val="1"/>
          <w:color w:val="auto"/>
        </w:rPr>
        <w:t xml:space="preserve"> AMENDMENT</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October 27, 2011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CITI TRENDS, INC.,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the Borrower</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OF THE BORROWER IDENTIFIED HEREIN,</w:t>
      </w:r>
    </w:p>
    <w:p>
      <w:pPr>
        <w:spacing w:after="0" w:line="3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the Guarantors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33"/>
        </w:trPr>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140" w:type="dxa"/>
            <w:vAlign w:val="bottom"/>
            <w:gridSpan w:val="2"/>
            <w:vMerge w:val="restart"/>
          </w:tcPr>
          <w:p>
            <w:pPr>
              <w:ind w:left="5080"/>
              <w:spacing w:after="0"/>
              <w:rPr>
                <w:sz w:val="20"/>
                <w:szCs w:val="20"/>
                <w:color w:val="auto"/>
              </w:rPr>
            </w:pPr>
            <w:r>
              <w:rPr>
                <w:rFonts w:ascii="Arial" w:cs="Arial" w:eastAsia="Arial" w:hAnsi="Arial"/>
                <w:sz w:val="16"/>
                <w:szCs w:val="16"/>
                <w:b w:val="1"/>
                <w:bCs w:val="1"/>
                <w:color w:val="auto"/>
                <w:w w:val="74"/>
              </w:rPr>
              <w:t>[</w:t>
            </w:r>
          </w:p>
        </w:tc>
        <w:tc>
          <w:tcPr>
            <w:tcW w:w="1940" w:type="dxa"/>
            <w:vAlign w:val="bottom"/>
            <w:gridSpan w:val="3"/>
            <w:vMerge w:val="restart"/>
          </w:tcPr>
          <w:p>
            <w:pPr>
              <w:spacing w:after="0"/>
              <w:rPr>
                <w:sz w:val="20"/>
                <w:szCs w:val="20"/>
                <w:color w:val="auto"/>
              </w:rPr>
            </w:pPr>
            <w:r>
              <w:rPr>
                <w:rFonts w:ascii="Arial" w:cs="Arial" w:eastAsia="Arial" w:hAnsi="Arial"/>
                <w:sz w:val="18"/>
                <w:szCs w:val="18"/>
                <w:b w:val="1"/>
                <w:bCs w:val="1"/>
                <w:color w:val="FF0000"/>
                <w:strike w:val="1"/>
                <w:w w:val="98"/>
              </w:rPr>
              <w:t>TABLE OF CONTENTS</w:t>
            </w:r>
          </w:p>
        </w:tc>
        <w:tc>
          <w:tcPr>
            <w:tcW w:w="312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0000FF"/>
              </w:rPr>
              <w:t>COMPOSITE CREDIT AGREEMENT</w:t>
            </w:r>
          </w:p>
        </w:tc>
        <w:tc>
          <w:tcPr>
            <w:tcW w:w="0" w:type="dxa"/>
            <w:vAlign w:val="bottom"/>
          </w:tcPr>
          <w:p>
            <w:pPr>
              <w:spacing w:after="0" w:line="20" w:lineRule="exact"/>
              <w:rPr>
                <w:sz w:val="1"/>
                <w:szCs w:val="1"/>
                <w:color w:val="auto"/>
              </w:rPr>
            </w:pPr>
          </w:p>
        </w:tc>
      </w:tr>
      <w:tr>
        <w:trPr>
          <w:trHeight w:val="174"/>
        </w:trPr>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40" w:type="dxa"/>
            <w:vAlign w:val="bottom"/>
            <w:gridSpan w:val="2"/>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31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30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r>
              <w:rPr>
                <w:rFonts w:ascii="Arial" w:cs="Arial" w:eastAsia="Arial" w:hAnsi="Arial"/>
                <w:sz w:val="18"/>
                <w:szCs w:val="18"/>
                <w:b w:val="1"/>
                <w:bCs w:val="1"/>
                <w:color w:val="FF0000"/>
                <w:strike w:val="1"/>
                <w:w w:val="83"/>
              </w:rPr>
              <w:t>Page</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b w:val="1"/>
                <w:bCs w:val="1"/>
                <w:color w:val="0000FF"/>
              </w:rPr>
              <w:t>THROUGH THIRD AMENDMENT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vMerge w:val="restart"/>
          </w:tcPr>
          <w:p>
            <w:pPr>
              <w:ind w:left="2080"/>
              <w:spacing w:after="0"/>
              <w:rPr>
                <w:sz w:val="20"/>
                <w:szCs w:val="20"/>
                <w:color w:val="auto"/>
              </w:rPr>
            </w:pPr>
            <w:r>
              <w:rPr>
                <w:rFonts w:ascii="Arial" w:cs="Arial" w:eastAsia="Arial" w:hAnsi="Arial"/>
                <w:sz w:val="18"/>
                <w:szCs w:val="18"/>
                <w:color w:val="auto"/>
                <w:w w:val="78"/>
              </w:rPr>
              <w:t>[</w:t>
            </w:r>
          </w:p>
        </w:tc>
        <w:tc>
          <w:tcPr>
            <w:tcW w:w="4660" w:type="dxa"/>
            <w:vAlign w:val="bottom"/>
            <w:gridSpan w:val="2"/>
            <w:vMerge w:val="restart"/>
          </w:tcPr>
          <w:p>
            <w:pPr>
              <w:spacing w:after="0"/>
              <w:rPr>
                <w:sz w:val="20"/>
                <w:szCs w:val="20"/>
                <w:color w:val="auto"/>
              </w:rPr>
            </w:pPr>
            <w:r>
              <w:rPr>
                <w:rFonts w:ascii="Arial" w:cs="Arial" w:eastAsia="Arial" w:hAnsi="Arial"/>
                <w:sz w:val="18"/>
                <w:szCs w:val="18"/>
                <w:color w:val="FF0000"/>
                <w:strike w:val="1"/>
              </w:rPr>
              <w:t>ARTICLE I.  DEFINITIONS AND ACCOUNTING TERMS</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FF0000"/>
                <w:strike w:val="1"/>
              </w:rPr>
              <w:t>1</w:t>
            </w: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spacing w:after="0" w:line="20" w:lineRule="exact"/>
              <w:rPr>
                <w:sz w:val="1"/>
                <w:szCs w:val="1"/>
                <w:color w:val="auto"/>
              </w:rPr>
            </w:pPr>
          </w:p>
        </w:tc>
        <w:tc>
          <w:tcPr>
            <w:tcW w:w="230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466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1.01</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rPr>
              <w:t>Defined Terms</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1</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1.02</w:t>
            </w:r>
          </w:p>
        </w:tc>
        <w:tc>
          <w:tcPr>
            <w:tcW w:w="5140" w:type="dxa"/>
            <w:vAlign w:val="bottom"/>
            <w:gridSpan w:val="2"/>
          </w:tcPr>
          <w:p>
            <w:pPr>
              <w:ind w:left="260"/>
              <w:spacing w:after="0"/>
              <w:rPr>
                <w:sz w:val="20"/>
                <w:szCs w:val="20"/>
                <w:color w:val="auto"/>
              </w:rPr>
            </w:pPr>
            <w:r>
              <w:rPr>
                <w:rFonts w:ascii="Arial" w:cs="Arial" w:eastAsia="Arial" w:hAnsi="Arial"/>
                <w:sz w:val="18"/>
                <w:szCs w:val="18"/>
                <w:color w:val="FF0000"/>
                <w:strike w:val="1"/>
              </w:rPr>
              <w:t>Other Interpretive Provisions</w:t>
            </w: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45</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1.03</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rPr>
              <w:t>Accounting Terms</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46</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1.04</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rPr>
              <w:t>Rounding</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47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1.05</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rPr>
              <w:t>Times of Day</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47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1.06</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w w:val="95"/>
              </w:rPr>
              <w:t>Letter of Credit Amounts</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47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1.07</w:t>
            </w:r>
          </w:p>
        </w:tc>
        <w:tc>
          <w:tcPr>
            <w:tcW w:w="5140" w:type="dxa"/>
            <w:vAlign w:val="bottom"/>
            <w:gridSpan w:val="2"/>
          </w:tcPr>
          <w:p>
            <w:pPr>
              <w:ind w:left="260"/>
              <w:spacing w:after="0"/>
              <w:rPr>
                <w:sz w:val="20"/>
                <w:szCs w:val="20"/>
                <w:color w:val="auto"/>
              </w:rPr>
            </w:pPr>
            <w:r>
              <w:rPr>
                <w:rFonts w:ascii="Arial" w:cs="Arial" w:eastAsia="Arial" w:hAnsi="Arial"/>
                <w:sz w:val="18"/>
                <w:szCs w:val="18"/>
                <w:color w:val="FF0000"/>
                <w:strike w:val="1"/>
              </w:rPr>
              <w:t>Currency Equivalents Generally</w:t>
            </w: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47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1.08</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rPr>
              <w:t>Interest Rates</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48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6120" w:type="dxa"/>
            <w:vAlign w:val="bottom"/>
            <w:gridSpan w:val="4"/>
          </w:tcPr>
          <w:p>
            <w:pPr>
              <w:spacing w:after="0"/>
              <w:rPr>
                <w:sz w:val="20"/>
                <w:szCs w:val="20"/>
                <w:color w:val="auto"/>
              </w:rPr>
            </w:pPr>
            <w:r>
              <w:rPr>
                <w:rFonts w:ascii="Arial" w:cs="Arial" w:eastAsia="Arial" w:hAnsi="Arial"/>
                <w:sz w:val="18"/>
                <w:szCs w:val="18"/>
                <w:color w:val="FF0000"/>
                <w:strike w:val="1"/>
              </w:rPr>
              <w:t>ARTICLE II. THE COMMITMENTS AND CREDIT EXTENSIONS</w:t>
            </w: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48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2.01</w:t>
            </w:r>
          </w:p>
        </w:tc>
        <w:tc>
          <w:tcPr>
            <w:tcW w:w="5140" w:type="dxa"/>
            <w:vAlign w:val="bottom"/>
            <w:gridSpan w:val="2"/>
          </w:tcPr>
          <w:p>
            <w:pPr>
              <w:ind w:left="260"/>
              <w:spacing w:after="0"/>
              <w:rPr>
                <w:sz w:val="20"/>
                <w:szCs w:val="20"/>
                <w:color w:val="auto"/>
              </w:rPr>
            </w:pPr>
            <w:r>
              <w:rPr>
                <w:rFonts w:ascii="Arial" w:cs="Arial" w:eastAsia="Arial" w:hAnsi="Arial"/>
                <w:sz w:val="18"/>
                <w:szCs w:val="18"/>
                <w:color w:val="FF0000"/>
                <w:strike w:val="1"/>
              </w:rPr>
              <w:t>Committed Loans; Reserves</w:t>
            </w: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48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2.02</w:t>
            </w:r>
          </w:p>
        </w:tc>
        <w:tc>
          <w:tcPr>
            <w:tcW w:w="6800" w:type="dxa"/>
            <w:vAlign w:val="bottom"/>
            <w:gridSpan w:val="3"/>
          </w:tcPr>
          <w:p>
            <w:pPr>
              <w:ind w:left="260"/>
              <w:spacing w:after="0"/>
              <w:rPr>
                <w:sz w:val="20"/>
                <w:szCs w:val="20"/>
                <w:color w:val="auto"/>
              </w:rPr>
            </w:pPr>
            <w:r>
              <w:rPr>
                <w:rFonts w:ascii="Arial" w:cs="Arial" w:eastAsia="Arial" w:hAnsi="Arial"/>
                <w:sz w:val="18"/>
                <w:szCs w:val="18"/>
                <w:color w:val="FF0000"/>
                <w:strike w:val="1"/>
              </w:rPr>
              <w:t>Committed Borrowings, Conversions and Continuations of Committed Loans</w:t>
            </w: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48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2.03</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rPr>
              <w:t>Letters of Credit</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50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2.04</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rPr>
              <w:t>Prepayments</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57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2.05</w:t>
            </w:r>
          </w:p>
        </w:tc>
        <w:tc>
          <w:tcPr>
            <w:tcW w:w="5140" w:type="dxa"/>
            <w:vAlign w:val="bottom"/>
            <w:gridSpan w:val="2"/>
          </w:tcPr>
          <w:p>
            <w:pPr>
              <w:ind w:left="260"/>
              <w:spacing w:after="0"/>
              <w:rPr>
                <w:sz w:val="20"/>
                <w:szCs w:val="20"/>
                <w:color w:val="auto"/>
              </w:rPr>
            </w:pPr>
            <w:r>
              <w:rPr>
                <w:rFonts w:ascii="Arial" w:cs="Arial" w:eastAsia="Arial" w:hAnsi="Arial"/>
                <w:sz w:val="18"/>
                <w:szCs w:val="18"/>
                <w:color w:val="FF0000"/>
                <w:strike w:val="1"/>
              </w:rPr>
              <w:t>Termination or Reduction of Commitments</w:t>
            </w: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58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2.06</w:t>
            </w:r>
          </w:p>
        </w:tc>
        <w:tc>
          <w:tcPr>
            <w:tcW w:w="5140" w:type="dxa"/>
            <w:vAlign w:val="bottom"/>
            <w:gridSpan w:val="2"/>
          </w:tcPr>
          <w:p>
            <w:pPr>
              <w:ind w:left="260"/>
              <w:spacing w:after="0"/>
              <w:rPr>
                <w:sz w:val="20"/>
                <w:szCs w:val="20"/>
                <w:color w:val="auto"/>
              </w:rPr>
            </w:pPr>
            <w:r>
              <w:rPr>
                <w:rFonts w:ascii="Arial" w:cs="Arial" w:eastAsia="Arial" w:hAnsi="Arial"/>
                <w:sz w:val="18"/>
                <w:szCs w:val="18"/>
                <w:color w:val="FF0000"/>
                <w:strike w:val="1"/>
              </w:rPr>
              <w:t>Repayment of Obligations</w:t>
            </w: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58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2.07</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rPr>
              <w:t>Interest</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59</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2.08</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rPr>
              <w:t>Fees</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59</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2.09</w:t>
            </w:r>
          </w:p>
        </w:tc>
        <w:tc>
          <w:tcPr>
            <w:tcW w:w="5140" w:type="dxa"/>
            <w:vAlign w:val="bottom"/>
            <w:gridSpan w:val="2"/>
          </w:tcPr>
          <w:p>
            <w:pPr>
              <w:ind w:left="260"/>
              <w:spacing w:after="0"/>
              <w:rPr>
                <w:sz w:val="20"/>
                <w:szCs w:val="20"/>
                <w:color w:val="auto"/>
              </w:rPr>
            </w:pPr>
            <w:r>
              <w:rPr>
                <w:rFonts w:ascii="Arial" w:cs="Arial" w:eastAsia="Arial" w:hAnsi="Arial"/>
                <w:sz w:val="18"/>
                <w:szCs w:val="18"/>
                <w:color w:val="FF0000"/>
                <w:strike w:val="1"/>
              </w:rPr>
              <w:t>Computation of Interest and Fees</w:t>
            </w: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60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2.10</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rPr>
              <w:t>Evidence of Debt</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60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2.11</w:t>
            </w:r>
          </w:p>
        </w:tc>
        <w:tc>
          <w:tcPr>
            <w:tcW w:w="5140" w:type="dxa"/>
            <w:vAlign w:val="bottom"/>
            <w:gridSpan w:val="2"/>
          </w:tcPr>
          <w:p>
            <w:pPr>
              <w:ind w:left="260"/>
              <w:spacing w:after="0"/>
              <w:rPr>
                <w:sz w:val="20"/>
                <w:szCs w:val="20"/>
                <w:color w:val="auto"/>
              </w:rPr>
            </w:pPr>
            <w:r>
              <w:rPr>
                <w:rFonts w:ascii="Arial" w:cs="Arial" w:eastAsia="Arial" w:hAnsi="Arial"/>
                <w:sz w:val="18"/>
                <w:szCs w:val="18"/>
                <w:color w:val="FF0000"/>
                <w:strike w:val="1"/>
              </w:rPr>
              <w:t>Payments Generally; Lender’s Clawback</w:t>
            </w: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60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2.12</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w w:val="91"/>
              </w:rPr>
              <w:t>Increase in Commitments</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61</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648"/>
        </w:trPr>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6120" w:type="dxa"/>
            <w:vAlign w:val="bottom"/>
            <w:gridSpan w:val="4"/>
          </w:tcPr>
          <w:p>
            <w:pPr>
              <w:spacing w:after="0"/>
              <w:rPr>
                <w:sz w:val="20"/>
                <w:szCs w:val="20"/>
                <w:color w:val="auto"/>
              </w:rPr>
            </w:pPr>
            <w:r>
              <w:rPr>
                <w:rFonts w:ascii="Arial" w:cs="Arial" w:eastAsia="Arial" w:hAnsi="Arial"/>
                <w:sz w:val="18"/>
                <w:szCs w:val="18"/>
                <w:color w:val="FF0000"/>
                <w:strike w:val="1"/>
              </w:rPr>
              <w:t>ARTICLE III.  TAXES, YIELD PROTECTION AND ILLEGALITY</w:t>
            </w: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62</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3.01</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rPr>
              <w:t>Taxes</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62</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3.02</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rPr>
              <w:t>Illegality</w:t>
            </w: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64</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3.03</w:t>
            </w:r>
          </w:p>
        </w:tc>
        <w:tc>
          <w:tcPr>
            <w:tcW w:w="5140" w:type="dxa"/>
            <w:vAlign w:val="bottom"/>
            <w:gridSpan w:val="2"/>
          </w:tcPr>
          <w:p>
            <w:pPr>
              <w:ind w:left="260"/>
              <w:spacing w:after="0"/>
              <w:rPr>
                <w:sz w:val="20"/>
                <w:szCs w:val="20"/>
                <w:color w:val="auto"/>
              </w:rPr>
            </w:pPr>
            <w:r>
              <w:rPr>
                <w:rFonts w:ascii="Arial" w:cs="Arial" w:eastAsia="Arial" w:hAnsi="Arial"/>
                <w:sz w:val="18"/>
                <w:szCs w:val="18"/>
                <w:color w:val="FF0000"/>
                <w:strike w:val="1"/>
              </w:rPr>
              <w:t>Inability to Determine Rates</w:t>
            </w: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64</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3.04</w:t>
            </w:r>
          </w:p>
        </w:tc>
        <w:tc>
          <w:tcPr>
            <w:tcW w:w="5140" w:type="dxa"/>
            <w:vAlign w:val="bottom"/>
            <w:gridSpan w:val="2"/>
          </w:tcPr>
          <w:p>
            <w:pPr>
              <w:ind w:left="260"/>
              <w:spacing w:after="0"/>
              <w:rPr>
                <w:sz w:val="20"/>
                <w:szCs w:val="20"/>
                <w:color w:val="auto"/>
              </w:rPr>
            </w:pPr>
            <w:r>
              <w:rPr>
                <w:rFonts w:ascii="Arial" w:cs="Arial" w:eastAsia="Arial" w:hAnsi="Arial"/>
                <w:sz w:val="18"/>
                <w:szCs w:val="18"/>
                <w:color w:val="FF0000"/>
                <w:strike w:val="1"/>
              </w:rPr>
              <w:t>Increased Costs; Reserves on Eurodollar Rate Loans</w:t>
            </w:r>
          </w:p>
        </w:tc>
        <w:tc>
          <w:tcPr>
            <w:tcW w:w="1660" w:type="dxa"/>
            <w:vAlign w:val="bottom"/>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67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FF0000"/>
                <w:strike w:val="1"/>
                <w:w w:val="85"/>
              </w:rPr>
              <w:t>3.05</w:t>
            </w:r>
          </w:p>
        </w:tc>
        <w:tc>
          <w:tcPr>
            <w:tcW w:w="2140" w:type="dxa"/>
            <w:vAlign w:val="bottom"/>
          </w:tcPr>
          <w:p>
            <w:pPr>
              <w:ind w:left="260"/>
              <w:spacing w:after="0"/>
              <w:rPr>
                <w:sz w:val="20"/>
                <w:szCs w:val="20"/>
                <w:color w:val="auto"/>
              </w:rPr>
            </w:pPr>
            <w:r>
              <w:rPr>
                <w:rFonts w:ascii="Arial" w:cs="Arial" w:eastAsia="Arial" w:hAnsi="Arial"/>
                <w:sz w:val="18"/>
                <w:szCs w:val="18"/>
                <w:color w:val="FF0000"/>
                <w:strike w:val="1"/>
                <w:w w:val="91"/>
              </w:rPr>
              <w:t>Compensation for Losses</w:t>
            </w:r>
          </w:p>
        </w:tc>
        <w:tc>
          <w:tcPr>
            <w:tcW w:w="4660" w:type="dxa"/>
            <w:vAlign w:val="bottom"/>
            <w:gridSpan w:val="2"/>
          </w:tcPr>
          <w:p>
            <w:pPr>
              <w:spacing w:after="0"/>
              <w:rPr>
                <w:sz w:val="24"/>
                <w:szCs w:val="24"/>
                <w:color w:val="auto"/>
              </w:rPr>
            </w:pPr>
          </w:p>
        </w:tc>
        <w:tc>
          <w:tcPr>
            <w:tcW w:w="2860" w:type="dxa"/>
            <w:vAlign w:val="bottom"/>
            <w:gridSpan w:val="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FF0000"/>
                <w:strike w:val="1"/>
              </w:rPr>
              <w:t>68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r>
        <w:rPr>
          <w:rFonts w:ascii="Arial" w:cs="Arial" w:eastAsia="Arial" w:hAnsi="Arial"/>
          <w:sz w:val="18"/>
          <w:szCs w:val="18"/>
          <w:color w:val="FF0000"/>
          <w:strike w:val="1"/>
        </w:rPr>
        <w:t>i</w:t>
      </w: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r>
              <w:rPr>
                <w:rFonts w:ascii="Arial" w:cs="Arial" w:eastAsia="Arial" w:hAnsi="Arial"/>
                <w:sz w:val="18"/>
                <w:szCs w:val="18"/>
                <w:b w:val="1"/>
                <w:bCs w:val="1"/>
                <w:color w:val="FF0000"/>
                <w:strike w:val="1"/>
                <w:w w:val="83"/>
              </w:rPr>
              <w:t>Page</w:t>
            </w:r>
          </w:p>
        </w:tc>
        <w:tc>
          <w:tcPr>
            <w:tcW w:w="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0"/>
                <w:szCs w:val="20"/>
                <w:color w:val="auto"/>
              </w:rPr>
            </w:pPr>
          </w:p>
        </w:tc>
      </w:tr>
      <w:tr>
        <w:trPr>
          <w:trHeight w:val="41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3.06</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Survival</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69</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00" w:type="dxa"/>
            <w:vAlign w:val="bottom"/>
            <w:gridSpan w:val="2"/>
          </w:tcPr>
          <w:p>
            <w:pPr>
              <w:spacing w:after="0"/>
              <w:rPr>
                <w:sz w:val="20"/>
                <w:szCs w:val="20"/>
                <w:color w:val="auto"/>
              </w:rPr>
            </w:pPr>
            <w:r>
              <w:rPr>
                <w:rFonts w:ascii="Arial" w:cs="Arial" w:eastAsia="Arial" w:hAnsi="Arial"/>
                <w:sz w:val="18"/>
                <w:szCs w:val="18"/>
                <w:color w:val="FF0000"/>
                <w:strike w:val="1"/>
              </w:rPr>
              <w:t>ARTICLE IV.</w:t>
            </w:r>
          </w:p>
        </w:tc>
        <w:tc>
          <w:tcPr>
            <w:tcW w:w="6620" w:type="dxa"/>
            <w:vAlign w:val="bottom"/>
          </w:tcPr>
          <w:p>
            <w:pPr>
              <w:ind w:left="100"/>
              <w:spacing w:after="0"/>
              <w:rPr>
                <w:sz w:val="20"/>
                <w:szCs w:val="20"/>
                <w:color w:val="auto"/>
              </w:rPr>
            </w:pPr>
            <w:r>
              <w:rPr>
                <w:rFonts w:ascii="Arial" w:cs="Arial" w:eastAsia="Arial" w:hAnsi="Arial"/>
                <w:sz w:val="18"/>
                <w:szCs w:val="18"/>
                <w:color w:val="FF0000"/>
                <w:strike w:val="1"/>
              </w:rPr>
              <w:t>CONDITIONS PRECEDENT TO CLOSING AND CREDIT EXTENSIONS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69</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4.01</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Conditions to Closing</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69</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4.02</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Conditions to all Credit Extensions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72</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7720" w:type="dxa"/>
            <w:vAlign w:val="bottom"/>
            <w:gridSpan w:val="3"/>
          </w:tcPr>
          <w:p>
            <w:pPr>
              <w:spacing w:after="0"/>
              <w:rPr>
                <w:sz w:val="20"/>
                <w:szCs w:val="20"/>
                <w:color w:val="auto"/>
              </w:rPr>
            </w:pPr>
            <w:r>
              <w:rPr>
                <w:rFonts w:ascii="Arial" w:cs="Arial" w:eastAsia="Arial" w:hAnsi="Arial"/>
                <w:sz w:val="18"/>
                <w:szCs w:val="18"/>
                <w:color w:val="FF0000"/>
                <w:strike w:val="1"/>
              </w:rPr>
              <w:t>ARTICLE V.  REPRESENTATIONS AND WARRANTIES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73</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5.01</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Existence, Qualification and Power</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73</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5.02</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Authorization; No Contravention</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73</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5.03</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Governmental Authorization; Other Consents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73</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5.04</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Binding Effect</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74</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5.05</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Financial Statements; No Material Adverse Effect</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74</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5.06</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Litigation</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75</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5.07</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No Default</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75</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5.08</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Ownership of Property; Liens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75</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5.09</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Environmental Compliance</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76</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5.10</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Insurance</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5.11</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Taxes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5.12</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ERISA Compliance</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5.13</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Subsidiaries; Equity Interests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5.14</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Margin Regulations; Investment Company Act</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5.15</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Disclosure</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79</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5.16</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Compliance with Laws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79</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5.17</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Intellectual Property; Licenses, Etc</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79</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5.18</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Labor Matters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79</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5.19</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Security Documents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5.20</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Solvency</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5.21</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Deposit Accounts; Credit Card Arrangements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81</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5.22</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Brokers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81</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5.23</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Trade Relations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81</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5.24</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Material Contracts</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81</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5.25</w:t>
            </w:r>
          </w:p>
        </w:tc>
        <w:tc>
          <w:tcPr>
            <w:tcW w:w="6620" w:type="dxa"/>
            <w:vAlign w:val="bottom"/>
          </w:tcPr>
          <w:p>
            <w:pPr>
              <w:ind w:left="140"/>
              <w:spacing w:after="0"/>
              <w:rPr>
                <w:sz w:val="20"/>
                <w:szCs w:val="20"/>
                <w:color w:val="auto"/>
              </w:rPr>
            </w:pPr>
            <w:r>
              <w:rPr>
                <w:rFonts w:ascii="Arial" w:cs="Arial" w:eastAsia="Arial" w:hAnsi="Arial"/>
                <w:sz w:val="18"/>
                <w:szCs w:val="18"/>
                <w:color w:val="FF0000"/>
                <w:strike w:val="1"/>
              </w:rPr>
              <w:t>Casualty</w:t>
            </w:r>
          </w:p>
        </w:tc>
        <w:tc>
          <w:tcPr>
            <w:tcW w:w="292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81</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r>
        <w:rPr>
          <w:rFonts w:ascii="Arial" w:cs="Arial" w:eastAsia="Arial" w:hAnsi="Arial"/>
          <w:sz w:val="18"/>
          <w:szCs w:val="18"/>
          <w:color w:val="FF0000"/>
          <w:strike w:val="1"/>
        </w:rPr>
        <w:t>ii</w:t>
      </w: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686"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vMerge w:val="restart"/>
          </w:tcPr>
          <w:p>
            <w:pPr>
              <w:ind w:left="3440"/>
              <w:spacing w:after="0"/>
              <w:rPr>
                <w:sz w:val="20"/>
                <w:szCs w:val="20"/>
                <w:color w:val="auto"/>
              </w:rPr>
            </w:pPr>
            <w:r>
              <w:rPr>
                <w:rFonts w:ascii="Arial" w:cs="Arial" w:eastAsia="Arial" w:hAnsi="Arial"/>
                <w:sz w:val="16"/>
                <w:szCs w:val="16"/>
                <w:b w:val="1"/>
                <w:bCs w:val="1"/>
                <w:color w:val="auto"/>
                <w:w w:val="74"/>
              </w:rPr>
              <w:t>[</w:t>
            </w:r>
          </w:p>
        </w:tc>
        <w:tc>
          <w:tcPr>
            <w:tcW w:w="1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FF0000"/>
                <w:strike w:val="1"/>
                <w:w w:val="98"/>
              </w:rPr>
              <w:t>TABLE OF CONTENTS</w:t>
            </w:r>
          </w:p>
        </w:tc>
        <w:tc>
          <w:tcPr>
            <w:tcW w:w="2060" w:type="dxa"/>
            <w:vAlign w:val="bottom"/>
            <w:vMerge w:val="restart"/>
          </w:tcPr>
          <w:p>
            <w:pPr>
              <w:jc w:val="right"/>
              <w:ind w:right="1921"/>
              <w:spacing w:after="0"/>
              <w:rPr>
                <w:sz w:val="20"/>
                <w:szCs w:val="20"/>
                <w:color w:val="auto"/>
              </w:rPr>
            </w:pPr>
            <w:r>
              <w:rPr>
                <w:rFonts w:ascii="Arial" w:cs="Arial" w:eastAsia="Arial" w:hAnsi="Arial"/>
                <w:sz w:val="16"/>
                <w:szCs w:val="16"/>
                <w:b w:val="1"/>
                <w:bCs w:val="1"/>
                <w:color w:val="auto"/>
                <w:w w:val="74"/>
              </w:rPr>
              <w:t>]</w:t>
            </w: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00" w:type="dxa"/>
            <w:vAlign w:val="bottom"/>
            <w:vMerge w:val="continue"/>
          </w:tcPr>
          <w:p>
            <w:pPr>
              <w:spacing w:after="0"/>
              <w:rPr>
                <w:sz w:val="17"/>
                <w:szCs w:val="17"/>
                <w:color w:val="auto"/>
              </w:rPr>
            </w:pPr>
          </w:p>
        </w:tc>
        <w:tc>
          <w:tcPr>
            <w:tcW w:w="1920" w:type="dxa"/>
            <w:vAlign w:val="bottom"/>
            <w:gridSpan w:val="3"/>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FF0000"/>
                <w:strike w:val="1"/>
                <w:w w:val="93"/>
              </w:rPr>
              <w:t>(continued)</w:t>
            </w:r>
          </w:p>
        </w:tc>
        <w:tc>
          <w:tcPr>
            <w:tcW w:w="2600" w:type="dxa"/>
            <w:vAlign w:val="bottom"/>
            <w:gridSpan w:val="2"/>
          </w:tcPr>
          <w:p>
            <w:pPr>
              <w:jc w:val="right"/>
              <w:ind w:right="2461"/>
              <w:spacing w:after="0"/>
              <w:rPr>
                <w:sz w:val="20"/>
                <w:szCs w:val="20"/>
                <w:color w:val="auto"/>
              </w:rPr>
            </w:pPr>
            <w:r>
              <w:rPr>
                <w:rFonts w:ascii="Arial" w:cs="Arial" w:eastAsia="Arial" w:hAnsi="Arial"/>
                <w:sz w:val="18"/>
                <w:szCs w:val="18"/>
                <w:color w:val="auto"/>
                <w:w w:val="78"/>
              </w:rPr>
              <w:t>]</w:t>
            </w:r>
          </w:p>
        </w:tc>
        <w:tc>
          <w:tcPr>
            <w:tcW w:w="2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spacing w:after="0"/>
              <w:rPr>
                <w:sz w:val="20"/>
                <w:szCs w:val="20"/>
                <w:color w:val="auto"/>
              </w:rPr>
            </w:pPr>
            <w:r>
              <w:rPr>
                <w:rFonts w:ascii="Arial" w:cs="Arial" w:eastAsia="Arial" w:hAnsi="Arial"/>
                <w:sz w:val="18"/>
                <w:szCs w:val="18"/>
                <w:b w:val="1"/>
                <w:bCs w:val="1"/>
                <w:color w:val="FF0000"/>
                <w:strike w:val="1"/>
                <w:w w:val="83"/>
              </w:rPr>
              <w:t>Page</w:t>
            </w:r>
          </w:p>
        </w:tc>
        <w:tc>
          <w:tcPr>
            <w:tcW w:w="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5.26</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OFAC</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81</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5.27</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Anti-Corruption Laws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82</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5.28</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Beneficial Ownership Certificate</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82</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5.29</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Covered Entities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82</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5.30</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EEA Financial Institutions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82</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00" w:type="dxa"/>
            <w:vAlign w:val="bottom"/>
            <w:gridSpan w:val="2"/>
          </w:tcPr>
          <w:p>
            <w:pPr>
              <w:spacing w:after="0"/>
              <w:rPr>
                <w:sz w:val="20"/>
                <w:szCs w:val="20"/>
                <w:color w:val="auto"/>
              </w:rPr>
            </w:pPr>
            <w:r>
              <w:rPr>
                <w:rFonts w:ascii="Arial" w:cs="Arial" w:eastAsia="Arial" w:hAnsi="Arial"/>
                <w:sz w:val="18"/>
                <w:szCs w:val="18"/>
                <w:color w:val="FF0000"/>
                <w:strike w:val="1"/>
              </w:rPr>
              <w:t>ARTICLE VI.</w:t>
            </w:r>
          </w:p>
        </w:tc>
        <w:tc>
          <w:tcPr>
            <w:tcW w:w="3500" w:type="dxa"/>
            <w:vAlign w:val="bottom"/>
          </w:tcPr>
          <w:p>
            <w:pPr>
              <w:ind w:left="60"/>
              <w:spacing w:after="0"/>
              <w:rPr>
                <w:sz w:val="20"/>
                <w:szCs w:val="20"/>
                <w:color w:val="auto"/>
              </w:rPr>
            </w:pPr>
            <w:r>
              <w:rPr>
                <w:rFonts w:ascii="Arial" w:cs="Arial" w:eastAsia="Arial" w:hAnsi="Arial"/>
                <w:sz w:val="18"/>
                <w:szCs w:val="18"/>
                <w:color w:val="FF0000"/>
                <w:strike w:val="1"/>
              </w:rPr>
              <w:t>AFFIRMATIVE COVENANTS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82</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6.01</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Financial Statements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82</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6.02</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Certificates; Other Information</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83</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6.03</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Notices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85</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6.04</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Payment of Obligations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86</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6.05</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Preservation of Existence, Etc</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6.06</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Maintenance of Properties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6.07</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Maintenance of Insurance</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6.08</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Compliance with Laws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6.09</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Books and Records; Accountants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6.10</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Inspection Rights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89</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6.11</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Additional Loan Parties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6.12</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Cash Management</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6.13</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Information Regarding the Collateral</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92</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6.14</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Physical Inventories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92</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6.15</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Environmental Laws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93</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6.16</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Further Assurances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93</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6.17</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Compliance with Terms of Leaseholds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93</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6.18</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Material Contracts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94</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6.19</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Anti-Corruption Laws; Sanctions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94</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6.20</w:t>
            </w:r>
          </w:p>
        </w:tc>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94</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4600" w:type="dxa"/>
            <w:vAlign w:val="bottom"/>
            <w:gridSpan w:val="3"/>
          </w:tcPr>
          <w:p>
            <w:pPr>
              <w:spacing w:after="0"/>
              <w:rPr>
                <w:sz w:val="20"/>
                <w:szCs w:val="20"/>
                <w:color w:val="auto"/>
              </w:rPr>
            </w:pPr>
            <w:r>
              <w:rPr>
                <w:rFonts w:ascii="Arial" w:cs="Arial" w:eastAsia="Arial" w:hAnsi="Arial"/>
                <w:sz w:val="18"/>
                <w:szCs w:val="18"/>
                <w:color w:val="FF0000"/>
                <w:strike w:val="1"/>
              </w:rPr>
              <w:t>ARTICLE VII.  NEGATIVE COVENANTS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94</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7.01</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Liens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94</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7.02</w:t>
            </w:r>
          </w:p>
        </w:tc>
        <w:tc>
          <w:tcPr>
            <w:tcW w:w="3500" w:type="dxa"/>
            <w:vAlign w:val="bottom"/>
          </w:tcPr>
          <w:p>
            <w:pPr>
              <w:ind w:left="140"/>
              <w:spacing w:after="0"/>
              <w:rPr>
                <w:sz w:val="20"/>
                <w:szCs w:val="20"/>
                <w:color w:val="auto"/>
              </w:rPr>
            </w:pPr>
            <w:r>
              <w:rPr>
                <w:rFonts w:ascii="Arial" w:cs="Arial" w:eastAsia="Arial" w:hAnsi="Arial"/>
                <w:sz w:val="18"/>
                <w:szCs w:val="18"/>
                <w:color w:val="FF0000"/>
                <w:strike w:val="1"/>
              </w:rPr>
              <w:t>Investments</w:t>
            </w:r>
          </w:p>
        </w:tc>
        <w:tc>
          <w:tcPr>
            <w:tcW w:w="540" w:type="dxa"/>
            <w:vAlign w:val="bottom"/>
          </w:tcPr>
          <w:p>
            <w:pPr>
              <w:spacing w:after="0"/>
              <w:rPr>
                <w:sz w:val="24"/>
                <w:szCs w:val="24"/>
                <w:color w:val="auto"/>
              </w:rPr>
            </w:pP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94</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FF0000"/>
                <w:strike w:val="1"/>
              </w:rPr>
              <w:t>7.03</w:t>
            </w:r>
          </w:p>
        </w:tc>
        <w:tc>
          <w:tcPr>
            <w:tcW w:w="4040" w:type="dxa"/>
            <w:vAlign w:val="bottom"/>
            <w:gridSpan w:val="2"/>
          </w:tcPr>
          <w:p>
            <w:pPr>
              <w:ind w:left="140"/>
              <w:spacing w:after="0"/>
              <w:rPr>
                <w:sz w:val="20"/>
                <w:szCs w:val="20"/>
                <w:color w:val="auto"/>
              </w:rPr>
            </w:pPr>
            <w:r>
              <w:rPr>
                <w:rFonts w:ascii="Arial" w:cs="Arial" w:eastAsia="Arial" w:hAnsi="Arial"/>
                <w:sz w:val="18"/>
                <w:szCs w:val="18"/>
                <w:color w:val="FF0000"/>
                <w:strike w:val="1"/>
                <w:w w:val="95"/>
              </w:rPr>
              <w:t>Indebtedness; Disqualified Stock; Equity Issuances</w:t>
            </w:r>
          </w:p>
        </w:tc>
        <w:tc>
          <w:tcPr>
            <w:tcW w:w="344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gridSpan w:val="2"/>
          </w:tcPr>
          <w:p>
            <w:pPr>
              <w:jc w:val="center"/>
              <w:ind w:left="210"/>
              <w:spacing w:after="0"/>
              <w:rPr>
                <w:sz w:val="20"/>
                <w:szCs w:val="20"/>
                <w:color w:val="auto"/>
              </w:rPr>
            </w:pPr>
            <w:r>
              <w:rPr>
                <w:rFonts w:ascii="Arial" w:cs="Arial" w:eastAsia="Arial" w:hAnsi="Arial"/>
                <w:sz w:val="18"/>
                <w:szCs w:val="18"/>
                <w:color w:val="FF0000"/>
                <w:strike w:val="1"/>
                <w:w w:val="89"/>
              </w:rPr>
              <w:t>94</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r>
        <w:rPr>
          <w:rFonts w:ascii="Arial" w:cs="Arial" w:eastAsia="Arial" w:hAnsi="Arial"/>
          <w:sz w:val="18"/>
          <w:szCs w:val="18"/>
          <w:color w:val="FF0000"/>
          <w:strike w:val="1"/>
        </w:rPr>
        <w:t>iii</w:t>
      </w: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902"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40" w:type="dxa"/>
            <w:vAlign w:val="bottom"/>
            <w:vMerge w:val="restart"/>
          </w:tcPr>
          <w:p>
            <w:pPr>
              <w:ind w:left="3380"/>
              <w:spacing w:after="0"/>
              <w:rPr>
                <w:sz w:val="20"/>
                <w:szCs w:val="20"/>
                <w:color w:val="auto"/>
              </w:rPr>
            </w:pPr>
            <w:r>
              <w:rPr>
                <w:rFonts w:ascii="Arial" w:cs="Arial" w:eastAsia="Arial" w:hAnsi="Arial"/>
                <w:sz w:val="16"/>
                <w:szCs w:val="16"/>
                <w:b w:val="1"/>
                <w:bCs w:val="1"/>
                <w:color w:val="auto"/>
                <w:w w:val="74"/>
              </w:rPr>
              <w:t>[</w:t>
            </w:r>
          </w:p>
        </w:tc>
        <w:tc>
          <w:tcPr>
            <w:tcW w:w="1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FF0000"/>
                <w:strike w:val="1"/>
                <w:w w:val="98"/>
              </w:rPr>
              <w:t>TABLE OF CONTENTS</w:t>
            </w:r>
          </w:p>
        </w:tc>
        <w:tc>
          <w:tcPr>
            <w:tcW w:w="2100" w:type="dxa"/>
            <w:vAlign w:val="bottom"/>
            <w:vMerge w:val="restart"/>
          </w:tcPr>
          <w:p>
            <w:pPr>
              <w:jc w:val="right"/>
              <w:ind w:right="1961"/>
              <w:spacing w:after="0"/>
              <w:rPr>
                <w:sz w:val="20"/>
                <w:szCs w:val="20"/>
                <w:color w:val="auto"/>
              </w:rPr>
            </w:pPr>
            <w:r>
              <w:rPr>
                <w:rFonts w:ascii="Arial" w:cs="Arial" w:eastAsia="Arial" w:hAnsi="Arial"/>
                <w:sz w:val="16"/>
                <w:szCs w:val="16"/>
                <w:b w:val="1"/>
                <w:bCs w:val="1"/>
                <w:color w:val="auto"/>
                <w:w w:val="74"/>
              </w:rPr>
              <w:t>]</w:t>
            </w:r>
          </w:p>
        </w:tc>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40" w:type="dxa"/>
            <w:vAlign w:val="bottom"/>
            <w:vMerge w:val="continue"/>
          </w:tcPr>
          <w:p>
            <w:pPr>
              <w:spacing w:after="0"/>
              <w:rPr>
                <w:sz w:val="17"/>
                <w:szCs w:val="17"/>
                <w:color w:val="auto"/>
              </w:rPr>
            </w:pPr>
          </w:p>
        </w:tc>
        <w:tc>
          <w:tcPr>
            <w:tcW w:w="1920" w:type="dxa"/>
            <w:vAlign w:val="bottom"/>
            <w:gridSpan w:val="3"/>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FF0000"/>
                <w:strike w:val="1"/>
                <w:w w:val="93"/>
              </w:rPr>
              <w:t>(continued)</w:t>
            </w:r>
          </w:p>
        </w:tc>
        <w:tc>
          <w:tcPr>
            <w:tcW w:w="2640" w:type="dxa"/>
            <w:vAlign w:val="bottom"/>
            <w:gridSpan w:val="2"/>
          </w:tcPr>
          <w:p>
            <w:pPr>
              <w:jc w:val="right"/>
              <w:ind w:right="2501"/>
              <w:spacing w:after="0"/>
              <w:rPr>
                <w:sz w:val="20"/>
                <w:szCs w:val="20"/>
                <w:color w:val="auto"/>
              </w:rPr>
            </w:pPr>
            <w:r>
              <w:rPr>
                <w:rFonts w:ascii="Arial" w:cs="Arial" w:eastAsia="Arial" w:hAnsi="Arial"/>
                <w:sz w:val="18"/>
                <w:szCs w:val="18"/>
                <w:color w:val="auto"/>
                <w:w w:val="78"/>
              </w:rPr>
              <w:t>]</w:t>
            </w:r>
          </w:p>
        </w:tc>
        <w:tc>
          <w:tcPr>
            <w:tcW w:w="2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spacing w:after="0"/>
              <w:rPr>
                <w:sz w:val="20"/>
                <w:szCs w:val="20"/>
                <w:color w:val="auto"/>
              </w:rPr>
            </w:pPr>
            <w:r>
              <w:rPr>
                <w:rFonts w:ascii="Arial" w:cs="Arial" w:eastAsia="Arial" w:hAnsi="Arial"/>
                <w:sz w:val="18"/>
                <w:szCs w:val="18"/>
                <w:b w:val="1"/>
                <w:bCs w:val="1"/>
                <w:color w:val="FF0000"/>
                <w:strike w:val="1"/>
                <w:w w:val="83"/>
              </w:rPr>
              <w:t>Page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7.04</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Fundamental Changes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95</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7.05</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Dispositions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95</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7.06</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Restricted Payments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95</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7.07</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Prepayments of Indebtedness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96</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7.08</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Change in Nature of Business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96</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7.09</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Transactions with Affiliates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96</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7.10</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Burdensome Agreements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7.11</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Use of Proceeds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7.12</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Amendment of Material Documents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7.13</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Fiscal Year</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7.14</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w w:val="99"/>
              </w:rPr>
              <w:t>Deposit Accounts; Credit Card Processors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97</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7.15</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Financial Covenant</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60" w:type="dxa"/>
            <w:vAlign w:val="bottom"/>
            <w:gridSpan w:val="2"/>
          </w:tcPr>
          <w:p>
            <w:pPr>
              <w:spacing w:after="0"/>
              <w:rPr>
                <w:sz w:val="20"/>
                <w:szCs w:val="20"/>
                <w:color w:val="auto"/>
              </w:rPr>
            </w:pPr>
            <w:r>
              <w:rPr>
                <w:rFonts w:ascii="Arial" w:cs="Arial" w:eastAsia="Arial" w:hAnsi="Arial"/>
                <w:sz w:val="18"/>
                <w:szCs w:val="18"/>
                <w:color w:val="FF0000"/>
                <w:strike w:val="1"/>
              </w:rPr>
              <w:t>ARTICLE VIII.</w:t>
            </w:r>
          </w:p>
        </w:tc>
        <w:tc>
          <w:tcPr>
            <w:tcW w:w="3440" w:type="dxa"/>
            <w:vAlign w:val="bottom"/>
          </w:tcPr>
          <w:p>
            <w:pPr>
              <w:ind w:left="140"/>
              <w:spacing w:after="0"/>
              <w:rPr>
                <w:sz w:val="20"/>
                <w:szCs w:val="20"/>
                <w:color w:val="auto"/>
              </w:rPr>
            </w:pPr>
            <w:r>
              <w:rPr>
                <w:rFonts w:ascii="Arial" w:cs="Arial" w:eastAsia="Arial" w:hAnsi="Arial"/>
                <w:sz w:val="18"/>
                <w:szCs w:val="18"/>
                <w:color w:val="FF0000"/>
                <w:strike w:val="1"/>
                <w:w w:val="99"/>
              </w:rPr>
              <w:t>EVENTS OF DEFAULT AND REMEDIES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8.01</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Events of Default</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98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8.02</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Remedies Upon Event of Default</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101</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8.03</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Application of Funds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102</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60" w:type="dxa"/>
            <w:vAlign w:val="bottom"/>
            <w:gridSpan w:val="2"/>
          </w:tcPr>
          <w:p>
            <w:pPr>
              <w:spacing w:after="0"/>
              <w:rPr>
                <w:sz w:val="20"/>
                <w:szCs w:val="20"/>
                <w:color w:val="auto"/>
              </w:rPr>
            </w:pPr>
            <w:r>
              <w:rPr>
                <w:rFonts w:ascii="Arial" w:cs="Arial" w:eastAsia="Arial" w:hAnsi="Arial"/>
                <w:sz w:val="18"/>
                <w:szCs w:val="18"/>
                <w:color w:val="FF0000"/>
                <w:strike w:val="1"/>
              </w:rPr>
              <w:t>ARTICLE IX.</w:t>
            </w:r>
          </w:p>
        </w:tc>
        <w:tc>
          <w:tcPr>
            <w:tcW w:w="3440" w:type="dxa"/>
            <w:vAlign w:val="bottom"/>
          </w:tcPr>
          <w:p>
            <w:pPr>
              <w:ind w:left="20"/>
              <w:spacing w:after="0"/>
              <w:rPr>
                <w:sz w:val="20"/>
                <w:szCs w:val="20"/>
                <w:color w:val="auto"/>
              </w:rPr>
            </w:pPr>
            <w:r>
              <w:rPr>
                <w:rFonts w:ascii="Arial" w:cs="Arial" w:eastAsia="Arial" w:hAnsi="Arial"/>
                <w:sz w:val="18"/>
                <w:szCs w:val="18"/>
                <w:color w:val="FF0000"/>
                <w:strike w:val="1"/>
              </w:rPr>
              <w:t>MISCELLANEOUS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103</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9.01</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Amendments, Etc</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103</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9.02</w:t>
            </w:r>
          </w:p>
        </w:tc>
        <w:tc>
          <w:tcPr>
            <w:tcW w:w="3980" w:type="dxa"/>
            <w:vAlign w:val="bottom"/>
            <w:gridSpan w:val="2"/>
          </w:tcPr>
          <w:p>
            <w:pPr>
              <w:ind w:left="80"/>
              <w:spacing w:after="0"/>
              <w:rPr>
                <w:sz w:val="20"/>
                <w:szCs w:val="20"/>
                <w:color w:val="auto"/>
              </w:rPr>
            </w:pPr>
            <w:r>
              <w:rPr>
                <w:rFonts w:ascii="Arial" w:cs="Arial" w:eastAsia="Arial" w:hAnsi="Arial"/>
                <w:sz w:val="18"/>
                <w:szCs w:val="18"/>
                <w:color w:val="FF0000"/>
                <w:strike w:val="1"/>
                <w:w w:val="95"/>
              </w:rPr>
              <w:t>Notices; Effectiveness; Electronic Communications</w:t>
            </w: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103</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9.03</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No Waiver; Cumulative Remedies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105</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9.04</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Expenses; Indemnity; Damage Waiver</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105</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9.05</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Payments Set Aside</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106</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9.06</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Successors and Assigns</w:t>
            </w:r>
          </w:p>
        </w:tc>
        <w:tc>
          <w:tcPr>
            <w:tcW w:w="540" w:type="dxa"/>
            <w:vAlign w:val="bottom"/>
          </w:tcPr>
          <w:p>
            <w:pPr>
              <w:spacing w:after="0"/>
              <w:rPr>
                <w:sz w:val="24"/>
                <w:szCs w:val="24"/>
                <w:color w:val="auto"/>
              </w:rPr>
            </w:pP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106</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9.07</w:t>
            </w:r>
          </w:p>
        </w:tc>
        <w:tc>
          <w:tcPr>
            <w:tcW w:w="3980" w:type="dxa"/>
            <w:vAlign w:val="bottom"/>
            <w:gridSpan w:val="2"/>
          </w:tcPr>
          <w:p>
            <w:pPr>
              <w:ind w:left="80"/>
              <w:spacing w:after="0"/>
              <w:rPr>
                <w:sz w:val="20"/>
                <w:szCs w:val="20"/>
                <w:color w:val="auto"/>
              </w:rPr>
            </w:pPr>
            <w:r>
              <w:rPr>
                <w:rFonts w:ascii="Arial" w:cs="Arial" w:eastAsia="Arial" w:hAnsi="Arial"/>
                <w:sz w:val="18"/>
                <w:szCs w:val="18"/>
                <w:color w:val="FF0000"/>
                <w:strike w:val="1"/>
              </w:rPr>
              <w:t>Treatment of Certain Information; Confidentiality</w:t>
            </w:r>
          </w:p>
        </w:tc>
        <w:tc>
          <w:tcPr>
            <w:tcW w:w="348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108</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9.08</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Right of Setoff</w:t>
            </w:r>
          </w:p>
        </w:tc>
        <w:tc>
          <w:tcPr>
            <w:tcW w:w="4020" w:type="dxa"/>
            <w:vAlign w:val="bottom"/>
            <w:gridSpan w:val="4"/>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109</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9.09</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Interest Rate Limitation</w:t>
            </w:r>
          </w:p>
        </w:tc>
        <w:tc>
          <w:tcPr>
            <w:tcW w:w="4020" w:type="dxa"/>
            <w:vAlign w:val="bottom"/>
            <w:gridSpan w:val="4"/>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109</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9.10</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Counterparts; Integration; Effectiveness</w:t>
            </w:r>
          </w:p>
        </w:tc>
        <w:tc>
          <w:tcPr>
            <w:tcW w:w="4020" w:type="dxa"/>
            <w:vAlign w:val="bottom"/>
            <w:gridSpan w:val="4"/>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110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9.11</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Survival</w:t>
            </w:r>
          </w:p>
        </w:tc>
        <w:tc>
          <w:tcPr>
            <w:tcW w:w="4020" w:type="dxa"/>
            <w:vAlign w:val="bottom"/>
            <w:gridSpan w:val="4"/>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110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9.12</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Severability</w:t>
            </w:r>
          </w:p>
        </w:tc>
        <w:tc>
          <w:tcPr>
            <w:tcW w:w="4020" w:type="dxa"/>
            <w:vAlign w:val="bottom"/>
            <w:gridSpan w:val="4"/>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110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FF0000"/>
                <w:strike w:val="1"/>
              </w:rPr>
              <w:t>9.13</w:t>
            </w:r>
          </w:p>
        </w:tc>
        <w:tc>
          <w:tcPr>
            <w:tcW w:w="3440" w:type="dxa"/>
            <w:vAlign w:val="bottom"/>
          </w:tcPr>
          <w:p>
            <w:pPr>
              <w:ind w:left="80"/>
              <w:spacing w:after="0"/>
              <w:rPr>
                <w:sz w:val="20"/>
                <w:szCs w:val="20"/>
                <w:color w:val="auto"/>
              </w:rPr>
            </w:pPr>
            <w:r>
              <w:rPr>
                <w:rFonts w:ascii="Arial" w:cs="Arial" w:eastAsia="Arial" w:hAnsi="Arial"/>
                <w:sz w:val="18"/>
                <w:szCs w:val="18"/>
                <w:color w:val="FF0000"/>
                <w:strike w:val="1"/>
              </w:rPr>
              <w:t>Governing Law; Jurisdiction; Etc</w:t>
            </w:r>
          </w:p>
        </w:tc>
        <w:tc>
          <w:tcPr>
            <w:tcW w:w="4020" w:type="dxa"/>
            <w:vAlign w:val="bottom"/>
            <w:gridSpan w:val="4"/>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FF0000"/>
                <w:strike w:val="1"/>
              </w:rPr>
              <w:t>110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r>
        <w:rPr>
          <w:rFonts w:ascii="Arial" w:cs="Arial" w:eastAsia="Arial" w:hAnsi="Arial"/>
          <w:sz w:val="18"/>
          <w:szCs w:val="18"/>
          <w:color w:val="FF0000"/>
          <w:strike w:val="1"/>
        </w:rPr>
        <w:t>iv</w:t>
      </w: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118"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20" w:type="dxa"/>
            <w:vAlign w:val="bottom"/>
            <w:gridSpan w:val="25"/>
            <w:vMerge w:val="restart"/>
          </w:tcPr>
          <w:p>
            <w:pPr>
              <w:ind w:left="3560"/>
              <w:spacing w:after="0"/>
              <w:rPr>
                <w:sz w:val="20"/>
                <w:szCs w:val="20"/>
                <w:color w:val="auto"/>
              </w:rPr>
            </w:pPr>
            <w:r>
              <w:rPr>
                <w:rFonts w:ascii="Arial" w:cs="Arial" w:eastAsia="Arial" w:hAnsi="Arial"/>
                <w:sz w:val="16"/>
                <w:szCs w:val="16"/>
                <w:b w:val="1"/>
                <w:bCs w:val="1"/>
                <w:color w:val="auto"/>
                <w:w w:val="74"/>
              </w:rPr>
              <w:t>[</w:t>
            </w:r>
          </w:p>
        </w:tc>
        <w:tc>
          <w:tcPr>
            <w:tcW w:w="192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FF0000"/>
                <w:strike w:val="1"/>
                <w:w w:val="98"/>
              </w:rPr>
              <w:t>TABLE OF CONTENTS</w:t>
            </w: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20" w:type="dxa"/>
            <w:vAlign w:val="bottom"/>
            <w:gridSpan w:val="25"/>
            <w:vMerge w:val="continue"/>
          </w:tcPr>
          <w:p>
            <w:pPr>
              <w:spacing w:after="0"/>
              <w:rPr>
                <w:sz w:val="17"/>
                <w:szCs w:val="17"/>
                <w:color w:val="auto"/>
              </w:rPr>
            </w:pPr>
          </w:p>
        </w:tc>
        <w:tc>
          <w:tcPr>
            <w:tcW w:w="1920" w:type="dxa"/>
            <w:vAlign w:val="bottom"/>
            <w:gridSpan w:val="5"/>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FF0000"/>
                <w:strike w:val="1"/>
                <w:w w:val="93"/>
              </w:rPr>
              <w:t>(continued)</w:t>
            </w:r>
          </w:p>
        </w:tc>
        <w:tc>
          <w:tcPr>
            <w:tcW w:w="540" w:type="dxa"/>
            <w:vAlign w:val="bottom"/>
          </w:tcPr>
          <w:p>
            <w:pPr>
              <w:jc w:val="right"/>
              <w:ind w:right="390"/>
              <w:spacing w:after="0"/>
              <w:rPr>
                <w:sz w:val="20"/>
                <w:szCs w:val="20"/>
                <w:color w:val="auto"/>
              </w:rPr>
            </w:pPr>
            <w:r>
              <w:rPr>
                <w:rFonts w:ascii="Arial" w:cs="Arial" w:eastAsia="Arial" w:hAnsi="Arial"/>
                <w:sz w:val="18"/>
                <w:szCs w:val="18"/>
                <w:color w:val="auto"/>
                <w:w w:val="78"/>
              </w:rPr>
              <w:t>]</w:t>
            </w:r>
          </w:p>
        </w:tc>
        <w:tc>
          <w:tcPr>
            <w:tcW w:w="160" w:type="dxa"/>
            <w:vAlign w:val="bottom"/>
          </w:tcPr>
          <w:p>
            <w:pPr>
              <w:spacing w:after="0"/>
              <w:rPr>
                <w:sz w:val="20"/>
                <w:szCs w:val="20"/>
                <w:color w:val="auto"/>
              </w:rPr>
            </w:pPr>
          </w:p>
        </w:tc>
        <w:tc>
          <w:tcPr>
            <w:tcW w:w="4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vMerge w:val="restart"/>
          </w:tcPr>
          <w:p>
            <w:pPr>
              <w:spacing w:after="0"/>
              <w:rPr>
                <w:sz w:val="20"/>
                <w:szCs w:val="20"/>
                <w:color w:val="auto"/>
              </w:rPr>
            </w:pPr>
            <w:r>
              <w:rPr>
                <w:rFonts w:ascii="Arial" w:cs="Arial" w:eastAsia="Arial" w:hAnsi="Arial"/>
                <w:sz w:val="18"/>
                <w:szCs w:val="18"/>
                <w:b w:val="1"/>
                <w:bCs w:val="1"/>
                <w:color w:val="FF0000"/>
                <w:strike w:val="1"/>
                <w:w w:val="83"/>
              </w:rPr>
              <w:t>Page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0" w:type="dxa"/>
            <w:vAlign w:val="bottom"/>
            <w:gridSpan w:val="2"/>
          </w:tcPr>
          <w:p>
            <w:pPr>
              <w:ind w:left="660"/>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spacing w:after="0"/>
              <w:rPr>
                <w:sz w:val="20"/>
                <w:szCs w:val="20"/>
                <w:color w:val="auto"/>
              </w:rPr>
            </w:pPr>
            <w:r>
              <w:rPr>
                <w:rFonts w:ascii="Arial" w:cs="Arial" w:eastAsia="Arial" w:hAnsi="Arial"/>
                <w:sz w:val="18"/>
                <w:szCs w:val="18"/>
                <w:color w:val="FF0000"/>
                <w:strike w:val="1"/>
                <w:w w:val="85"/>
              </w:rPr>
              <w:t>9.14</w:t>
            </w:r>
          </w:p>
        </w:tc>
        <w:tc>
          <w:tcPr>
            <w:tcW w:w="1880" w:type="dxa"/>
            <w:vAlign w:val="bottom"/>
            <w:gridSpan w:val="12"/>
          </w:tcPr>
          <w:p>
            <w:pPr>
              <w:ind w:left="260"/>
              <w:spacing w:after="0"/>
              <w:rPr>
                <w:sz w:val="20"/>
                <w:szCs w:val="20"/>
                <w:color w:val="auto"/>
              </w:rPr>
            </w:pPr>
            <w:r>
              <w:rPr>
                <w:rFonts w:ascii="Arial" w:cs="Arial" w:eastAsia="Arial" w:hAnsi="Arial"/>
                <w:sz w:val="18"/>
                <w:szCs w:val="18"/>
                <w:color w:val="FF0000"/>
                <w:strike w:val="1"/>
              </w:rPr>
              <w:t>Waiver of Jury Trial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FF0000"/>
                <w:strike w:val="1"/>
              </w:rPr>
              <w:t>112</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ind w:left="660"/>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spacing w:after="0"/>
              <w:rPr>
                <w:sz w:val="20"/>
                <w:szCs w:val="20"/>
                <w:color w:val="auto"/>
              </w:rPr>
            </w:pPr>
            <w:r>
              <w:rPr>
                <w:rFonts w:ascii="Arial" w:cs="Arial" w:eastAsia="Arial" w:hAnsi="Arial"/>
                <w:sz w:val="18"/>
                <w:szCs w:val="18"/>
                <w:color w:val="FF0000"/>
                <w:strike w:val="1"/>
                <w:w w:val="85"/>
              </w:rPr>
              <w:t>9.15</w:t>
            </w:r>
          </w:p>
        </w:tc>
        <w:tc>
          <w:tcPr>
            <w:tcW w:w="3220" w:type="dxa"/>
            <w:vAlign w:val="bottom"/>
            <w:gridSpan w:val="22"/>
          </w:tcPr>
          <w:p>
            <w:pPr>
              <w:ind w:left="260"/>
              <w:spacing w:after="0"/>
              <w:rPr>
                <w:sz w:val="20"/>
                <w:szCs w:val="20"/>
                <w:color w:val="auto"/>
              </w:rPr>
            </w:pPr>
            <w:r>
              <w:rPr>
                <w:rFonts w:ascii="Arial" w:cs="Arial" w:eastAsia="Arial" w:hAnsi="Arial"/>
                <w:sz w:val="18"/>
                <w:szCs w:val="18"/>
                <w:color w:val="FF0000"/>
                <w:strike w:val="1"/>
                <w:w w:val="94"/>
              </w:rPr>
              <w:t>No Advisory or Fiduciary Responsibility</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FF0000"/>
                <w:strike w:val="1"/>
              </w:rPr>
              <w:t>112</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ind w:left="660"/>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spacing w:after="0"/>
              <w:rPr>
                <w:sz w:val="20"/>
                <w:szCs w:val="20"/>
                <w:color w:val="auto"/>
              </w:rPr>
            </w:pPr>
            <w:r>
              <w:rPr>
                <w:rFonts w:ascii="Arial" w:cs="Arial" w:eastAsia="Arial" w:hAnsi="Arial"/>
                <w:sz w:val="18"/>
                <w:szCs w:val="18"/>
                <w:color w:val="FF0000"/>
                <w:strike w:val="1"/>
                <w:w w:val="85"/>
              </w:rPr>
              <w:t>9.16</w:t>
            </w:r>
          </w:p>
        </w:tc>
        <w:tc>
          <w:tcPr>
            <w:tcW w:w="2380" w:type="dxa"/>
            <w:vAlign w:val="bottom"/>
            <w:gridSpan w:val="18"/>
          </w:tcPr>
          <w:p>
            <w:pPr>
              <w:ind w:left="260"/>
              <w:spacing w:after="0"/>
              <w:rPr>
                <w:sz w:val="20"/>
                <w:szCs w:val="20"/>
                <w:color w:val="auto"/>
              </w:rPr>
            </w:pPr>
            <w:r>
              <w:rPr>
                <w:rFonts w:ascii="Arial" w:cs="Arial" w:eastAsia="Arial" w:hAnsi="Arial"/>
                <w:sz w:val="18"/>
                <w:szCs w:val="18"/>
                <w:color w:val="FF0000"/>
                <w:strike w:val="1"/>
              </w:rPr>
              <w:t>USA PATRIOT Act Notice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FF0000"/>
                <w:strike w:val="1"/>
              </w:rPr>
              <w:t>113</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ind w:left="660"/>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spacing w:after="0"/>
              <w:rPr>
                <w:sz w:val="20"/>
                <w:szCs w:val="20"/>
                <w:color w:val="auto"/>
              </w:rPr>
            </w:pPr>
            <w:r>
              <w:rPr>
                <w:rFonts w:ascii="Arial" w:cs="Arial" w:eastAsia="Arial" w:hAnsi="Arial"/>
                <w:sz w:val="18"/>
                <w:szCs w:val="18"/>
                <w:color w:val="FF0000"/>
                <w:strike w:val="1"/>
                <w:w w:val="85"/>
              </w:rPr>
              <w:t>9.17</w:t>
            </w:r>
          </w:p>
        </w:tc>
        <w:tc>
          <w:tcPr>
            <w:tcW w:w="1060" w:type="dxa"/>
            <w:vAlign w:val="bottom"/>
            <w:gridSpan w:val="5"/>
          </w:tcPr>
          <w:p>
            <w:pPr>
              <w:ind w:left="260"/>
              <w:spacing w:after="0"/>
              <w:rPr>
                <w:sz w:val="20"/>
                <w:szCs w:val="20"/>
                <w:color w:val="auto"/>
              </w:rPr>
            </w:pPr>
            <w:r>
              <w:rPr>
                <w:rFonts w:ascii="Arial" w:cs="Arial" w:eastAsia="Arial" w:hAnsi="Arial"/>
                <w:sz w:val="18"/>
                <w:szCs w:val="18"/>
                <w:color w:val="FF0000"/>
                <w:strike w:val="1"/>
                <w:w w:val="89"/>
              </w:rPr>
              <w:t>[Reserved]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FF0000"/>
                <w:strike w:val="1"/>
              </w:rPr>
              <w:t>113</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ind w:left="660"/>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spacing w:after="0"/>
              <w:rPr>
                <w:sz w:val="20"/>
                <w:szCs w:val="20"/>
                <w:color w:val="auto"/>
              </w:rPr>
            </w:pPr>
            <w:r>
              <w:rPr>
                <w:rFonts w:ascii="Arial" w:cs="Arial" w:eastAsia="Arial" w:hAnsi="Arial"/>
                <w:sz w:val="18"/>
                <w:szCs w:val="18"/>
                <w:color w:val="FF0000"/>
                <w:strike w:val="1"/>
                <w:w w:val="85"/>
              </w:rPr>
              <w:t>9.18</w:t>
            </w:r>
          </w:p>
        </w:tc>
        <w:tc>
          <w:tcPr>
            <w:tcW w:w="1880" w:type="dxa"/>
            <w:vAlign w:val="bottom"/>
            <w:gridSpan w:val="12"/>
          </w:tcPr>
          <w:p>
            <w:pPr>
              <w:ind w:left="260"/>
              <w:spacing w:after="0"/>
              <w:rPr>
                <w:sz w:val="20"/>
                <w:szCs w:val="20"/>
                <w:color w:val="auto"/>
              </w:rPr>
            </w:pPr>
            <w:r>
              <w:rPr>
                <w:rFonts w:ascii="Arial" w:cs="Arial" w:eastAsia="Arial" w:hAnsi="Arial"/>
                <w:sz w:val="18"/>
                <w:szCs w:val="18"/>
                <w:color w:val="FF0000"/>
                <w:strike w:val="1"/>
                <w:w w:val="97"/>
              </w:rPr>
              <w:t>Time of the Essence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FF0000"/>
                <w:strike w:val="1"/>
              </w:rPr>
              <w:t>113</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ind w:left="660"/>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spacing w:after="0"/>
              <w:rPr>
                <w:sz w:val="20"/>
                <w:szCs w:val="20"/>
                <w:color w:val="auto"/>
              </w:rPr>
            </w:pPr>
            <w:r>
              <w:rPr>
                <w:rFonts w:ascii="Arial" w:cs="Arial" w:eastAsia="Arial" w:hAnsi="Arial"/>
                <w:sz w:val="18"/>
                <w:szCs w:val="18"/>
                <w:color w:val="FF0000"/>
                <w:strike w:val="1"/>
                <w:w w:val="85"/>
              </w:rPr>
              <w:t>9.19</w:t>
            </w:r>
          </w:p>
        </w:tc>
        <w:tc>
          <w:tcPr>
            <w:tcW w:w="1360" w:type="dxa"/>
            <w:vAlign w:val="bottom"/>
            <w:gridSpan w:val="9"/>
          </w:tcPr>
          <w:p>
            <w:pPr>
              <w:ind w:left="260"/>
              <w:spacing w:after="0"/>
              <w:rPr>
                <w:sz w:val="20"/>
                <w:szCs w:val="20"/>
                <w:color w:val="auto"/>
              </w:rPr>
            </w:pPr>
            <w:r>
              <w:rPr>
                <w:rFonts w:ascii="Arial" w:cs="Arial" w:eastAsia="Arial" w:hAnsi="Arial"/>
                <w:sz w:val="18"/>
                <w:szCs w:val="18"/>
                <w:color w:val="FF0000"/>
                <w:strike w:val="1"/>
                <w:w w:val="85"/>
              </w:rPr>
              <w:t>Press Releases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FF0000"/>
                <w:strike w:val="1"/>
              </w:rPr>
              <w:t>113</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ind w:left="660"/>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spacing w:after="0"/>
              <w:rPr>
                <w:sz w:val="20"/>
                <w:szCs w:val="20"/>
                <w:color w:val="auto"/>
              </w:rPr>
            </w:pPr>
            <w:r>
              <w:rPr>
                <w:rFonts w:ascii="Arial" w:cs="Arial" w:eastAsia="Arial" w:hAnsi="Arial"/>
                <w:sz w:val="18"/>
                <w:szCs w:val="18"/>
                <w:color w:val="FF0000"/>
                <w:strike w:val="1"/>
                <w:w w:val="85"/>
              </w:rPr>
              <w:t>9.20</w:t>
            </w:r>
          </w:p>
        </w:tc>
        <w:tc>
          <w:tcPr>
            <w:tcW w:w="1880" w:type="dxa"/>
            <w:vAlign w:val="bottom"/>
            <w:gridSpan w:val="12"/>
          </w:tcPr>
          <w:p>
            <w:pPr>
              <w:ind w:left="260"/>
              <w:spacing w:after="0"/>
              <w:rPr>
                <w:sz w:val="20"/>
                <w:szCs w:val="20"/>
                <w:color w:val="auto"/>
              </w:rPr>
            </w:pPr>
            <w:r>
              <w:rPr>
                <w:rFonts w:ascii="Arial" w:cs="Arial" w:eastAsia="Arial" w:hAnsi="Arial"/>
                <w:sz w:val="18"/>
                <w:szCs w:val="18"/>
                <w:color w:val="FF0000"/>
                <w:strike w:val="1"/>
              </w:rPr>
              <w:t>Additional Waivers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FF0000"/>
                <w:strike w:val="1"/>
              </w:rPr>
              <w:t>113</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ind w:left="660"/>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spacing w:after="0"/>
              <w:rPr>
                <w:sz w:val="20"/>
                <w:szCs w:val="20"/>
                <w:color w:val="auto"/>
              </w:rPr>
            </w:pPr>
            <w:r>
              <w:rPr>
                <w:rFonts w:ascii="Arial" w:cs="Arial" w:eastAsia="Arial" w:hAnsi="Arial"/>
                <w:sz w:val="18"/>
                <w:szCs w:val="18"/>
                <w:color w:val="FF0000"/>
                <w:strike w:val="1"/>
                <w:w w:val="85"/>
              </w:rPr>
              <w:t>9.21</w:t>
            </w:r>
          </w:p>
        </w:tc>
        <w:tc>
          <w:tcPr>
            <w:tcW w:w="1960" w:type="dxa"/>
            <w:vAlign w:val="bottom"/>
            <w:gridSpan w:val="13"/>
          </w:tcPr>
          <w:p>
            <w:pPr>
              <w:ind w:left="260"/>
              <w:spacing w:after="0"/>
              <w:rPr>
                <w:sz w:val="20"/>
                <w:szCs w:val="20"/>
                <w:color w:val="auto"/>
              </w:rPr>
            </w:pPr>
            <w:r>
              <w:rPr>
                <w:rFonts w:ascii="Arial" w:cs="Arial" w:eastAsia="Arial" w:hAnsi="Arial"/>
                <w:sz w:val="18"/>
                <w:szCs w:val="18"/>
                <w:color w:val="FF0000"/>
                <w:strike w:val="1"/>
                <w:w w:val="95"/>
              </w:rPr>
              <w:t>No Strict Construction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FF0000"/>
                <w:strike w:val="1"/>
              </w:rPr>
              <w:t>115</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ind w:left="660"/>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spacing w:after="0"/>
              <w:rPr>
                <w:sz w:val="20"/>
                <w:szCs w:val="20"/>
                <w:color w:val="auto"/>
              </w:rPr>
            </w:pPr>
            <w:r>
              <w:rPr>
                <w:rFonts w:ascii="Arial" w:cs="Arial" w:eastAsia="Arial" w:hAnsi="Arial"/>
                <w:sz w:val="18"/>
                <w:szCs w:val="18"/>
                <w:color w:val="FF0000"/>
                <w:strike w:val="1"/>
                <w:w w:val="85"/>
              </w:rPr>
              <w:t>9.22</w:t>
            </w:r>
          </w:p>
        </w:tc>
        <w:tc>
          <w:tcPr>
            <w:tcW w:w="1240" w:type="dxa"/>
            <w:vAlign w:val="bottom"/>
            <w:gridSpan w:val="7"/>
          </w:tcPr>
          <w:p>
            <w:pPr>
              <w:ind w:left="260"/>
              <w:spacing w:after="0"/>
              <w:rPr>
                <w:sz w:val="20"/>
                <w:szCs w:val="20"/>
                <w:color w:val="auto"/>
              </w:rPr>
            </w:pPr>
            <w:r>
              <w:rPr>
                <w:rFonts w:ascii="Arial" w:cs="Arial" w:eastAsia="Arial" w:hAnsi="Arial"/>
                <w:sz w:val="18"/>
                <w:szCs w:val="18"/>
                <w:color w:val="FF0000"/>
                <w:strike w:val="1"/>
                <w:w w:val="95"/>
              </w:rPr>
              <w:t>Attachments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FF0000"/>
                <w:strike w:val="1"/>
              </w:rPr>
              <w:t>115</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ind w:left="660"/>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spacing w:after="0"/>
              <w:rPr>
                <w:sz w:val="20"/>
                <w:szCs w:val="20"/>
                <w:color w:val="auto"/>
              </w:rPr>
            </w:pPr>
            <w:r>
              <w:rPr>
                <w:rFonts w:ascii="Arial" w:cs="Arial" w:eastAsia="Arial" w:hAnsi="Arial"/>
                <w:sz w:val="18"/>
                <w:szCs w:val="18"/>
                <w:color w:val="FF0000"/>
                <w:strike w:val="1"/>
                <w:w w:val="85"/>
              </w:rPr>
              <w:t>9.23</w:t>
            </w:r>
          </w:p>
        </w:tc>
        <w:tc>
          <w:tcPr>
            <w:tcW w:w="1040" w:type="dxa"/>
            <w:vAlign w:val="bottom"/>
            <w:gridSpan w:val="4"/>
          </w:tcPr>
          <w:p>
            <w:pPr>
              <w:ind w:left="260"/>
              <w:spacing w:after="0"/>
              <w:rPr>
                <w:sz w:val="20"/>
                <w:szCs w:val="20"/>
                <w:color w:val="auto"/>
              </w:rPr>
            </w:pPr>
            <w:r>
              <w:rPr>
                <w:rFonts w:ascii="Arial" w:cs="Arial" w:eastAsia="Arial" w:hAnsi="Arial"/>
                <w:sz w:val="18"/>
                <w:szCs w:val="18"/>
                <w:color w:val="FF0000"/>
                <w:strike w:val="1"/>
              </w:rPr>
              <w:t>Keepwell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FF0000"/>
                <w:strike w:val="1"/>
              </w:rPr>
              <w:t>115</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ind w:left="660"/>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spacing w:after="0"/>
              <w:rPr>
                <w:sz w:val="20"/>
                <w:szCs w:val="20"/>
                <w:color w:val="auto"/>
              </w:rPr>
            </w:pPr>
            <w:r>
              <w:rPr>
                <w:rFonts w:ascii="Arial" w:cs="Arial" w:eastAsia="Arial" w:hAnsi="Arial"/>
                <w:sz w:val="18"/>
                <w:szCs w:val="18"/>
                <w:color w:val="FF0000"/>
                <w:strike w:val="1"/>
                <w:w w:val="85"/>
              </w:rPr>
              <w:t>9.24</w:t>
            </w:r>
          </w:p>
        </w:tc>
        <w:tc>
          <w:tcPr>
            <w:tcW w:w="5540" w:type="dxa"/>
            <w:vAlign w:val="bottom"/>
            <w:gridSpan w:val="30"/>
          </w:tcPr>
          <w:p>
            <w:pPr>
              <w:ind w:left="260"/>
              <w:spacing w:after="0"/>
              <w:rPr>
                <w:sz w:val="20"/>
                <w:szCs w:val="20"/>
                <w:color w:val="auto"/>
              </w:rPr>
            </w:pPr>
            <w:r>
              <w:rPr>
                <w:rFonts w:ascii="Arial" w:cs="Arial" w:eastAsia="Arial" w:hAnsi="Arial"/>
                <w:sz w:val="18"/>
                <w:szCs w:val="18"/>
                <w:color w:val="FF0000"/>
                <w:strike w:val="1"/>
                <w:w w:val="98"/>
              </w:rPr>
              <w:t>Electronic Execution of Assignments and Certain Other Documents</w:t>
            </w: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FF0000"/>
                <w:strike w:val="1"/>
              </w:rPr>
              <w:t>116</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720" w:type="dxa"/>
            <w:vAlign w:val="bottom"/>
            <w:gridSpan w:val="2"/>
          </w:tcPr>
          <w:p>
            <w:pPr>
              <w:ind w:left="660"/>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spacing w:after="0"/>
              <w:rPr>
                <w:sz w:val="20"/>
                <w:szCs w:val="20"/>
                <w:color w:val="auto"/>
              </w:rPr>
            </w:pPr>
            <w:r>
              <w:rPr>
                <w:rFonts w:ascii="Arial" w:cs="Arial" w:eastAsia="Arial" w:hAnsi="Arial"/>
                <w:sz w:val="18"/>
                <w:szCs w:val="18"/>
                <w:color w:val="FF0000"/>
                <w:strike w:val="1"/>
                <w:w w:val="85"/>
              </w:rPr>
              <w:t>9.25</w:t>
            </w:r>
          </w:p>
        </w:tc>
        <w:tc>
          <w:tcPr>
            <w:tcW w:w="4020" w:type="dxa"/>
            <w:vAlign w:val="bottom"/>
            <w:gridSpan w:val="26"/>
          </w:tcPr>
          <w:p>
            <w:pPr>
              <w:ind w:left="260"/>
              <w:spacing w:after="0"/>
              <w:rPr>
                <w:sz w:val="20"/>
                <w:szCs w:val="20"/>
                <w:color w:val="auto"/>
              </w:rPr>
            </w:pPr>
            <w:r>
              <w:rPr>
                <w:rFonts w:ascii="Arial" w:cs="Arial" w:eastAsia="Arial" w:hAnsi="Arial"/>
                <w:sz w:val="18"/>
                <w:szCs w:val="18"/>
                <w:color w:val="FF0000"/>
                <w:strike w:val="1"/>
                <w:w w:val="90"/>
              </w:rPr>
              <w:t>Acknowledgement Regarding Any Supported QFCs</w:t>
            </w:r>
          </w:p>
        </w:tc>
        <w:tc>
          <w:tcPr>
            <w:tcW w:w="60" w:type="dxa"/>
            <w:vAlign w:val="bottom"/>
          </w:tcPr>
          <w:p>
            <w:pPr>
              <w:spacing w:after="0"/>
              <w:rPr>
                <w:sz w:val="24"/>
                <w:szCs w:val="24"/>
                <w:color w:val="auto"/>
              </w:rPr>
            </w:pPr>
          </w:p>
        </w:tc>
        <w:tc>
          <w:tcPr>
            <w:tcW w:w="1620" w:type="dxa"/>
            <w:vAlign w:val="bottom"/>
            <w:gridSpan w:val="4"/>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FF0000"/>
                <w:strike w:val="1"/>
              </w:rPr>
              <w:t>116</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391"/>
        </w:trPr>
        <w:tc>
          <w:tcPr>
            <w:tcW w:w="6740" w:type="dxa"/>
            <w:vAlign w:val="bottom"/>
            <w:gridSpan w:val="34"/>
          </w:tcPr>
          <w:p>
            <w:pPr>
              <w:spacing w:after="0"/>
              <w:rPr>
                <w:sz w:val="20"/>
                <w:szCs w:val="20"/>
                <w:color w:val="auto"/>
              </w:rPr>
            </w:pPr>
            <w:r>
              <w:rPr>
                <w:rFonts w:ascii="Arial" w:cs="Arial" w:eastAsia="Arial" w:hAnsi="Arial"/>
                <w:sz w:val="18"/>
                <w:szCs w:val="18"/>
                <w:color w:val="0000FF"/>
              </w:rPr>
              <w:t>ARTICLE I.  DEFINITIONS AND ACCOUNTING TERMS</w:t>
            </w:r>
          </w:p>
        </w:tc>
        <w:tc>
          <w:tcPr>
            <w:tcW w:w="4520" w:type="dxa"/>
            <w:vAlign w:val="bottom"/>
            <w:gridSpan w:val="8"/>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6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3"/>
          </w:tcPr>
          <w:p>
            <w:pPr>
              <w:ind w:left="660"/>
              <w:spacing w:after="0"/>
              <w:rPr>
                <w:sz w:val="20"/>
                <w:szCs w:val="20"/>
                <w:color w:val="auto"/>
              </w:rPr>
            </w:pPr>
            <w:r>
              <w:rPr>
                <w:rFonts w:ascii="Arial" w:cs="Arial" w:eastAsia="Arial" w:hAnsi="Arial"/>
                <w:sz w:val="18"/>
                <w:szCs w:val="18"/>
                <w:color w:val="0000FF"/>
              </w:rPr>
              <w:t>1.</w:t>
            </w:r>
            <w:r>
              <w:rPr>
                <w:rFonts w:ascii="Arial" w:cs="Arial" w:eastAsia="Arial" w:hAnsi="Arial"/>
                <w:sz w:val="18"/>
                <w:szCs w:val="18"/>
                <w:u w:val="single" w:color="auto"/>
                <w:color w:val="0000FF"/>
              </w:rPr>
              <w:t>01</w:t>
            </w:r>
          </w:p>
        </w:tc>
        <w:tc>
          <w:tcPr>
            <w:tcW w:w="5700" w:type="dxa"/>
            <w:vAlign w:val="bottom"/>
            <w:gridSpan w:val="31"/>
          </w:tcPr>
          <w:p>
            <w:pPr>
              <w:ind w:left="60"/>
              <w:spacing w:after="0"/>
              <w:rPr>
                <w:sz w:val="20"/>
                <w:szCs w:val="20"/>
                <w:color w:val="auto"/>
              </w:rPr>
            </w:pPr>
            <w:r>
              <w:rPr>
                <w:rFonts w:ascii="Arial" w:cs="Arial" w:eastAsia="Arial" w:hAnsi="Arial"/>
                <w:sz w:val="18"/>
                <w:szCs w:val="18"/>
                <w:color w:val="0000FF"/>
              </w:rPr>
              <w:t>Defined Terms</w:t>
            </w:r>
          </w:p>
        </w:tc>
        <w:tc>
          <w:tcPr>
            <w:tcW w:w="4520" w:type="dxa"/>
            <w:vAlign w:val="bottom"/>
            <w:gridSpan w:val="8"/>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gridSpan w:val="2"/>
          </w:tcPr>
          <w:p>
            <w:pPr>
              <w:spacing w:after="0" w:line="156" w:lineRule="exact"/>
              <w:rPr>
                <w:sz w:val="20"/>
                <w:szCs w:val="20"/>
                <w:color w:val="auto"/>
              </w:rPr>
            </w:pPr>
            <w:r>
              <w:rPr>
                <w:rFonts w:ascii="Arial" w:cs="Arial" w:eastAsia="Arial" w:hAnsi="Arial"/>
                <w:sz w:val="18"/>
                <w:szCs w:val="18"/>
                <w:color w:val="0000FF"/>
              </w:rPr>
              <w:t>1.</w:t>
            </w:r>
            <w:r>
              <w:rPr>
                <w:rFonts w:ascii="Arial" w:cs="Arial" w:eastAsia="Arial" w:hAnsi="Arial"/>
                <w:sz w:val="18"/>
                <w:szCs w:val="18"/>
                <w:u w:val="single" w:color="auto"/>
                <w:color w:val="0000FF"/>
              </w:rPr>
              <w:t>02</w:t>
            </w:r>
          </w:p>
        </w:tc>
        <w:tc>
          <w:tcPr>
            <w:tcW w:w="5700" w:type="dxa"/>
            <w:vAlign w:val="bottom"/>
            <w:gridSpan w:val="31"/>
          </w:tcPr>
          <w:p>
            <w:pPr>
              <w:ind w:left="60"/>
              <w:spacing w:after="0" w:line="156" w:lineRule="exact"/>
              <w:rPr>
                <w:sz w:val="20"/>
                <w:szCs w:val="20"/>
                <w:color w:val="auto"/>
              </w:rPr>
            </w:pPr>
            <w:r>
              <w:rPr>
                <w:rFonts w:ascii="Arial" w:cs="Arial" w:eastAsia="Arial" w:hAnsi="Arial"/>
                <w:sz w:val="18"/>
                <w:szCs w:val="18"/>
                <w:color w:val="0000FF"/>
              </w:rPr>
              <w:t>Other Interpretive Provisions</w:t>
            </w:r>
          </w:p>
        </w:tc>
        <w:tc>
          <w:tcPr>
            <w:tcW w:w="4500" w:type="dxa"/>
            <w:vAlign w:val="bottom"/>
            <w:gridSpan w:val="7"/>
          </w:tcPr>
          <w:p>
            <w:pPr>
              <w:jc w:val="right"/>
              <w:spacing w:after="0" w:line="156" w:lineRule="exact"/>
              <w:rPr>
                <w:sz w:val="20"/>
                <w:szCs w:val="20"/>
                <w:color w:val="auto"/>
              </w:rPr>
            </w:pPr>
            <w:r>
              <w:rPr>
                <w:rFonts w:ascii="Arial" w:cs="Arial" w:eastAsia="Arial" w:hAnsi="Arial"/>
                <w:sz w:val="18"/>
                <w:szCs w:val="18"/>
                <w:color w:val="0000FF"/>
              </w:rPr>
              <w:t>54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20" w:type="dxa"/>
            <w:vAlign w:val="bottom"/>
            <w:gridSpan w:val="4"/>
            <w:vMerge w:val="restart"/>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1.</w:t>
            </w:r>
            <w:r>
              <w:rPr>
                <w:rFonts w:ascii="Arial" w:cs="Arial" w:eastAsia="Arial" w:hAnsi="Arial"/>
                <w:sz w:val="18"/>
                <w:szCs w:val="18"/>
                <w:u w:val="single" w:color="auto"/>
                <w:color w:val="0000FF"/>
              </w:rPr>
              <w:t>03</w:t>
            </w:r>
          </w:p>
        </w:tc>
        <w:tc>
          <w:tcPr>
            <w:tcW w:w="1440" w:type="dxa"/>
            <w:vAlign w:val="bottom"/>
            <w:tcBorders>
              <w:bottom w:val="single" w:sz="8" w:color="0000FF"/>
            </w:tcBorders>
            <w:gridSpan w:val="11"/>
          </w:tcPr>
          <w:p>
            <w:pPr>
              <w:ind w:left="60"/>
              <w:spacing w:after="0" w:line="156" w:lineRule="exact"/>
              <w:rPr>
                <w:sz w:val="20"/>
                <w:szCs w:val="20"/>
                <w:color w:val="auto"/>
              </w:rPr>
            </w:pPr>
            <w:r>
              <w:rPr>
                <w:rFonts w:ascii="Arial" w:cs="Arial" w:eastAsia="Arial" w:hAnsi="Arial"/>
                <w:sz w:val="18"/>
                <w:szCs w:val="18"/>
                <w:color w:val="0000FF"/>
                <w:w w:val="90"/>
              </w:rPr>
              <w:t>Accounting Terms.</w:t>
            </w:r>
          </w:p>
        </w:tc>
        <w:tc>
          <w:tcPr>
            <w:tcW w:w="720" w:type="dxa"/>
            <w:vAlign w:val="bottom"/>
            <w:gridSpan w:val="6"/>
          </w:tcPr>
          <w:p>
            <w:pPr>
              <w:spacing w:after="0"/>
              <w:rPr>
                <w:sz w:val="13"/>
                <w:szCs w:val="13"/>
                <w:color w:val="auto"/>
              </w:rPr>
            </w:pPr>
          </w:p>
        </w:tc>
        <w:tc>
          <w:tcPr>
            <w:tcW w:w="2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55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20" w:type="dxa"/>
            <w:vAlign w:val="bottom"/>
            <w:gridSpan w:val="4"/>
            <w:vMerge w:val="restart"/>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1.</w:t>
            </w:r>
            <w:r>
              <w:rPr>
                <w:rFonts w:ascii="Arial" w:cs="Arial" w:eastAsia="Arial" w:hAnsi="Arial"/>
                <w:sz w:val="18"/>
                <w:szCs w:val="18"/>
                <w:u w:val="single" w:color="auto"/>
                <w:color w:val="0000FF"/>
              </w:rPr>
              <w:t>04</w:t>
            </w:r>
          </w:p>
        </w:tc>
        <w:tc>
          <w:tcPr>
            <w:tcW w:w="780" w:type="dxa"/>
            <w:vAlign w:val="bottom"/>
            <w:tcBorders>
              <w:bottom w:val="single" w:sz="8" w:color="0000FF"/>
            </w:tcBorders>
            <w:gridSpan w:val="3"/>
          </w:tcPr>
          <w:p>
            <w:pPr>
              <w:ind w:left="60"/>
              <w:spacing w:after="0" w:line="156" w:lineRule="exact"/>
              <w:rPr>
                <w:sz w:val="20"/>
                <w:szCs w:val="20"/>
                <w:color w:val="auto"/>
              </w:rPr>
            </w:pPr>
            <w:r>
              <w:rPr>
                <w:rFonts w:ascii="Arial" w:cs="Arial" w:eastAsia="Arial" w:hAnsi="Arial"/>
                <w:sz w:val="18"/>
                <w:szCs w:val="18"/>
                <w:color w:val="0000FF"/>
                <w:w w:val="90"/>
              </w:rPr>
              <w:t>Rounding</w:t>
            </w:r>
          </w:p>
        </w:tc>
        <w:tc>
          <w:tcPr>
            <w:tcW w:w="660" w:type="dxa"/>
            <w:vAlign w:val="bottom"/>
            <w:gridSpan w:val="8"/>
          </w:tcPr>
          <w:p>
            <w:pPr>
              <w:spacing w:after="0"/>
              <w:rPr>
                <w:sz w:val="13"/>
                <w:szCs w:val="13"/>
                <w:color w:val="auto"/>
              </w:rPr>
            </w:pPr>
          </w:p>
        </w:tc>
        <w:tc>
          <w:tcPr>
            <w:tcW w:w="4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55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1"/>
              </w:rPr>
              <w:t>Day</w:t>
            </w:r>
          </w:p>
        </w:tc>
        <w:tc>
          <w:tcPr>
            <w:tcW w:w="4640" w:type="dxa"/>
            <w:vAlign w:val="bottom"/>
            <w:gridSpan w:val="26"/>
            <w:vMerge w:val="restart"/>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1.</w:t>
            </w:r>
            <w:r>
              <w:rPr>
                <w:rFonts w:ascii="Arial" w:cs="Arial" w:eastAsia="Arial" w:hAnsi="Arial"/>
                <w:sz w:val="18"/>
                <w:szCs w:val="18"/>
                <w:u w:val="single" w:color="auto"/>
                <w:color w:val="0000FF"/>
              </w:rPr>
              <w:t>05</w:t>
            </w:r>
          </w:p>
        </w:tc>
        <w:tc>
          <w:tcPr>
            <w:tcW w:w="780" w:type="dxa"/>
            <w:vAlign w:val="bottom"/>
            <w:tcBorders>
              <w:bottom w:val="single" w:sz="8" w:color="0000FF"/>
            </w:tcBorders>
            <w:gridSpan w:val="3"/>
          </w:tcPr>
          <w:p>
            <w:pPr>
              <w:ind w:left="60"/>
              <w:spacing w:after="0" w:line="156" w:lineRule="exact"/>
              <w:rPr>
                <w:sz w:val="20"/>
                <w:szCs w:val="20"/>
                <w:color w:val="auto"/>
              </w:rPr>
            </w:pPr>
            <w:r>
              <w:rPr>
                <w:rFonts w:ascii="Arial" w:cs="Arial" w:eastAsia="Arial" w:hAnsi="Arial"/>
                <w:sz w:val="18"/>
                <w:szCs w:val="18"/>
                <w:color w:val="0000FF"/>
              </w:rPr>
              <w:t>Times of</w:t>
            </w:r>
          </w:p>
        </w:tc>
        <w:tc>
          <w:tcPr>
            <w:tcW w:w="280" w:type="dxa"/>
            <w:vAlign w:val="bottom"/>
            <w:tcBorders>
              <w:bottom w:val="single" w:sz="8" w:color="0000FF"/>
            </w:tcBorders>
            <w:gridSpan w:val="2"/>
            <w:vMerge w:val="continue"/>
          </w:tcPr>
          <w:p>
            <w:pPr>
              <w:spacing w:after="0"/>
              <w:rPr>
                <w:sz w:val="13"/>
                <w:szCs w:val="13"/>
                <w:color w:val="auto"/>
              </w:rPr>
            </w:pPr>
          </w:p>
        </w:tc>
        <w:tc>
          <w:tcPr>
            <w:tcW w:w="4640" w:type="dxa"/>
            <w:vAlign w:val="bottom"/>
            <w:gridSpan w:val="26"/>
            <w:vMerge w:val="continue"/>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40" w:type="dxa"/>
            <w:vAlign w:val="bottom"/>
            <w:gridSpan w:val="3"/>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gridSpan w:val="2"/>
          </w:tcPr>
          <w:p>
            <w:pPr>
              <w:spacing w:after="0" w:line="156" w:lineRule="exact"/>
              <w:rPr>
                <w:sz w:val="20"/>
                <w:szCs w:val="20"/>
                <w:color w:val="auto"/>
              </w:rPr>
            </w:pPr>
            <w:r>
              <w:rPr>
                <w:rFonts w:ascii="Arial" w:cs="Arial" w:eastAsia="Arial" w:hAnsi="Arial"/>
                <w:sz w:val="18"/>
                <w:szCs w:val="18"/>
                <w:color w:val="0000FF"/>
              </w:rPr>
              <w:t>1.</w:t>
            </w:r>
            <w:r>
              <w:rPr>
                <w:rFonts w:ascii="Arial" w:cs="Arial" w:eastAsia="Arial" w:hAnsi="Arial"/>
                <w:sz w:val="18"/>
                <w:szCs w:val="18"/>
                <w:u w:val="single" w:color="auto"/>
                <w:color w:val="0000FF"/>
              </w:rPr>
              <w:t>06</w:t>
            </w:r>
          </w:p>
        </w:tc>
        <w:tc>
          <w:tcPr>
            <w:tcW w:w="5700" w:type="dxa"/>
            <w:vAlign w:val="bottom"/>
            <w:gridSpan w:val="31"/>
          </w:tcPr>
          <w:p>
            <w:pPr>
              <w:ind w:left="60"/>
              <w:spacing w:after="0" w:line="156" w:lineRule="exact"/>
              <w:rPr>
                <w:sz w:val="20"/>
                <w:szCs w:val="20"/>
                <w:color w:val="auto"/>
              </w:rPr>
            </w:pPr>
            <w:r>
              <w:rPr>
                <w:rFonts w:ascii="Arial" w:cs="Arial" w:eastAsia="Arial" w:hAnsi="Arial"/>
                <w:sz w:val="18"/>
                <w:szCs w:val="18"/>
                <w:color w:val="0000FF"/>
              </w:rPr>
              <w:t>Letter of Credit Amounts</w:t>
            </w:r>
          </w:p>
        </w:tc>
        <w:tc>
          <w:tcPr>
            <w:tcW w:w="4340" w:type="dxa"/>
            <w:vAlign w:val="bottom"/>
            <w:gridSpan w:val="3"/>
            <w:vMerge w:val="continue"/>
          </w:tcPr>
          <w:p>
            <w:pPr>
              <w:spacing w:after="0"/>
              <w:rPr>
                <w:sz w:val="13"/>
                <w:szCs w:val="13"/>
                <w:color w:val="auto"/>
              </w:rPr>
            </w:pPr>
          </w:p>
        </w:tc>
        <w:tc>
          <w:tcPr>
            <w:tcW w:w="160" w:type="dxa"/>
            <w:vAlign w:val="bottom"/>
            <w:gridSpan w:val="4"/>
          </w:tcPr>
          <w:p>
            <w:pPr>
              <w:jc w:val="right"/>
              <w:spacing w:after="0" w:line="156" w:lineRule="exact"/>
              <w:rPr>
                <w:sz w:val="20"/>
                <w:szCs w:val="20"/>
                <w:color w:val="auto"/>
              </w:rPr>
            </w:pPr>
            <w:r>
              <w:rPr>
                <w:rFonts w:ascii="Arial" w:cs="Arial" w:eastAsia="Arial" w:hAnsi="Arial"/>
                <w:sz w:val="17"/>
                <w:szCs w:val="17"/>
                <w:color w:val="0000FF"/>
                <w:w w:val="73"/>
              </w:rPr>
              <w:t>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1.</w:t>
            </w:r>
            <w:r>
              <w:rPr>
                <w:rFonts w:ascii="Arial" w:cs="Arial" w:eastAsia="Arial" w:hAnsi="Arial"/>
                <w:sz w:val="18"/>
                <w:szCs w:val="18"/>
                <w:u w:val="single" w:color="auto"/>
                <w:color w:val="0000FF"/>
              </w:rPr>
              <w:t>07</w:t>
            </w:r>
          </w:p>
        </w:tc>
        <w:tc>
          <w:tcPr>
            <w:tcW w:w="2400" w:type="dxa"/>
            <w:vAlign w:val="bottom"/>
            <w:tcBorders>
              <w:bottom w:val="single" w:sz="8" w:color="0000FF"/>
            </w:tcBorders>
            <w:gridSpan w:val="19"/>
          </w:tcPr>
          <w:p>
            <w:pPr>
              <w:ind w:left="60"/>
              <w:spacing w:after="0" w:line="156" w:lineRule="exact"/>
              <w:rPr>
                <w:sz w:val="20"/>
                <w:szCs w:val="20"/>
                <w:color w:val="auto"/>
              </w:rPr>
            </w:pPr>
            <w:r>
              <w:rPr>
                <w:rFonts w:ascii="Arial" w:cs="Arial" w:eastAsia="Arial" w:hAnsi="Arial"/>
                <w:sz w:val="18"/>
                <w:szCs w:val="18"/>
                <w:color w:val="0000FF"/>
                <w:w w:val="91"/>
              </w:rPr>
              <w:t>Currency Equivalents Generally</w:t>
            </w:r>
          </w:p>
        </w:tc>
        <w:tc>
          <w:tcPr>
            <w:tcW w:w="3300" w:type="dxa"/>
            <w:vAlign w:val="bottom"/>
            <w:gridSpan w:val="12"/>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20" w:type="dxa"/>
            <w:vAlign w:val="bottom"/>
            <w:gridSpan w:val="4"/>
            <w:vMerge w:val="restart"/>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1.</w:t>
            </w:r>
            <w:r>
              <w:rPr>
                <w:rFonts w:ascii="Arial" w:cs="Arial" w:eastAsia="Arial" w:hAnsi="Arial"/>
                <w:sz w:val="18"/>
                <w:szCs w:val="18"/>
                <w:u w:val="single" w:color="auto"/>
                <w:color w:val="0000FF"/>
              </w:rPr>
              <w:t>08</w:t>
            </w:r>
          </w:p>
        </w:tc>
        <w:tc>
          <w:tcPr>
            <w:tcW w:w="1060" w:type="dxa"/>
            <w:vAlign w:val="bottom"/>
            <w:tcBorders>
              <w:bottom w:val="single" w:sz="8" w:color="0000FF"/>
            </w:tcBorders>
            <w:gridSpan w:val="5"/>
          </w:tcPr>
          <w:p>
            <w:pPr>
              <w:ind w:left="60"/>
              <w:spacing w:after="0" w:line="156" w:lineRule="exact"/>
              <w:rPr>
                <w:sz w:val="20"/>
                <w:szCs w:val="20"/>
                <w:color w:val="auto"/>
              </w:rPr>
            </w:pPr>
            <w:r>
              <w:rPr>
                <w:rFonts w:ascii="Arial" w:cs="Arial" w:eastAsia="Arial" w:hAnsi="Arial"/>
                <w:sz w:val="18"/>
                <w:szCs w:val="18"/>
                <w:color w:val="0000FF"/>
                <w:w w:val="87"/>
              </w:rPr>
              <w:t>Interest Rates</w:t>
            </w:r>
          </w:p>
        </w:tc>
        <w:tc>
          <w:tcPr>
            <w:tcW w:w="1320" w:type="dxa"/>
            <w:vAlign w:val="bottom"/>
            <w:gridSpan w:val="13"/>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0000FF"/>
              </w:rPr>
              <w:t>ARTICLE II.</w:t>
            </w:r>
          </w:p>
        </w:tc>
        <w:tc>
          <w:tcPr>
            <w:tcW w:w="5700" w:type="dxa"/>
            <w:vAlign w:val="bottom"/>
            <w:gridSpan w:val="31"/>
          </w:tcPr>
          <w:p>
            <w:pPr>
              <w:ind w:left="60"/>
              <w:spacing w:after="0"/>
              <w:rPr>
                <w:sz w:val="20"/>
                <w:szCs w:val="20"/>
                <w:color w:val="auto"/>
              </w:rPr>
            </w:pPr>
            <w:r>
              <w:rPr>
                <w:rFonts w:ascii="Arial" w:cs="Arial" w:eastAsia="Arial" w:hAnsi="Arial"/>
                <w:sz w:val="18"/>
                <w:szCs w:val="18"/>
                <w:color w:val="0000FF"/>
              </w:rPr>
              <w:t>THE COMMITMENTS AND CREDIT EXTENSIONS</w:t>
            </w:r>
          </w:p>
        </w:tc>
        <w:tc>
          <w:tcPr>
            <w:tcW w:w="4520" w:type="dxa"/>
            <w:vAlign w:val="bottom"/>
            <w:gridSpan w:val="8"/>
          </w:tcPr>
          <w:p>
            <w:pPr>
              <w:jc w:val="right"/>
              <w:ind w:right="20"/>
              <w:spacing w:after="0"/>
              <w:rPr>
                <w:sz w:val="20"/>
                <w:szCs w:val="20"/>
                <w:color w:val="auto"/>
              </w:rPr>
            </w:pPr>
            <w:r>
              <w:rPr>
                <w:rFonts w:ascii="Arial" w:cs="Arial" w:eastAsia="Arial" w:hAnsi="Arial"/>
                <w:sz w:val="18"/>
                <w:szCs w:val="18"/>
                <w:color w:val="0000FF"/>
              </w:rPr>
              <w:t>56</w:t>
            </w:r>
          </w:p>
        </w:tc>
        <w:tc>
          <w:tcPr>
            <w:tcW w:w="0" w:type="dxa"/>
            <w:vAlign w:val="bottom"/>
          </w:tcPr>
          <w:p>
            <w:pPr>
              <w:spacing w:after="0"/>
              <w:rPr>
                <w:sz w:val="1"/>
                <w:szCs w:val="1"/>
                <w:color w:val="auto"/>
              </w:rPr>
            </w:pPr>
          </w:p>
        </w:tc>
      </w:tr>
      <w:tr>
        <w:trPr>
          <w:trHeight w:val="20"/>
        </w:trPr>
        <w:tc>
          <w:tcPr>
            <w:tcW w:w="6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3"/>
          </w:tcPr>
          <w:p>
            <w:pPr>
              <w:ind w:left="660"/>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01</w:t>
            </w:r>
          </w:p>
        </w:tc>
        <w:tc>
          <w:tcPr>
            <w:tcW w:w="5700" w:type="dxa"/>
            <w:vAlign w:val="bottom"/>
            <w:gridSpan w:val="31"/>
          </w:tcPr>
          <w:p>
            <w:pPr>
              <w:ind w:left="60"/>
              <w:spacing w:after="0"/>
              <w:rPr>
                <w:sz w:val="20"/>
                <w:szCs w:val="20"/>
                <w:color w:val="auto"/>
              </w:rPr>
            </w:pPr>
            <w:r>
              <w:rPr>
                <w:rFonts w:ascii="Arial" w:cs="Arial" w:eastAsia="Arial" w:hAnsi="Arial"/>
                <w:sz w:val="18"/>
                <w:szCs w:val="18"/>
                <w:color w:val="0000FF"/>
              </w:rPr>
              <w:t>Committed Loans; Reserves</w:t>
            </w:r>
          </w:p>
        </w:tc>
        <w:tc>
          <w:tcPr>
            <w:tcW w:w="4520" w:type="dxa"/>
            <w:vAlign w:val="bottom"/>
            <w:gridSpan w:val="8"/>
          </w:tcPr>
          <w:p>
            <w:pPr>
              <w:jc w:val="right"/>
              <w:ind w:right="20"/>
              <w:spacing w:after="0"/>
              <w:rPr>
                <w:sz w:val="20"/>
                <w:szCs w:val="20"/>
                <w:color w:val="auto"/>
              </w:rPr>
            </w:pPr>
            <w:r>
              <w:rPr>
                <w:rFonts w:ascii="Arial" w:cs="Arial" w:eastAsia="Arial" w:hAnsi="Arial"/>
                <w:sz w:val="18"/>
                <w:szCs w:val="18"/>
                <w:color w:val="0000FF"/>
              </w:rPr>
              <w:t>56</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02</w:t>
            </w:r>
          </w:p>
        </w:tc>
        <w:tc>
          <w:tcPr>
            <w:tcW w:w="5700" w:type="dxa"/>
            <w:vAlign w:val="bottom"/>
            <w:tcBorders>
              <w:bottom w:val="single" w:sz="8" w:color="0000FF"/>
            </w:tcBorders>
            <w:gridSpan w:val="31"/>
          </w:tcPr>
          <w:p>
            <w:pPr>
              <w:ind w:left="60"/>
              <w:spacing w:after="0" w:line="156" w:lineRule="exact"/>
              <w:rPr>
                <w:sz w:val="20"/>
                <w:szCs w:val="20"/>
                <w:color w:val="auto"/>
              </w:rPr>
            </w:pPr>
            <w:r>
              <w:rPr>
                <w:rFonts w:ascii="Arial" w:cs="Arial" w:eastAsia="Arial" w:hAnsi="Arial"/>
                <w:sz w:val="18"/>
                <w:szCs w:val="18"/>
                <w:color w:val="0000FF"/>
                <w:w w:val="91"/>
              </w:rPr>
              <w:t>Committed Borrowings, Conversions and Continuations of Committed Loans.</w:t>
            </w: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57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4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03</w:t>
            </w:r>
          </w:p>
        </w:tc>
        <w:tc>
          <w:tcPr>
            <w:tcW w:w="1260" w:type="dxa"/>
            <w:vAlign w:val="bottom"/>
            <w:tcBorders>
              <w:bottom w:val="single" w:sz="8" w:color="0000FF"/>
            </w:tcBorders>
            <w:gridSpan w:val="8"/>
          </w:tcPr>
          <w:p>
            <w:pPr>
              <w:ind w:left="60"/>
              <w:spacing w:after="0" w:line="156" w:lineRule="exact"/>
              <w:rPr>
                <w:sz w:val="20"/>
                <w:szCs w:val="20"/>
                <w:color w:val="auto"/>
              </w:rPr>
            </w:pPr>
            <w:r>
              <w:rPr>
                <w:rFonts w:ascii="Arial" w:cs="Arial" w:eastAsia="Arial" w:hAnsi="Arial"/>
                <w:sz w:val="18"/>
                <w:szCs w:val="18"/>
                <w:color w:val="0000FF"/>
                <w:w w:val="92"/>
              </w:rPr>
              <w:t>Letters of Credit</w:t>
            </w:r>
          </w:p>
        </w:tc>
        <w:tc>
          <w:tcPr>
            <w:tcW w:w="4440" w:type="dxa"/>
            <w:vAlign w:val="bottom"/>
            <w:gridSpan w:val="23"/>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58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gridSpan w:val="5"/>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gridSpan w:val="3"/>
            <w:vMerge w:val="restart"/>
          </w:tcPr>
          <w:p>
            <w:pPr>
              <w:spacing w:after="0" w:line="20" w:lineRule="exact"/>
              <w:rPr>
                <w:sz w:val="1"/>
                <w:szCs w:val="1"/>
                <w:color w:val="auto"/>
              </w:rPr>
            </w:pPr>
          </w:p>
        </w:tc>
        <w:tc>
          <w:tcPr>
            <w:tcW w:w="1680" w:type="dxa"/>
            <w:vAlign w:val="bottom"/>
            <w:gridSpan w:val="5"/>
            <w:vMerge w:val="restart"/>
          </w:tcPr>
          <w:p>
            <w:pPr>
              <w:spacing w:after="0" w:line="20" w:lineRule="exact"/>
              <w:rPr>
                <w:sz w:val="1"/>
                <w:szCs w:val="1"/>
                <w:color w:val="auto"/>
              </w:rPr>
            </w:pPr>
          </w:p>
        </w:tc>
        <w:tc>
          <w:tcPr>
            <w:tcW w:w="4340" w:type="dxa"/>
            <w:vAlign w:val="bottom"/>
            <w:gridSpan w:val="3"/>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gridSpan w:val="2"/>
          </w:tcPr>
          <w:p>
            <w:pPr>
              <w:spacing w:after="0" w:line="156" w:lineRule="exact"/>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04</w:t>
            </w:r>
          </w:p>
        </w:tc>
        <w:tc>
          <w:tcPr>
            <w:tcW w:w="1240" w:type="dxa"/>
            <w:vAlign w:val="bottom"/>
            <w:gridSpan w:val="7"/>
          </w:tcPr>
          <w:p>
            <w:pPr>
              <w:ind w:left="60"/>
              <w:spacing w:after="0" w:line="156" w:lineRule="exact"/>
              <w:rPr>
                <w:sz w:val="20"/>
                <w:szCs w:val="20"/>
                <w:color w:val="auto"/>
              </w:rPr>
            </w:pPr>
            <w:r>
              <w:rPr>
                <w:rFonts w:ascii="Arial" w:cs="Arial" w:eastAsia="Arial" w:hAnsi="Arial"/>
                <w:sz w:val="18"/>
                <w:szCs w:val="18"/>
                <w:color w:val="0000FF"/>
              </w:rPr>
              <w:t>Prepayments.</w:t>
            </w: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40" w:type="dxa"/>
            <w:vAlign w:val="bottom"/>
            <w:gridSpan w:val="5"/>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680" w:type="dxa"/>
            <w:vAlign w:val="bottom"/>
            <w:gridSpan w:val="5"/>
            <w:vMerge w:val="continue"/>
          </w:tcPr>
          <w:p>
            <w:pPr>
              <w:spacing w:after="0"/>
              <w:rPr>
                <w:sz w:val="13"/>
                <w:szCs w:val="13"/>
                <w:color w:val="auto"/>
              </w:rPr>
            </w:pPr>
          </w:p>
        </w:tc>
        <w:tc>
          <w:tcPr>
            <w:tcW w:w="4340" w:type="dxa"/>
            <w:vAlign w:val="bottom"/>
            <w:gridSpan w:val="3"/>
            <w:vMerge w:val="continue"/>
          </w:tcPr>
          <w:p>
            <w:pPr>
              <w:spacing w:after="0"/>
              <w:rPr>
                <w:sz w:val="13"/>
                <w:szCs w:val="13"/>
                <w:color w:val="auto"/>
              </w:rPr>
            </w:pPr>
          </w:p>
        </w:tc>
        <w:tc>
          <w:tcPr>
            <w:tcW w:w="160" w:type="dxa"/>
            <w:vAlign w:val="bottom"/>
            <w:gridSpan w:val="4"/>
          </w:tcPr>
          <w:p>
            <w:pPr>
              <w:jc w:val="right"/>
              <w:spacing w:after="0" w:line="156" w:lineRule="exact"/>
              <w:rPr>
                <w:sz w:val="20"/>
                <w:szCs w:val="20"/>
                <w:color w:val="auto"/>
              </w:rPr>
            </w:pPr>
            <w:r>
              <w:rPr>
                <w:rFonts w:ascii="Arial" w:cs="Arial" w:eastAsia="Arial" w:hAnsi="Arial"/>
                <w:sz w:val="17"/>
                <w:szCs w:val="17"/>
                <w:color w:val="0000FF"/>
                <w:w w:val="73"/>
              </w:rPr>
              <w:t>65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05</w:t>
            </w:r>
          </w:p>
        </w:tc>
        <w:tc>
          <w:tcPr>
            <w:tcW w:w="3240" w:type="dxa"/>
            <w:vAlign w:val="bottom"/>
            <w:tcBorders>
              <w:bottom w:val="single" w:sz="8" w:color="0000FF"/>
            </w:tcBorders>
            <w:gridSpan w:val="23"/>
          </w:tcPr>
          <w:p>
            <w:pPr>
              <w:ind w:left="60"/>
              <w:spacing w:after="0" w:line="156" w:lineRule="exact"/>
              <w:rPr>
                <w:sz w:val="20"/>
                <w:szCs w:val="20"/>
                <w:color w:val="auto"/>
              </w:rPr>
            </w:pPr>
            <w:r>
              <w:rPr>
                <w:rFonts w:ascii="Arial" w:cs="Arial" w:eastAsia="Arial" w:hAnsi="Arial"/>
                <w:sz w:val="18"/>
                <w:szCs w:val="18"/>
                <w:color w:val="0000FF"/>
                <w:w w:val="92"/>
              </w:rPr>
              <w:t>Termination or Reduction of Commitments.</w:t>
            </w:r>
          </w:p>
        </w:tc>
        <w:tc>
          <w:tcPr>
            <w:tcW w:w="2460" w:type="dxa"/>
            <w:vAlign w:val="bottom"/>
            <w:gridSpan w:val="8"/>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67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gridSpan w:val="3"/>
            <w:vMerge w:val="restart"/>
          </w:tcPr>
          <w:p>
            <w:pPr>
              <w:spacing w:after="0" w:line="20" w:lineRule="exact"/>
              <w:rPr>
                <w:sz w:val="1"/>
                <w:szCs w:val="1"/>
                <w:color w:val="auto"/>
              </w:rPr>
            </w:pPr>
          </w:p>
        </w:tc>
        <w:tc>
          <w:tcPr>
            <w:tcW w:w="1680" w:type="dxa"/>
            <w:vAlign w:val="bottom"/>
            <w:gridSpan w:val="5"/>
            <w:vMerge w:val="restart"/>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06</w:t>
            </w:r>
          </w:p>
        </w:tc>
        <w:tc>
          <w:tcPr>
            <w:tcW w:w="2020" w:type="dxa"/>
            <w:vAlign w:val="bottom"/>
            <w:tcBorders>
              <w:bottom w:val="single" w:sz="8" w:color="0000FF"/>
            </w:tcBorders>
            <w:gridSpan w:val="15"/>
          </w:tcPr>
          <w:p>
            <w:pPr>
              <w:ind w:left="60"/>
              <w:spacing w:after="0" w:line="156" w:lineRule="exact"/>
              <w:rPr>
                <w:sz w:val="20"/>
                <w:szCs w:val="20"/>
                <w:color w:val="auto"/>
              </w:rPr>
            </w:pPr>
            <w:r>
              <w:rPr>
                <w:rFonts w:ascii="Arial" w:cs="Arial" w:eastAsia="Arial" w:hAnsi="Arial"/>
                <w:sz w:val="18"/>
                <w:szCs w:val="18"/>
                <w:color w:val="0000FF"/>
                <w:w w:val="91"/>
              </w:rPr>
              <w:t>Repayment of Obligations.</w:t>
            </w:r>
          </w:p>
        </w:tc>
        <w:tc>
          <w:tcPr>
            <w:tcW w:w="1200" w:type="dxa"/>
            <w:vAlign w:val="bottom"/>
            <w:gridSpan w:val="7"/>
          </w:tcPr>
          <w:p>
            <w:pPr>
              <w:spacing w:after="0"/>
              <w:rPr>
                <w:sz w:val="13"/>
                <w:szCs w:val="13"/>
                <w:color w:val="auto"/>
              </w:rPr>
            </w:pPr>
          </w:p>
        </w:tc>
        <w:tc>
          <w:tcPr>
            <w:tcW w:w="20" w:type="dxa"/>
            <w:vAlign w:val="bottom"/>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680" w:type="dxa"/>
            <w:vAlign w:val="bottom"/>
            <w:gridSpan w:val="5"/>
            <w:vMerge w:val="continue"/>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67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gridSpan w:val="5"/>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60" w:type="dxa"/>
            <w:vAlign w:val="bottom"/>
            <w:gridSpan w:val="5"/>
            <w:vMerge w:val="restart"/>
          </w:tcPr>
          <w:p>
            <w:pPr>
              <w:spacing w:after="0" w:line="20" w:lineRule="exact"/>
              <w:rPr>
                <w:sz w:val="1"/>
                <w:szCs w:val="1"/>
                <w:color w:val="auto"/>
              </w:rPr>
            </w:pPr>
          </w:p>
        </w:tc>
        <w:tc>
          <w:tcPr>
            <w:tcW w:w="1680" w:type="dxa"/>
            <w:vAlign w:val="bottom"/>
            <w:gridSpan w:val="5"/>
            <w:vMerge w:val="restart"/>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07</w:t>
            </w:r>
          </w:p>
        </w:tc>
        <w:tc>
          <w:tcPr>
            <w:tcW w:w="660" w:type="dxa"/>
            <w:vAlign w:val="bottom"/>
            <w:tcBorders>
              <w:bottom w:val="single" w:sz="8" w:color="0000FF"/>
            </w:tcBorders>
            <w:gridSpan w:val="2"/>
          </w:tcPr>
          <w:p>
            <w:pPr>
              <w:ind w:left="60"/>
              <w:spacing w:after="0" w:line="156" w:lineRule="exact"/>
              <w:rPr>
                <w:sz w:val="20"/>
                <w:szCs w:val="20"/>
                <w:color w:val="auto"/>
              </w:rPr>
            </w:pPr>
            <w:r>
              <w:rPr>
                <w:rFonts w:ascii="Arial" w:cs="Arial" w:eastAsia="Arial" w:hAnsi="Arial"/>
                <w:sz w:val="18"/>
                <w:szCs w:val="18"/>
                <w:color w:val="0000FF"/>
                <w:w w:val="89"/>
              </w:rPr>
              <w:t>Interest.</w:t>
            </w:r>
          </w:p>
        </w:tc>
        <w:tc>
          <w:tcPr>
            <w:tcW w:w="1340" w:type="dxa"/>
            <w:vAlign w:val="bottom"/>
            <w:gridSpan w:val="12"/>
          </w:tcPr>
          <w:p>
            <w:pPr>
              <w:spacing w:after="0"/>
              <w:rPr>
                <w:sz w:val="13"/>
                <w:szCs w:val="13"/>
                <w:color w:val="auto"/>
              </w:rPr>
            </w:pPr>
          </w:p>
        </w:tc>
        <w:tc>
          <w:tcPr>
            <w:tcW w:w="20" w:type="dxa"/>
            <w:vAlign w:val="bottom"/>
            <w:vMerge w:val="continue"/>
          </w:tcPr>
          <w:p>
            <w:pPr>
              <w:spacing w:after="0"/>
              <w:rPr>
                <w:sz w:val="13"/>
                <w:szCs w:val="13"/>
                <w:color w:val="auto"/>
              </w:rPr>
            </w:pPr>
          </w:p>
        </w:tc>
        <w:tc>
          <w:tcPr>
            <w:tcW w:w="440" w:type="dxa"/>
            <w:vAlign w:val="bottom"/>
            <w:gridSpan w:val="5"/>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60" w:type="dxa"/>
            <w:vAlign w:val="bottom"/>
            <w:gridSpan w:val="5"/>
            <w:vMerge w:val="continue"/>
          </w:tcPr>
          <w:p>
            <w:pPr>
              <w:spacing w:after="0"/>
              <w:rPr>
                <w:sz w:val="13"/>
                <w:szCs w:val="13"/>
                <w:color w:val="auto"/>
              </w:rPr>
            </w:pPr>
          </w:p>
        </w:tc>
        <w:tc>
          <w:tcPr>
            <w:tcW w:w="1680" w:type="dxa"/>
            <w:vAlign w:val="bottom"/>
            <w:gridSpan w:val="5"/>
            <w:vMerge w:val="continue"/>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67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700" w:type="dxa"/>
            <w:vAlign w:val="bottom"/>
            <w:gridSpan w:val="7"/>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gridSpan w:val="3"/>
            <w:vMerge w:val="restart"/>
          </w:tcPr>
          <w:p>
            <w:pPr>
              <w:spacing w:after="0" w:line="20" w:lineRule="exact"/>
              <w:rPr>
                <w:sz w:val="1"/>
                <w:szCs w:val="1"/>
                <w:color w:val="auto"/>
              </w:rPr>
            </w:pPr>
          </w:p>
        </w:tc>
        <w:tc>
          <w:tcPr>
            <w:tcW w:w="500" w:type="dxa"/>
            <w:vAlign w:val="bottom"/>
            <w:gridSpan w:val="7"/>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60" w:type="dxa"/>
            <w:vAlign w:val="bottom"/>
            <w:gridSpan w:val="5"/>
            <w:vMerge w:val="restart"/>
          </w:tcPr>
          <w:p>
            <w:pPr>
              <w:spacing w:after="0" w:line="20" w:lineRule="exact"/>
              <w:rPr>
                <w:sz w:val="1"/>
                <w:szCs w:val="1"/>
                <w:color w:val="auto"/>
              </w:rPr>
            </w:pPr>
          </w:p>
        </w:tc>
        <w:tc>
          <w:tcPr>
            <w:tcW w:w="1680" w:type="dxa"/>
            <w:vAlign w:val="bottom"/>
            <w:gridSpan w:val="5"/>
            <w:vMerge w:val="restart"/>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08</w:t>
            </w:r>
          </w:p>
        </w:tc>
        <w:tc>
          <w:tcPr>
            <w:tcW w:w="400" w:type="dxa"/>
            <w:vAlign w:val="bottom"/>
            <w:tcBorders>
              <w:bottom w:val="single" w:sz="8" w:color="0000FF"/>
            </w:tcBorders>
          </w:tcPr>
          <w:p>
            <w:pPr>
              <w:ind w:left="60"/>
              <w:spacing w:after="0" w:line="156" w:lineRule="exact"/>
              <w:rPr>
                <w:sz w:val="20"/>
                <w:szCs w:val="20"/>
                <w:color w:val="auto"/>
              </w:rPr>
            </w:pPr>
            <w:r>
              <w:rPr>
                <w:rFonts w:ascii="Arial" w:cs="Arial" w:eastAsia="Arial" w:hAnsi="Arial"/>
                <w:sz w:val="18"/>
                <w:szCs w:val="18"/>
                <w:color w:val="0000FF"/>
                <w:w w:val="79"/>
              </w:rPr>
              <w:t>Fees</w:t>
            </w:r>
          </w:p>
        </w:tc>
        <w:tc>
          <w:tcPr>
            <w:tcW w:w="260" w:type="dxa"/>
            <w:vAlign w:val="bottom"/>
          </w:tcPr>
          <w:p>
            <w:pPr>
              <w:spacing w:after="0"/>
              <w:rPr>
                <w:sz w:val="13"/>
                <w:szCs w:val="13"/>
                <w:color w:val="auto"/>
              </w:rPr>
            </w:pPr>
          </w:p>
        </w:tc>
        <w:tc>
          <w:tcPr>
            <w:tcW w:w="700" w:type="dxa"/>
            <w:vAlign w:val="bottom"/>
            <w:gridSpan w:val="7"/>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500" w:type="dxa"/>
            <w:vAlign w:val="bottom"/>
            <w:gridSpan w:val="7"/>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60" w:type="dxa"/>
            <w:vAlign w:val="bottom"/>
            <w:gridSpan w:val="5"/>
            <w:vMerge w:val="continue"/>
          </w:tcPr>
          <w:p>
            <w:pPr>
              <w:spacing w:after="0"/>
              <w:rPr>
                <w:sz w:val="13"/>
                <w:szCs w:val="13"/>
                <w:color w:val="auto"/>
              </w:rPr>
            </w:pPr>
          </w:p>
        </w:tc>
        <w:tc>
          <w:tcPr>
            <w:tcW w:w="1680" w:type="dxa"/>
            <w:vAlign w:val="bottom"/>
            <w:gridSpan w:val="5"/>
            <w:vMerge w:val="continue"/>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68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40" w:type="dxa"/>
            <w:vAlign w:val="bottom"/>
            <w:gridSpan w:val="3"/>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gridSpan w:val="2"/>
          </w:tcPr>
          <w:p>
            <w:pPr>
              <w:spacing w:after="0" w:line="156" w:lineRule="exact"/>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09</w:t>
            </w:r>
          </w:p>
        </w:tc>
        <w:tc>
          <w:tcPr>
            <w:tcW w:w="5700" w:type="dxa"/>
            <w:vAlign w:val="bottom"/>
            <w:gridSpan w:val="31"/>
          </w:tcPr>
          <w:p>
            <w:pPr>
              <w:ind w:left="60"/>
              <w:spacing w:after="0" w:line="156" w:lineRule="exact"/>
              <w:rPr>
                <w:sz w:val="20"/>
                <w:szCs w:val="20"/>
                <w:color w:val="auto"/>
              </w:rPr>
            </w:pPr>
            <w:r>
              <w:rPr>
                <w:rFonts w:ascii="Arial" w:cs="Arial" w:eastAsia="Arial" w:hAnsi="Arial"/>
                <w:sz w:val="18"/>
                <w:szCs w:val="18"/>
                <w:color w:val="0000FF"/>
              </w:rPr>
              <w:t>Computation of Interest and Fees</w:t>
            </w:r>
          </w:p>
        </w:tc>
        <w:tc>
          <w:tcPr>
            <w:tcW w:w="4340" w:type="dxa"/>
            <w:vAlign w:val="bottom"/>
            <w:gridSpan w:val="3"/>
            <w:vMerge w:val="continue"/>
          </w:tcPr>
          <w:p>
            <w:pPr>
              <w:spacing w:after="0"/>
              <w:rPr>
                <w:sz w:val="13"/>
                <w:szCs w:val="13"/>
                <w:color w:val="auto"/>
              </w:rPr>
            </w:pPr>
          </w:p>
        </w:tc>
        <w:tc>
          <w:tcPr>
            <w:tcW w:w="160" w:type="dxa"/>
            <w:vAlign w:val="bottom"/>
            <w:gridSpan w:val="4"/>
          </w:tcPr>
          <w:p>
            <w:pPr>
              <w:jc w:val="right"/>
              <w:spacing w:after="0" w:line="156" w:lineRule="exact"/>
              <w:rPr>
                <w:sz w:val="20"/>
                <w:szCs w:val="20"/>
                <w:color w:val="auto"/>
              </w:rPr>
            </w:pPr>
            <w:r>
              <w:rPr>
                <w:rFonts w:ascii="Arial" w:cs="Arial" w:eastAsia="Arial" w:hAnsi="Arial"/>
                <w:sz w:val="17"/>
                <w:szCs w:val="17"/>
                <w:color w:val="0000FF"/>
                <w:w w:val="73"/>
              </w:rPr>
              <w:t>68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60" w:type="dxa"/>
            <w:vAlign w:val="bottom"/>
            <w:gridSpan w:val="5"/>
            <w:vMerge w:val="restart"/>
          </w:tcPr>
          <w:p>
            <w:pPr>
              <w:spacing w:after="0" w:line="20" w:lineRule="exact"/>
              <w:rPr>
                <w:sz w:val="1"/>
                <w:szCs w:val="1"/>
                <w:color w:val="auto"/>
              </w:rPr>
            </w:pPr>
          </w:p>
        </w:tc>
        <w:tc>
          <w:tcPr>
            <w:tcW w:w="1680" w:type="dxa"/>
            <w:vAlign w:val="bottom"/>
            <w:gridSpan w:val="5"/>
            <w:vMerge w:val="restart"/>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gridSpan w:val="2"/>
          </w:tcPr>
          <w:p>
            <w:pPr>
              <w:spacing w:after="0" w:line="156" w:lineRule="exact"/>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10</w:t>
            </w:r>
          </w:p>
        </w:tc>
        <w:tc>
          <w:tcPr>
            <w:tcW w:w="2460" w:type="dxa"/>
            <w:vAlign w:val="bottom"/>
            <w:gridSpan w:val="20"/>
          </w:tcPr>
          <w:p>
            <w:pPr>
              <w:ind w:left="60"/>
              <w:spacing w:after="0" w:line="156" w:lineRule="exact"/>
              <w:rPr>
                <w:sz w:val="20"/>
                <w:szCs w:val="20"/>
                <w:color w:val="auto"/>
              </w:rPr>
            </w:pPr>
            <w:r>
              <w:rPr>
                <w:rFonts w:ascii="Arial" w:cs="Arial" w:eastAsia="Arial" w:hAnsi="Arial"/>
                <w:sz w:val="18"/>
                <w:szCs w:val="18"/>
                <w:color w:val="0000FF"/>
              </w:rPr>
              <w:t>Evidence of Debt.</w:t>
            </w:r>
          </w:p>
        </w:tc>
        <w:tc>
          <w:tcPr>
            <w:tcW w:w="600" w:type="dxa"/>
            <w:vAlign w:val="bottom"/>
            <w:vMerge w:val="continue"/>
          </w:tcPr>
          <w:p>
            <w:pPr>
              <w:spacing w:after="0"/>
              <w:rPr>
                <w:sz w:val="13"/>
                <w:szCs w:val="13"/>
                <w:color w:val="auto"/>
              </w:rPr>
            </w:pPr>
          </w:p>
        </w:tc>
        <w:tc>
          <w:tcPr>
            <w:tcW w:w="960" w:type="dxa"/>
            <w:vAlign w:val="bottom"/>
            <w:gridSpan w:val="5"/>
            <w:vMerge w:val="continue"/>
          </w:tcPr>
          <w:p>
            <w:pPr>
              <w:spacing w:after="0"/>
              <w:rPr>
                <w:sz w:val="13"/>
                <w:szCs w:val="13"/>
                <w:color w:val="auto"/>
              </w:rPr>
            </w:pPr>
          </w:p>
        </w:tc>
        <w:tc>
          <w:tcPr>
            <w:tcW w:w="1680" w:type="dxa"/>
            <w:vAlign w:val="bottom"/>
            <w:gridSpan w:val="5"/>
            <w:vMerge w:val="continue"/>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gridSpan w:val="4"/>
          </w:tcPr>
          <w:p>
            <w:pPr>
              <w:jc w:val="right"/>
              <w:spacing w:after="0" w:line="156" w:lineRule="exact"/>
              <w:rPr>
                <w:sz w:val="20"/>
                <w:szCs w:val="20"/>
                <w:color w:val="auto"/>
              </w:rPr>
            </w:pPr>
            <w:r>
              <w:rPr>
                <w:rFonts w:ascii="Arial" w:cs="Arial" w:eastAsia="Arial" w:hAnsi="Arial"/>
                <w:sz w:val="17"/>
                <w:szCs w:val="17"/>
                <w:color w:val="0000FF"/>
                <w:w w:val="73"/>
              </w:rPr>
              <w:t>69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440" w:type="dxa"/>
            <w:vAlign w:val="bottom"/>
            <w:tcBorders>
              <w:bottom w:val="single" w:sz="8" w:color="0000FF"/>
            </w:tcBorders>
            <w:gridSpan w:val="23"/>
          </w:tcPr>
          <w:p>
            <w:pPr>
              <w:spacing w:after="0" w:line="156" w:lineRule="exact"/>
              <w:rPr>
                <w:sz w:val="20"/>
                <w:szCs w:val="20"/>
                <w:color w:val="auto"/>
              </w:rPr>
            </w:pPr>
            <w:r>
              <w:rPr>
                <w:rFonts w:ascii="Arial" w:cs="Arial" w:eastAsia="Arial" w:hAnsi="Arial"/>
                <w:sz w:val="18"/>
                <w:szCs w:val="18"/>
                <w:color w:val="0000FF"/>
                <w:w w:val="91"/>
              </w:rPr>
              <w:t>2.</w:t>
            </w:r>
            <w:r>
              <w:rPr>
                <w:rFonts w:ascii="Arial" w:cs="Arial" w:eastAsia="Arial" w:hAnsi="Arial"/>
                <w:sz w:val="18"/>
                <w:szCs w:val="18"/>
                <w:u w:val="single" w:color="auto"/>
                <w:color w:val="0000FF"/>
                <w:w w:val="91"/>
              </w:rPr>
              <w:t>11</w:t>
            </w:r>
            <w:r>
              <w:rPr>
                <w:rFonts w:ascii="Arial" w:cs="Arial" w:eastAsia="Arial" w:hAnsi="Arial"/>
                <w:sz w:val="18"/>
                <w:szCs w:val="18"/>
                <w:color w:val="0000FF"/>
                <w:w w:val="91"/>
              </w:rPr>
              <w:t xml:space="preserve">  Payments Generally; Lender’s Clawback.</w:t>
            </w:r>
          </w:p>
        </w:tc>
        <w:tc>
          <w:tcPr>
            <w:tcW w:w="2640" w:type="dxa"/>
            <w:vAlign w:val="bottom"/>
            <w:gridSpan w:val="10"/>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69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960" w:type="dxa"/>
            <w:vAlign w:val="bottom"/>
            <w:gridSpan w:val="5"/>
            <w:vMerge w:val="restart"/>
          </w:tcPr>
          <w:p>
            <w:pPr>
              <w:spacing w:after="0" w:line="20" w:lineRule="exact"/>
              <w:rPr>
                <w:sz w:val="1"/>
                <w:szCs w:val="1"/>
                <w:color w:val="auto"/>
              </w:rPr>
            </w:pPr>
          </w:p>
        </w:tc>
        <w:tc>
          <w:tcPr>
            <w:tcW w:w="1680" w:type="dxa"/>
            <w:vAlign w:val="bottom"/>
            <w:gridSpan w:val="5"/>
            <w:vMerge w:val="restart"/>
          </w:tcPr>
          <w:p>
            <w:pPr>
              <w:spacing w:after="0" w:line="20" w:lineRule="exact"/>
              <w:rPr>
                <w:sz w:val="1"/>
                <w:szCs w:val="1"/>
                <w:color w:val="auto"/>
              </w:rPr>
            </w:pPr>
          </w:p>
        </w:tc>
        <w:tc>
          <w:tcPr>
            <w:tcW w:w="43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12</w:t>
            </w:r>
          </w:p>
        </w:tc>
        <w:tc>
          <w:tcPr>
            <w:tcW w:w="1960" w:type="dxa"/>
            <w:vAlign w:val="bottom"/>
            <w:tcBorders>
              <w:bottom w:val="single" w:sz="8" w:color="0000FF"/>
            </w:tcBorders>
            <w:gridSpan w:val="13"/>
          </w:tcPr>
          <w:p>
            <w:pPr>
              <w:ind w:left="60"/>
              <w:spacing w:after="0" w:line="156" w:lineRule="exact"/>
              <w:rPr>
                <w:sz w:val="20"/>
                <w:szCs w:val="20"/>
                <w:color w:val="auto"/>
              </w:rPr>
            </w:pPr>
            <w:r>
              <w:rPr>
                <w:rFonts w:ascii="Arial" w:cs="Arial" w:eastAsia="Arial" w:hAnsi="Arial"/>
                <w:sz w:val="18"/>
                <w:szCs w:val="18"/>
                <w:color w:val="0000FF"/>
                <w:w w:val="89"/>
              </w:rPr>
              <w:t>Increase in Commitments.</w:t>
            </w:r>
          </w:p>
        </w:tc>
        <w:tc>
          <w:tcPr>
            <w:tcW w:w="1100" w:type="dxa"/>
            <w:vAlign w:val="bottom"/>
            <w:gridSpan w:val="8"/>
          </w:tcPr>
          <w:p>
            <w:pPr>
              <w:spacing w:after="0"/>
              <w:rPr>
                <w:sz w:val="13"/>
                <w:szCs w:val="13"/>
                <w:color w:val="auto"/>
              </w:rPr>
            </w:pPr>
          </w:p>
        </w:tc>
        <w:tc>
          <w:tcPr>
            <w:tcW w:w="960" w:type="dxa"/>
            <w:vAlign w:val="bottom"/>
            <w:gridSpan w:val="5"/>
            <w:vMerge w:val="continue"/>
          </w:tcPr>
          <w:p>
            <w:pPr>
              <w:spacing w:after="0"/>
              <w:rPr>
                <w:sz w:val="13"/>
                <w:szCs w:val="13"/>
                <w:color w:val="auto"/>
              </w:rPr>
            </w:pPr>
          </w:p>
        </w:tc>
        <w:tc>
          <w:tcPr>
            <w:tcW w:w="1680" w:type="dxa"/>
            <w:vAlign w:val="bottom"/>
            <w:gridSpan w:val="5"/>
            <w:vMerge w:val="continue"/>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4"/>
          </w:tcPr>
          <w:p>
            <w:pPr>
              <w:jc w:val="right"/>
              <w:spacing w:after="0" w:line="156" w:lineRule="exact"/>
              <w:rPr>
                <w:sz w:val="20"/>
                <w:szCs w:val="20"/>
                <w:color w:val="auto"/>
              </w:rPr>
            </w:pPr>
            <w:r>
              <w:rPr>
                <w:rFonts w:ascii="Arial" w:cs="Arial" w:eastAsia="Arial" w:hAnsi="Arial"/>
                <w:sz w:val="17"/>
                <w:szCs w:val="17"/>
                <w:color w:val="0000FF"/>
                <w:w w:val="73"/>
              </w:rPr>
              <w:t>69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26"/>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3"/>
          </w:tcPr>
          <w:p>
            <w:pPr>
              <w:jc w:val="right"/>
              <w:spacing w:after="0"/>
              <w:rPr>
                <w:sz w:val="20"/>
                <w:szCs w:val="20"/>
                <w:color w:val="auto"/>
              </w:rPr>
            </w:pPr>
            <w:r>
              <w:rPr>
                <w:rFonts w:ascii="Arial" w:cs="Arial" w:eastAsia="Arial" w:hAnsi="Arial"/>
                <w:sz w:val="18"/>
                <w:szCs w:val="18"/>
                <w:color w:val="0000FF"/>
                <w:w w:val="98"/>
              </w:rPr>
              <w:t>ARTICLE III.</w:t>
            </w:r>
          </w:p>
        </w:tc>
        <w:tc>
          <w:tcPr>
            <w:tcW w:w="5700" w:type="dxa"/>
            <w:vAlign w:val="bottom"/>
            <w:gridSpan w:val="31"/>
          </w:tcPr>
          <w:p>
            <w:pPr>
              <w:ind w:left="120"/>
              <w:spacing w:after="0"/>
              <w:rPr>
                <w:sz w:val="20"/>
                <w:szCs w:val="20"/>
                <w:color w:val="auto"/>
              </w:rPr>
            </w:pPr>
            <w:r>
              <w:rPr>
                <w:rFonts w:ascii="Arial" w:cs="Arial" w:eastAsia="Arial" w:hAnsi="Arial"/>
                <w:sz w:val="18"/>
                <w:szCs w:val="18"/>
                <w:color w:val="0000FF"/>
              </w:rPr>
              <w:t>TAXES, YIELD PROTECTION AND ILLEGALITY</w:t>
            </w:r>
          </w:p>
        </w:tc>
        <w:tc>
          <w:tcPr>
            <w:tcW w:w="4520" w:type="dxa"/>
            <w:vAlign w:val="bottom"/>
            <w:gridSpan w:val="8"/>
          </w:tcPr>
          <w:p>
            <w:pPr>
              <w:jc w:val="right"/>
              <w:ind w:right="20"/>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20"/>
        </w:trPr>
        <w:tc>
          <w:tcPr>
            <w:tcW w:w="6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r>
        <w:rPr>
          <w:rFonts w:ascii="Arial" w:cs="Arial" w:eastAsia="Arial" w:hAnsi="Arial"/>
          <w:sz w:val="18"/>
          <w:szCs w:val="18"/>
          <w:color w:val="FF0000"/>
          <w:strike w:val="1"/>
        </w:rPr>
        <w:t>v</w:t>
      </w: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760" w:type="dxa"/>
            <w:vAlign w:val="bottom"/>
            <w:gridSpan w:val="56"/>
          </w:tcPr>
          <w:p>
            <w:pPr>
              <w:jc w:val="right"/>
              <w:ind w:right="1067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FF0000"/>
                <w:strike w:val="1"/>
                <w:w w:val="83"/>
              </w:rPr>
              <w:t>Page</w:t>
            </w:r>
          </w:p>
        </w:tc>
        <w:tc>
          <w:tcPr>
            <w:tcW w:w="0" w:type="dxa"/>
            <w:vAlign w:val="bottom"/>
          </w:tcPr>
          <w:p>
            <w:pPr>
              <w:spacing w:after="0"/>
              <w:rPr>
                <w:sz w:val="1"/>
                <w:szCs w:val="1"/>
                <w:color w:val="auto"/>
              </w:rPr>
            </w:pPr>
          </w:p>
        </w:tc>
      </w:tr>
      <w:tr>
        <w:trPr>
          <w:trHeight w:val="373"/>
        </w:trPr>
        <w:tc>
          <w:tcPr>
            <w:tcW w:w="1060" w:type="dxa"/>
            <w:vAlign w:val="bottom"/>
            <w:gridSpan w:val="2"/>
          </w:tcPr>
          <w:p>
            <w:pPr>
              <w:jc w:val="right"/>
              <w:spacing w:after="0"/>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01</w:t>
            </w:r>
          </w:p>
        </w:tc>
        <w:tc>
          <w:tcPr>
            <w:tcW w:w="7660" w:type="dxa"/>
            <w:vAlign w:val="bottom"/>
            <w:gridSpan w:val="53"/>
          </w:tcPr>
          <w:p>
            <w:pPr>
              <w:ind w:left="40"/>
              <w:spacing w:after="0"/>
              <w:rPr>
                <w:sz w:val="20"/>
                <w:szCs w:val="20"/>
                <w:color w:val="auto"/>
              </w:rPr>
            </w:pPr>
            <w:r>
              <w:rPr>
                <w:rFonts w:ascii="Arial" w:cs="Arial" w:eastAsia="Arial" w:hAnsi="Arial"/>
                <w:sz w:val="18"/>
                <w:szCs w:val="18"/>
                <w:color w:val="0000FF"/>
              </w:rPr>
              <w:t>Taxes.</w:t>
            </w:r>
          </w:p>
        </w:tc>
        <w:tc>
          <w:tcPr>
            <w:tcW w:w="2540" w:type="dxa"/>
            <w:vAlign w:val="bottom"/>
            <w:gridSpan w:val="5"/>
          </w:tcPr>
          <w:p>
            <w:pPr>
              <w:jc w:val="right"/>
              <w:ind w:right="20"/>
              <w:spacing w:after="0"/>
              <w:rPr>
                <w:sz w:val="20"/>
                <w:szCs w:val="20"/>
                <w:color w:val="auto"/>
              </w:rPr>
            </w:pPr>
            <w:r>
              <w:rPr>
                <w:rFonts w:ascii="Arial" w:cs="Arial" w:eastAsia="Arial" w:hAnsi="Arial"/>
                <w:sz w:val="18"/>
                <w:szCs w:val="18"/>
                <w:color w:val="0000FF"/>
              </w:rPr>
              <w:t>64</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900" w:type="dxa"/>
            <w:vAlign w:val="bottom"/>
            <w:tcBorders>
              <w:top w:val="single" w:sz="8" w:color="0000FF"/>
              <w:bottom w:val="single" w:sz="8" w:color="0000FF"/>
            </w:tcBorders>
            <w:gridSpan w:val="3"/>
          </w:tcPr>
          <w:p>
            <w:pPr>
              <w:spacing w:after="0" w:line="20" w:lineRule="exact"/>
              <w:rPr>
                <w:sz w:val="1"/>
                <w:szCs w:val="1"/>
                <w:color w:val="auto"/>
              </w:rPr>
            </w:pPr>
          </w:p>
        </w:tc>
        <w:tc>
          <w:tcPr>
            <w:tcW w:w="7160" w:type="dxa"/>
            <w:vAlign w:val="bottom"/>
            <w:gridSpan w:val="51"/>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02</w:t>
            </w:r>
          </w:p>
        </w:tc>
        <w:tc>
          <w:tcPr>
            <w:tcW w:w="720" w:type="dxa"/>
            <w:vAlign w:val="bottom"/>
            <w:tcBorders>
              <w:bottom w:val="single" w:sz="8" w:color="0000FF"/>
            </w:tcBorders>
            <w:gridSpan w:val="8"/>
          </w:tcPr>
          <w:p>
            <w:pPr>
              <w:ind w:left="40"/>
              <w:spacing w:after="0" w:line="156" w:lineRule="exact"/>
              <w:rPr>
                <w:sz w:val="20"/>
                <w:szCs w:val="20"/>
                <w:color w:val="auto"/>
              </w:rPr>
            </w:pPr>
            <w:r>
              <w:rPr>
                <w:rFonts w:ascii="Arial" w:cs="Arial" w:eastAsia="Arial" w:hAnsi="Arial"/>
                <w:sz w:val="18"/>
                <w:szCs w:val="18"/>
                <w:color w:val="0000FF"/>
              </w:rPr>
              <w:t>Illegality</w:t>
            </w:r>
          </w:p>
        </w:tc>
        <w:tc>
          <w:tcPr>
            <w:tcW w:w="6940" w:type="dxa"/>
            <w:vAlign w:val="bottom"/>
            <w:gridSpan w:val="45"/>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67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80" w:type="dxa"/>
            <w:vAlign w:val="bottom"/>
            <w:gridSpan w:val="23"/>
            <w:vMerge w:val="restart"/>
          </w:tcPr>
          <w:p>
            <w:pPr>
              <w:spacing w:after="0" w:line="196" w:lineRule="exact"/>
              <w:rPr>
                <w:sz w:val="20"/>
                <w:szCs w:val="20"/>
                <w:color w:val="auto"/>
              </w:rPr>
            </w:pPr>
            <w:r>
              <w:rPr>
                <w:rFonts w:ascii="Arial" w:cs="Arial" w:eastAsia="Arial" w:hAnsi="Arial"/>
                <w:sz w:val="18"/>
                <w:szCs w:val="18"/>
                <w:color w:val="0000FF"/>
                <w:w w:val="87"/>
              </w:rPr>
              <w:t>to Determine Rates</w:t>
            </w:r>
          </w:p>
        </w:tc>
        <w:tc>
          <w:tcPr>
            <w:tcW w:w="5560" w:type="dxa"/>
            <w:vAlign w:val="bottom"/>
            <w:gridSpan w:val="22"/>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03</w:t>
            </w:r>
          </w:p>
        </w:tc>
        <w:tc>
          <w:tcPr>
            <w:tcW w:w="700" w:type="dxa"/>
            <w:vAlign w:val="bottom"/>
            <w:tcBorders>
              <w:bottom w:val="single" w:sz="8" w:color="0000FF"/>
            </w:tcBorders>
            <w:gridSpan w:val="7"/>
          </w:tcPr>
          <w:p>
            <w:pPr>
              <w:ind w:left="40"/>
              <w:spacing w:after="0" w:line="156" w:lineRule="exact"/>
              <w:rPr>
                <w:sz w:val="20"/>
                <w:szCs w:val="20"/>
                <w:color w:val="auto"/>
              </w:rPr>
            </w:pPr>
            <w:r>
              <w:rPr>
                <w:rFonts w:ascii="Arial" w:cs="Arial" w:eastAsia="Arial" w:hAnsi="Arial"/>
                <w:sz w:val="18"/>
                <w:szCs w:val="18"/>
                <w:color w:val="0000FF"/>
              </w:rPr>
              <w:t>Inability</w:t>
            </w:r>
          </w:p>
        </w:tc>
        <w:tc>
          <w:tcPr>
            <w:tcW w:w="20" w:type="dxa"/>
            <w:vAlign w:val="bottom"/>
            <w:tcBorders>
              <w:bottom w:val="single" w:sz="8" w:color="0000FF"/>
            </w:tcBorders>
            <w:vMerge w:val="continue"/>
          </w:tcPr>
          <w:p>
            <w:pPr>
              <w:spacing w:after="0"/>
              <w:rPr>
                <w:sz w:val="13"/>
                <w:szCs w:val="13"/>
                <w:color w:val="auto"/>
              </w:rPr>
            </w:pPr>
          </w:p>
        </w:tc>
        <w:tc>
          <w:tcPr>
            <w:tcW w:w="1380" w:type="dxa"/>
            <w:vAlign w:val="bottom"/>
            <w:tcBorders>
              <w:bottom w:val="single" w:sz="8" w:color="0000FF"/>
            </w:tcBorders>
            <w:gridSpan w:val="23"/>
            <w:vMerge w:val="continue"/>
          </w:tcPr>
          <w:p>
            <w:pPr>
              <w:spacing w:after="0"/>
              <w:rPr>
                <w:sz w:val="13"/>
                <w:szCs w:val="13"/>
                <w:color w:val="auto"/>
              </w:rPr>
            </w:pPr>
          </w:p>
        </w:tc>
        <w:tc>
          <w:tcPr>
            <w:tcW w:w="5560" w:type="dxa"/>
            <w:vAlign w:val="bottom"/>
            <w:gridSpan w:val="22"/>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67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500" w:type="dxa"/>
            <w:vAlign w:val="bottom"/>
            <w:tcBorders>
              <w:bottom w:val="single" w:sz="8" w:color="0000FF"/>
            </w:tcBorders>
            <w:gridSpan w:val="32"/>
          </w:tcPr>
          <w:p>
            <w:pPr>
              <w:spacing w:after="0" w:line="20" w:lineRule="exact"/>
              <w:rPr>
                <w:sz w:val="1"/>
                <w:szCs w:val="1"/>
                <w:color w:val="auto"/>
              </w:rPr>
            </w:pPr>
          </w:p>
        </w:tc>
        <w:tc>
          <w:tcPr>
            <w:tcW w:w="5560" w:type="dxa"/>
            <w:vAlign w:val="bottom"/>
            <w:gridSpan w:val="22"/>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04</w:t>
            </w:r>
          </w:p>
        </w:tc>
        <w:tc>
          <w:tcPr>
            <w:tcW w:w="3880" w:type="dxa"/>
            <w:vAlign w:val="bottom"/>
            <w:tcBorders>
              <w:bottom w:val="single" w:sz="8" w:color="0000FF"/>
            </w:tcBorders>
            <w:gridSpan w:val="51"/>
          </w:tcPr>
          <w:p>
            <w:pPr>
              <w:ind w:left="40"/>
              <w:spacing w:after="0" w:line="156" w:lineRule="exact"/>
              <w:rPr>
                <w:sz w:val="20"/>
                <w:szCs w:val="20"/>
                <w:color w:val="auto"/>
              </w:rPr>
            </w:pPr>
            <w:r>
              <w:rPr>
                <w:rFonts w:ascii="Arial" w:cs="Arial" w:eastAsia="Arial" w:hAnsi="Arial"/>
                <w:sz w:val="18"/>
                <w:szCs w:val="18"/>
                <w:color w:val="0000FF"/>
                <w:w w:val="88"/>
              </w:rPr>
              <w:t>Increased Costs; Reserves on Eurodollar Rate Loans.</w:t>
            </w:r>
          </w:p>
        </w:tc>
        <w:tc>
          <w:tcPr>
            <w:tcW w:w="3780" w:type="dxa"/>
            <w:vAlign w:val="bottom"/>
            <w:gridSpan w:val="2"/>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260" w:type="dxa"/>
            <w:vAlign w:val="bottom"/>
            <w:tcBorders>
              <w:bottom w:val="single" w:sz="8" w:color="0000FF"/>
            </w:tcBorders>
            <w:gridSpan w:val="51"/>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2000" w:type="dxa"/>
            <w:vAlign w:val="bottom"/>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05</w:t>
            </w:r>
          </w:p>
        </w:tc>
        <w:tc>
          <w:tcPr>
            <w:tcW w:w="1880" w:type="dxa"/>
            <w:vAlign w:val="bottom"/>
            <w:tcBorders>
              <w:bottom w:val="single" w:sz="8" w:color="0000FF"/>
            </w:tcBorders>
            <w:gridSpan w:val="28"/>
          </w:tcPr>
          <w:p>
            <w:pPr>
              <w:ind w:left="40"/>
              <w:spacing w:after="0" w:line="156" w:lineRule="exact"/>
              <w:rPr>
                <w:sz w:val="20"/>
                <w:szCs w:val="20"/>
                <w:color w:val="auto"/>
              </w:rPr>
            </w:pPr>
            <w:r>
              <w:rPr>
                <w:rFonts w:ascii="Arial" w:cs="Arial" w:eastAsia="Arial" w:hAnsi="Arial"/>
                <w:sz w:val="18"/>
                <w:szCs w:val="18"/>
                <w:color w:val="0000FF"/>
                <w:w w:val="89"/>
              </w:rPr>
              <w:t>Compensation for Losses</w:t>
            </w:r>
          </w:p>
        </w:tc>
        <w:tc>
          <w:tcPr>
            <w:tcW w:w="1980" w:type="dxa"/>
            <w:vAlign w:val="bottom"/>
            <w:gridSpan w:val="22"/>
          </w:tcPr>
          <w:p>
            <w:pPr>
              <w:spacing w:after="0"/>
              <w:rPr>
                <w:sz w:val="13"/>
                <w:szCs w:val="13"/>
                <w:color w:val="auto"/>
              </w:rPr>
            </w:pPr>
          </w:p>
        </w:tc>
        <w:tc>
          <w:tcPr>
            <w:tcW w:w="2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280" w:type="dxa"/>
            <w:vAlign w:val="bottom"/>
            <w:tcBorders>
              <w:bottom w:val="single" w:sz="8" w:color="0000FF"/>
            </w:tcBorders>
            <w:gridSpan w:val="2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960" w:type="dxa"/>
            <w:vAlign w:val="bottom"/>
            <w:gridSpan w:val="3"/>
            <w:vMerge w:val="restart"/>
          </w:tcPr>
          <w:p>
            <w:pPr>
              <w:spacing w:after="0" w:line="20" w:lineRule="exact"/>
              <w:rPr>
                <w:sz w:val="1"/>
                <w:szCs w:val="1"/>
                <w:color w:val="auto"/>
              </w:rPr>
            </w:pPr>
          </w:p>
        </w:tc>
        <w:tc>
          <w:tcPr>
            <w:tcW w:w="2000" w:type="dxa"/>
            <w:vAlign w:val="bottom"/>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06</w:t>
            </w:r>
          </w:p>
        </w:tc>
        <w:tc>
          <w:tcPr>
            <w:tcW w:w="660" w:type="dxa"/>
            <w:vAlign w:val="bottom"/>
            <w:tcBorders>
              <w:bottom w:val="single" w:sz="8" w:color="0000FF"/>
            </w:tcBorders>
            <w:gridSpan w:val="5"/>
          </w:tcPr>
          <w:p>
            <w:pPr>
              <w:ind w:left="40"/>
              <w:spacing w:after="0" w:line="156" w:lineRule="exact"/>
              <w:rPr>
                <w:sz w:val="20"/>
                <w:szCs w:val="20"/>
                <w:color w:val="auto"/>
              </w:rPr>
            </w:pPr>
            <w:r>
              <w:rPr>
                <w:rFonts w:ascii="Arial" w:cs="Arial" w:eastAsia="Arial" w:hAnsi="Arial"/>
                <w:sz w:val="18"/>
                <w:szCs w:val="18"/>
                <w:color w:val="0000FF"/>
                <w:w w:val="93"/>
              </w:rPr>
              <w:t>Survival</w:t>
            </w:r>
          </w:p>
        </w:tc>
        <w:tc>
          <w:tcPr>
            <w:tcW w:w="1220" w:type="dxa"/>
            <w:vAlign w:val="bottom"/>
            <w:gridSpan w:val="23"/>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960" w:type="dxa"/>
            <w:vAlign w:val="bottom"/>
            <w:gridSpan w:val="3"/>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tcPr>
          <w:p>
            <w:pPr>
              <w:spacing w:after="0"/>
              <w:rPr>
                <w:sz w:val="20"/>
                <w:szCs w:val="20"/>
                <w:color w:val="auto"/>
              </w:rPr>
            </w:pPr>
            <w:r>
              <w:rPr>
                <w:rFonts w:ascii="Arial" w:cs="Arial" w:eastAsia="Arial" w:hAnsi="Arial"/>
                <w:sz w:val="18"/>
                <w:szCs w:val="18"/>
                <w:color w:val="0000FF"/>
              </w:rPr>
              <w:t>ARTICLE IV.</w:t>
            </w:r>
          </w:p>
        </w:tc>
        <w:tc>
          <w:tcPr>
            <w:tcW w:w="7660" w:type="dxa"/>
            <w:vAlign w:val="bottom"/>
            <w:gridSpan w:val="53"/>
          </w:tcPr>
          <w:p>
            <w:pPr>
              <w:ind w:left="80"/>
              <w:spacing w:after="0"/>
              <w:rPr>
                <w:sz w:val="20"/>
                <w:szCs w:val="20"/>
                <w:color w:val="auto"/>
              </w:rPr>
            </w:pPr>
            <w:r>
              <w:rPr>
                <w:rFonts w:ascii="Arial" w:cs="Arial" w:eastAsia="Arial" w:hAnsi="Arial"/>
                <w:sz w:val="18"/>
                <w:szCs w:val="18"/>
                <w:color w:val="0000FF"/>
              </w:rPr>
              <w:t>CONDITIONS PRECEDENT TO CLOSING AND CREDIT EXTENSIONS</w:t>
            </w:r>
          </w:p>
        </w:tc>
        <w:tc>
          <w:tcPr>
            <w:tcW w:w="2540" w:type="dxa"/>
            <w:vAlign w:val="bottom"/>
            <w:gridSpan w:val="5"/>
          </w:tcPr>
          <w:p>
            <w:pPr>
              <w:jc w:val="right"/>
              <w:ind w:right="20"/>
              <w:spacing w:after="0"/>
              <w:rPr>
                <w:sz w:val="20"/>
                <w:szCs w:val="20"/>
                <w:color w:val="auto"/>
              </w:rPr>
            </w:pPr>
            <w:r>
              <w:rPr>
                <w:rFonts w:ascii="Arial" w:cs="Arial" w:eastAsia="Arial" w:hAnsi="Arial"/>
                <w:sz w:val="18"/>
                <w:szCs w:val="18"/>
                <w:color w:val="0000FF"/>
              </w:rPr>
              <w:t>73</w:t>
            </w:r>
          </w:p>
        </w:tc>
        <w:tc>
          <w:tcPr>
            <w:tcW w:w="0" w:type="dxa"/>
            <w:vAlign w:val="bottom"/>
          </w:tcPr>
          <w:p>
            <w:pPr>
              <w:spacing w:after="0"/>
              <w:rPr>
                <w:sz w:val="1"/>
                <w:szCs w:val="1"/>
                <w:color w:val="auto"/>
              </w:rPr>
            </w:pPr>
          </w:p>
        </w:tc>
      </w:tr>
      <w:tr>
        <w:trPr>
          <w:trHeight w:val="20"/>
        </w:trPr>
        <w:tc>
          <w:tcPr>
            <w:tcW w:w="6720" w:type="dxa"/>
            <w:vAlign w:val="bottom"/>
            <w:tcBorders>
              <w:top w:val="single" w:sz="8" w:color="0000FF"/>
              <w:bottom w:val="single" w:sz="8" w:color="0000FF"/>
            </w:tcBorders>
            <w:gridSpan w:val="54"/>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tcPr>
          <w:p>
            <w:pPr>
              <w:jc w:val="right"/>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01</w:t>
            </w:r>
          </w:p>
        </w:tc>
        <w:tc>
          <w:tcPr>
            <w:tcW w:w="7660" w:type="dxa"/>
            <w:vAlign w:val="bottom"/>
            <w:gridSpan w:val="53"/>
          </w:tcPr>
          <w:p>
            <w:pPr>
              <w:ind w:left="40"/>
              <w:spacing w:after="0"/>
              <w:rPr>
                <w:sz w:val="20"/>
                <w:szCs w:val="20"/>
                <w:color w:val="auto"/>
              </w:rPr>
            </w:pPr>
            <w:r>
              <w:rPr>
                <w:rFonts w:ascii="Arial" w:cs="Arial" w:eastAsia="Arial" w:hAnsi="Arial"/>
                <w:sz w:val="18"/>
                <w:szCs w:val="18"/>
                <w:color w:val="0000FF"/>
              </w:rPr>
              <w:t>Conditions to Closing</w:t>
            </w:r>
          </w:p>
        </w:tc>
        <w:tc>
          <w:tcPr>
            <w:tcW w:w="2540" w:type="dxa"/>
            <w:vAlign w:val="bottom"/>
            <w:gridSpan w:val="5"/>
          </w:tcPr>
          <w:p>
            <w:pPr>
              <w:jc w:val="right"/>
              <w:ind w:right="20"/>
              <w:spacing w:after="0"/>
              <w:rPr>
                <w:sz w:val="20"/>
                <w:szCs w:val="20"/>
                <w:color w:val="auto"/>
              </w:rPr>
            </w:pPr>
            <w:r>
              <w:rPr>
                <w:rFonts w:ascii="Arial" w:cs="Arial" w:eastAsia="Arial" w:hAnsi="Arial"/>
                <w:sz w:val="18"/>
                <w:szCs w:val="18"/>
                <w:color w:val="0000FF"/>
              </w:rPr>
              <w:t>73</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020" w:type="dxa"/>
            <w:vAlign w:val="bottom"/>
            <w:tcBorders>
              <w:top w:val="single" w:sz="8" w:color="0000FF"/>
              <w:bottom w:val="single" w:sz="8" w:color="0000FF"/>
            </w:tcBorders>
            <w:gridSpan w:val="25"/>
          </w:tcPr>
          <w:p>
            <w:pPr>
              <w:spacing w:after="0" w:line="20" w:lineRule="exact"/>
              <w:rPr>
                <w:sz w:val="1"/>
                <w:szCs w:val="1"/>
                <w:color w:val="auto"/>
              </w:rPr>
            </w:pPr>
          </w:p>
        </w:tc>
        <w:tc>
          <w:tcPr>
            <w:tcW w:w="6040" w:type="dxa"/>
            <w:vAlign w:val="bottom"/>
            <w:gridSpan w:val="29"/>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4.</w:t>
            </w:r>
            <w:r>
              <w:rPr>
                <w:rFonts w:ascii="Arial" w:cs="Arial" w:eastAsia="Arial" w:hAnsi="Arial"/>
                <w:sz w:val="18"/>
                <w:szCs w:val="18"/>
                <w:u w:val="single" w:color="auto"/>
                <w:color w:val="0000FF"/>
                <w:w w:val="85"/>
              </w:rPr>
              <w:t>02</w:t>
            </w:r>
          </w:p>
        </w:tc>
        <w:tc>
          <w:tcPr>
            <w:tcW w:w="2580" w:type="dxa"/>
            <w:vAlign w:val="bottom"/>
            <w:tcBorders>
              <w:bottom w:val="single" w:sz="8" w:color="0000FF"/>
            </w:tcBorders>
            <w:gridSpan w:val="38"/>
          </w:tcPr>
          <w:p>
            <w:pPr>
              <w:ind w:left="40"/>
              <w:spacing w:after="0" w:line="156" w:lineRule="exact"/>
              <w:rPr>
                <w:sz w:val="20"/>
                <w:szCs w:val="20"/>
                <w:color w:val="auto"/>
              </w:rPr>
            </w:pPr>
            <w:r>
              <w:rPr>
                <w:rFonts w:ascii="Arial" w:cs="Arial" w:eastAsia="Arial" w:hAnsi="Arial"/>
                <w:sz w:val="18"/>
                <w:szCs w:val="18"/>
                <w:color w:val="0000FF"/>
                <w:w w:val="91"/>
              </w:rPr>
              <w:t>Conditions to all Credit Extensions</w:t>
            </w:r>
          </w:p>
        </w:tc>
        <w:tc>
          <w:tcPr>
            <w:tcW w:w="5080" w:type="dxa"/>
            <w:vAlign w:val="bottom"/>
            <w:gridSpan w:val="15"/>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720" w:type="dxa"/>
            <w:vAlign w:val="bottom"/>
            <w:gridSpan w:val="55"/>
          </w:tcPr>
          <w:p>
            <w:pPr>
              <w:spacing w:after="0"/>
              <w:rPr>
                <w:sz w:val="20"/>
                <w:szCs w:val="20"/>
                <w:color w:val="auto"/>
              </w:rPr>
            </w:pPr>
            <w:r>
              <w:rPr>
                <w:rFonts w:ascii="Arial" w:cs="Arial" w:eastAsia="Arial" w:hAnsi="Arial"/>
                <w:sz w:val="18"/>
                <w:szCs w:val="18"/>
                <w:color w:val="0000FF"/>
              </w:rPr>
              <w:t>ARTICLE V.  REPRESENTATIONS AND WARRANTIES</w:t>
            </w:r>
          </w:p>
        </w:tc>
        <w:tc>
          <w:tcPr>
            <w:tcW w:w="2540" w:type="dxa"/>
            <w:vAlign w:val="bottom"/>
            <w:gridSpan w:val="5"/>
          </w:tcPr>
          <w:p>
            <w:pPr>
              <w:jc w:val="right"/>
              <w:ind w:right="20"/>
              <w:spacing w:after="0"/>
              <w:rPr>
                <w:sz w:val="20"/>
                <w:szCs w:val="20"/>
                <w:color w:val="auto"/>
              </w:rPr>
            </w:pPr>
            <w:r>
              <w:rPr>
                <w:rFonts w:ascii="Arial" w:cs="Arial" w:eastAsia="Arial" w:hAnsi="Arial"/>
                <w:sz w:val="18"/>
                <w:szCs w:val="18"/>
                <w:color w:val="0000FF"/>
              </w:rPr>
              <w:t>76</w:t>
            </w:r>
          </w:p>
        </w:tc>
        <w:tc>
          <w:tcPr>
            <w:tcW w:w="0" w:type="dxa"/>
            <w:vAlign w:val="bottom"/>
          </w:tcPr>
          <w:p>
            <w:pPr>
              <w:spacing w:after="0"/>
              <w:rPr>
                <w:sz w:val="1"/>
                <w:szCs w:val="1"/>
                <w:color w:val="auto"/>
              </w:rPr>
            </w:pPr>
          </w:p>
        </w:tc>
      </w:tr>
      <w:tr>
        <w:trPr>
          <w:trHeight w:val="20"/>
        </w:trPr>
        <w:tc>
          <w:tcPr>
            <w:tcW w:w="4360" w:type="dxa"/>
            <w:vAlign w:val="bottom"/>
            <w:tcBorders>
              <w:top w:val="single" w:sz="8" w:color="0000FF"/>
              <w:bottom w:val="single" w:sz="8" w:color="0000FF"/>
            </w:tcBorders>
            <w:gridSpan w:val="43"/>
          </w:tcPr>
          <w:p>
            <w:pPr>
              <w:spacing w:after="0" w:line="20" w:lineRule="exact"/>
              <w:rPr>
                <w:sz w:val="1"/>
                <w:szCs w:val="1"/>
                <w:color w:val="auto"/>
              </w:rPr>
            </w:pPr>
          </w:p>
        </w:tc>
        <w:tc>
          <w:tcPr>
            <w:tcW w:w="6700" w:type="dxa"/>
            <w:vAlign w:val="bottom"/>
            <w:gridSpan w:val="14"/>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tcPr>
          <w:p>
            <w:pPr>
              <w:jc w:val="right"/>
              <w:spacing w:after="0"/>
              <w:rPr>
                <w:sz w:val="20"/>
                <w:szCs w:val="20"/>
                <w:color w:val="auto"/>
              </w:rPr>
            </w:pPr>
            <w:r>
              <w:rPr>
                <w:rFonts w:ascii="Arial" w:cs="Arial" w:eastAsia="Arial" w:hAnsi="Arial"/>
                <w:sz w:val="18"/>
                <w:szCs w:val="18"/>
                <w:color w:val="0000FF"/>
              </w:rPr>
              <w:t>5.</w:t>
            </w:r>
            <w:r>
              <w:rPr>
                <w:rFonts w:ascii="Arial" w:cs="Arial" w:eastAsia="Arial" w:hAnsi="Arial"/>
                <w:sz w:val="18"/>
                <w:szCs w:val="18"/>
                <w:u w:val="single" w:color="auto"/>
                <w:color w:val="0000FF"/>
              </w:rPr>
              <w:t>01</w:t>
            </w:r>
          </w:p>
        </w:tc>
        <w:tc>
          <w:tcPr>
            <w:tcW w:w="7660" w:type="dxa"/>
            <w:vAlign w:val="bottom"/>
            <w:gridSpan w:val="53"/>
          </w:tcPr>
          <w:p>
            <w:pPr>
              <w:ind w:left="40"/>
              <w:spacing w:after="0"/>
              <w:rPr>
                <w:sz w:val="20"/>
                <w:szCs w:val="20"/>
                <w:color w:val="auto"/>
              </w:rPr>
            </w:pPr>
            <w:r>
              <w:rPr>
                <w:rFonts w:ascii="Arial" w:cs="Arial" w:eastAsia="Arial" w:hAnsi="Arial"/>
                <w:sz w:val="18"/>
                <w:szCs w:val="18"/>
                <w:color w:val="0000FF"/>
              </w:rPr>
              <w:t>Existence, Qualification and Power</w:t>
            </w:r>
          </w:p>
        </w:tc>
        <w:tc>
          <w:tcPr>
            <w:tcW w:w="2540" w:type="dxa"/>
            <w:vAlign w:val="bottom"/>
            <w:gridSpan w:val="5"/>
          </w:tcPr>
          <w:p>
            <w:pPr>
              <w:jc w:val="right"/>
              <w:ind w:right="20"/>
              <w:spacing w:after="0"/>
              <w:rPr>
                <w:sz w:val="20"/>
                <w:szCs w:val="20"/>
                <w:color w:val="auto"/>
              </w:rPr>
            </w:pPr>
            <w:r>
              <w:rPr>
                <w:rFonts w:ascii="Arial" w:cs="Arial" w:eastAsia="Arial" w:hAnsi="Arial"/>
                <w:sz w:val="18"/>
                <w:szCs w:val="18"/>
                <w:color w:val="0000FF"/>
              </w:rPr>
              <w:t>77</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7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960" w:type="dxa"/>
            <w:vAlign w:val="bottom"/>
            <w:gridSpan w:val="4"/>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02</w:t>
            </w:r>
          </w:p>
        </w:tc>
        <w:tc>
          <w:tcPr>
            <w:tcW w:w="2460" w:type="dxa"/>
            <w:vAlign w:val="bottom"/>
            <w:tcBorders>
              <w:bottom w:val="single" w:sz="8" w:color="0000FF"/>
            </w:tcBorders>
            <w:gridSpan w:val="37"/>
          </w:tcPr>
          <w:p>
            <w:pPr>
              <w:ind w:left="40"/>
              <w:spacing w:after="0" w:line="156" w:lineRule="exact"/>
              <w:rPr>
                <w:sz w:val="20"/>
                <w:szCs w:val="20"/>
                <w:color w:val="auto"/>
              </w:rPr>
            </w:pPr>
            <w:r>
              <w:rPr>
                <w:rFonts w:ascii="Arial" w:cs="Arial" w:eastAsia="Arial" w:hAnsi="Arial"/>
                <w:sz w:val="18"/>
                <w:szCs w:val="18"/>
                <w:color w:val="0000FF"/>
                <w:w w:val="94"/>
              </w:rPr>
              <w:t>Authorization; No Contravention</w:t>
            </w:r>
          </w:p>
        </w:tc>
        <w:tc>
          <w:tcPr>
            <w:tcW w:w="140" w:type="dxa"/>
            <w:vAlign w:val="bottom"/>
            <w:gridSpan w:val="2"/>
          </w:tcPr>
          <w:p>
            <w:pPr>
              <w:spacing w:after="0"/>
              <w:rPr>
                <w:sz w:val="13"/>
                <w:szCs w:val="13"/>
                <w:color w:val="auto"/>
              </w:rPr>
            </w:pPr>
          </w:p>
        </w:tc>
        <w:tc>
          <w:tcPr>
            <w:tcW w:w="2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960" w:type="dxa"/>
            <w:vAlign w:val="bottom"/>
            <w:gridSpan w:val="4"/>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860" w:type="dxa"/>
            <w:vAlign w:val="bottom"/>
            <w:tcBorders>
              <w:bottom w:val="single" w:sz="8" w:color="0000FF"/>
            </w:tcBorders>
            <w:gridSpan w:val="38"/>
          </w:tcPr>
          <w:p>
            <w:pPr>
              <w:spacing w:after="0" w:line="20" w:lineRule="exact"/>
              <w:rPr>
                <w:sz w:val="1"/>
                <w:szCs w:val="1"/>
                <w:color w:val="auto"/>
              </w:rPr>
            </w:pPr>
          </w:p>
        </w:tc>
        <w:tc>
          <w:tcPr>
            <w:tcW w:w="5200" w:type="dxa"/>
            <w:vAlign w:val="bottom"/>
            <w:gridSpan w:val="16"/>
          </w:tcPr>
          <w:p>
            <w:pPr>
              <w:spacing w:after="0" w:line="20" w:lineRule="exact"/>
              <w:rPr>
                <w:sz w:val="1"/>
                <w:szCs w:val="1"/>
                <w:color w:val="auto"/>
              </w:rPr>
            </w:pPr>
          </w:p>
        </w:tc>
        <w:tc>
          <w:tcPr>
            <w:tcW w:w="2360" w:type="dxa"/>
            <w:vAlign w:val="bottom"/>
            <w:gridSpan w:val="3"/>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03</w:t>
            </w:r>
          </w:p>
        </w:tc>
        <w:tc>
          <w:tcPr>
            <w:tcW w:w="7660" w:type="dxa"/>
            <w:vAlign w:val="bottom"/>
            <w:gridSpan w:val="53"/>
          </w:tcPr>
          <w:p>
            <w:pPr>
              <w:ind w:left="40"/>
              <w:spacing w:after="0" w:line="156" w:lineRule="exact"/>
              <w:rPr>
                <w:sz w:val="20"/>
                <w:szCs w:val="20"/>
                <w:color w:val="auto"/>
              </w:rPr>
            </w:pPr>
            <w:r>
              <w:rPr>
                <w:rFonts w:ascii="Arial" w:cs="Arial" w:eastAsia="Arial" w:hAnsi="Arial"/>
                <w:sz w:val="18"/>
                <w:szCs w:val="18"/>
                <w:color w:val="0000FF"/>
              </w:rPr>
              <w:t>Governmental Authorization; Other Consents</w:t>
            </w:r>
          </w:p>
        </w:tc>
        <w:tc>
          <w:tcPr>
            <w:tcW w:w="2360" w:type="dxa"/>
            <w:vAlign w:val="bottom"/>
            <w:gridSpan w:val="3"/>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77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720" w:type="dxa"/>
            <w:vAlign w:val="bottom"/>
            <w:tcBorders>
              <w:top w:val="single" w:sz="8" w:color="0000FF"/>
              <w:bottom w:val="single" w:sz="8" w:color="0000FF"/>
            </w:tcBorders>
            <w:gridSpan w:val="4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960" w:type="dxa"/>
            <w:vAlign w:val="bottom"/>
            <w:gridSpan w:val="4"/>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04</w:t>
            </w:r>
          </w:p>
        </w:tc>
        <w:tc>
          <w:tcPr>
            <w:tcW w:w="3340" w:type="dxa"/>
            <w:vAlign w:val="bottom"/>
            <w:gridSpan w:val="43"/>
          </w:tcPr>
          <w:p>
            <w:pPr>
              <w:ind w:left="40"/>
              <w:spacing w:after="0" w:line="156" w:lineRule="exact"/>
              <w:rPr>
                <w:sz w:val="20"/>
                <w:szCs w:val="20"/>
                <w:color w:val="auto"/>
              </w:rPr>
            </w:pPr>
            <w:r>
              <w:rPr>
                <w:rFonts w:ascii="Arial" w:cs="Arial" w:eastAsia="Arial" w:hAnsi="Arial"/>
                <w:sz w:val="18"/>
                <w:szCs w:val="18"/>
                <w:color w:val="0000FF"/>
              </w:rPr>
              <w:t>Binding Effect</w:t>
            </w: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960" w:type="dxa"/>
            <w:vAlign w:val="bottom"/>
            <w:gridSpan w:val="4"/>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77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500" w:type="dxa"/>
            <w:vAlign w:val="bottom"/>
            <w:tcBorders>
              <w:top w:val="single" w:sz="8" w:color="0000FF"/>
              <w:bottom w:val="single" w:sz="8" w:color="0000FF"/>
            </w:tcBorders>
            <w:gridSpan w:val="17"/>
          </w:tcPr>
          <w:p>
            <w:pPr>
              <w:spacing w:after="0" w:line="20" w:lineRule="exact"/>
              <w:rPr>
                <w:sz w:val="1"/>
                <w:szCs w:val="1"/>
                <w:color w:val="auto"/>
              </w:rPr>
            </w:pPr>
          </w:p>
        </w:tc>
        <w:tc>
          <w:tcPr>
            <w:tcW w:w="6560" w:type="dxa"/>
            <w:vAlign w:val="bottom"/>
            <w:gridSpan w:val="37"/>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05</w:t>
            </w:r>
          </w:p>
        </w:tc>
        <w:tc>
          <w:tcPr>
            <w:tcW w:w="3700" w:type="dxa"/>
            <w:vAlign w:val="bottom"/>
            <w:tcBorders>
              <w:bottom w:val="single" w:sz="8" w:color="0000FF"/>
            </w:tcBorders>
            <w:gridSpan w:val="49"/>
          </w:tcPr>
          <w:p>
            <w:pPr>
              <w:ind w:left="40"/>
              <w:spacing w:after="0" w:line="156" w:lineRule="exact"/>
              <w:rPr>
                <w:sz w:val="20"/>
                <w:szCs w:val="20"/>
                <w:color w:val="auto"/>
              </w:rPr>
            </w:pPr>
            <w:r>
              <w:rPr>
                <w:rFonts w:ascii="Arial" w:cs="Arial" w:eastAsia="Arial" w:hAnsi="Arial"/>
                <w:sz w:val="18"/>
                <w:szCs w:val="18"/>
                <w:color w:val="0000FF"/>
                <w:w w:val="91"/>
              </w:rPr>
              <w:t>Financial Statements; No Material Adverse Effect.</w:t>
            </w:r>
          </w:p>
        </w:tc>
        <w:tc>
          <w:tcPr>
            <w:tcW w:w="3960" w:type="dxa"/>
            <w:vAlign w:val="bottom"/>
            <w:gridSpan w:val="4"/>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80" w:type="dxa"/>
            <w:vAlign w:val="bottom"/>
            <w:tcBorders>
              <w:bottom w:val="single" w:sz="8" w:color="0000FF"/>
            </w:tcBorders>
            <w:gridSpan w:val="4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960" w:type="dxa"/>
            <w:vAlign w:val="bottom"/>
            <w:gridSpan w:val="4"/>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06</w:t>
            </w:r>
          </w:p>
        </w:tc>
        <w:tc>
          <w:tcPr>
            <w:tcW w:w="780" w:type="dxa"/>
            <w:vAlign w:val="bottom"/>
            <w:tcBorders>
              <w:bottom w:val="single" w:sz="8" w:color="0000FF"/>
            </w:tcBorders>
            <w:gridSpan w:val="11"/>
          </w:tcPr>
          <w:p>
            <w:pPr>
              <w:ind w:left="40"/>
              <w:spacing w:after="0" w:line="156" w:lineRule="exact"/>
              <w:rPr>
                <w:sz w:val="20"/>
                <w:szCs w:val="20"/>
                <w:color w:val="auto"/>
              </w:rPr>
            </w:pPr>
            <w:r>
              <w:rPr>
                <w:rFonts w:ascii="Arial" w:cs="Arial" w:eastAsia="Arial" w:hAnsi="Arial"/>
                <w:sz w:val="18"/>
                <w:szCs w:val="18"/>
                <w:color w:val="0000FF"/>
                <w:w w:val="99"/>
              </w:rPr>
              <w:t>Litigation</w:t>
            </w:r>
          </w:p>
        </w:tc>
        <w:tc>
          <w:tcPr>
            <w:tcW w:w="2900" w:type="dxa"/>
            <w:vAlign w:val="bottom"/>
            <w:gridSpan w:val="37"/>
          </w:tcPr>
          <w:p>
            <w:pPr>
              <w:spacing w:after="0"/>
              <w:rPr>
                <w:sz w:val="13"/>
                <w:szCs w:val="13"/>
                <w:color w:val="auto"/>
              </w:rPr>
            </w:pPr>
          </w:p>
        </w:tc>
        <w:tc>
          <w:tcPr>
            <w:tcW w:w="20" w:type="dxa"/>
            <w:vAlign w:val="bottom"/>
            <w:vMerge w:val="continue"/>
          </w:tcPr>
          <w:p>
            <w:pPr>
              <w:spacing w:after="0"/>
              <w:rPr>
                <w:sz w:val="13"/>
                <w:szCs w:val="13"/>
                <w:color w:val="auto"/>
              </w:rPr>
            </w:pPr>
          </w:p>
        </w:tc>
        <w:tc>
          <w:tcPr>
            <w:tcW w:w="3960" w:type="dxa"/>
            <w:vAlign w:val="bottom"/>
            <w:gridSpan w:val="4"/>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07</w:t>
            </w:r>
          </w:p>
        </w:tc>
        <w:tc>
          <w:tcPr>
            <w:tcW w:w="780" w:type="dxa"/>
            <w:vAlign w:val="bottom"/>
            <w:tcBorders>
              <w:bottom w:val="single" w:sz="8" w:color="0000FF"/>
            </w:tcBorders>
            <w:gridSpan w:val="11"/>
          </w:tcPr>
          <w:p>
            <w:pPr>
              <w:ind w:left="40"/>
              <w:spacing w:after="0" w:line="156" w:lineRule="exact"/>
              <w:rPr>
                <w:sz w:val="20"/>
                <w:szCs w:val="20"/>
                <w:color w:val="auto"/>
              </w:rPr>
            </w:pPr>
            <w:r>
              <w:rPr>
                <w:rFonts w:ascii="Arial" w:cs="Arial" w:eastAsia="Arial" w:hAnsi="Arial"/>
                <w:sz w:val="18"/>
                <w:szCs w:val="18"/>
                <w:color w:val="0000FF"/>
                <w:w w:val="84"/>
              </w:rPr>
              <w:t>No Default</w:t>
            </w:r>
          </w:p>
        </w:tc>
        <w:tc>
          <w:tcPr>
            <w:tcW w:w="40" w:type="dxa"/>
            <w:vAlign w:val="bottom"/>
            <w:tcBorders>
              <w:bottom w:val="single" w:sz="8" w:color="0000FF"/>
            </w:tcBorders>
            <w:vMerge w:val="continue"/>
          </w:tcPr>
          <w:p>
            <w:pPr>
              <w:spacing w:after="0"/>
              <w:rPr>
                <w:sz w:val="13"/>
                <w:szCs w:val="13"/>
                <w:color w:val="auto"/>
              </w:rPr>
            </w:pPr>
          </w:p>
        </w:tc>
        <w:tc>
          <w:tcPr>
            <w:tcW w:w="40" w:type="dxa"/>
            <w:vAlign w:val="bottom"/>
            <w:tcBorders>
              <w:bottom w:val="single" w:sz="8" w:color="0000FF"/>
            </w:tcBorders>
            <w:vMerge w:val="continue"/>
          </w:tcPr>
          <w:p>
            <w:pPr>
              <w:spacing w:after="0"/>
              <w:rPr>
                <w:sz w:val="13"/>
                <w:szCs w:val="13"/>
                <w:color w:val="auto"/>
              </w:rPr>
            </w:pPr>
          </w:p>
        </w:tc>
        <w:tc>
          <w:tcPr>
            <w:tcW w:w="1380" w:type="dxa"/>
            <w:vAlign w:val="bottom"/>
            <w:gridSpan w:val="21"/>
            <w:vMerge w:val="restart"/>
          </w:tcPr>
          <w:p>
            <w:pPr>
              <w:jc w:val="center"/>
              <w:spacing w:after="0"/>
              <w:rPr>
                <w:sz w:val="20"/>
                <w:szCs w:val="20"/>
                <w:color w:val="auto"/>
              </w:rPr>
            </w:pPr>
            <w:r>
              <w:rPr>
                <w:rFonts w:ascii="Arial" w:cs="Arial" w:eastAsia="Arial" w:hAnsi="Arial"/>
                <w:sz w:val="18"/>
                <w:szCs w:val="18"/>
                <w:color w:val="0000FF"/>
                <w:w w:val="93"/>
              </w:rPr>
              <w:t>of Property; Liens.</w:t>
            </w:r>
          </w:p>
        </w:tc>
        <w:tc>
          <w:tcPr>
            <w:tcW w:w="5420" w:type="dxa"/>
            <w:vAlign w:val="bottom"/>
            <w:gridSpan w:val="19"/>
            <w:vMerge w:val="restart"/>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380" w:type="dxa"/>
            <w:vAlign w:val="bottom"/>
            <w:gridSpan w:val="21"/>
            <w:vMerge w:val="continue"/>
          </w:tcPr>
          <w:p>
            <w:pPr>
              <w:spacing w:after="0" w:line="20" w:lineRule="exact"/>
              <w:rPr>
                <w:sz w:val="1"/>
                <w:szCs w:val="1"/>
                <w:color w:val="auto"/>
              </w:rPr>
            </w:pPr>
          </w:p>
        </w:tc>
        <w:tc>
          <w:tcPr>
            <w:tcW w:w="5420" w:type="dxa"/>
            <w:vAlign w:val="bottom"/>
            <w:gridSpan w:val="19"/>
            <w:vMerge w:val="continue"/>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08</w:t>
            </w:r>
          </w:p>
        </w:tc>
        <w:tc>
          <w:tcPr>
            <w:tcW w:w="860" w:type="dxa"/>
            <w:vAlign w:val="bottom"/>
            <w:tcBorders>
              <w:bottom w:val="single" w:sz="8" w:color="0000FF"/>
            </w:tcBorders>
            <w:gridSpan w:val="13"/>
          </w:tcPr>
          <w:p>
            <w:pPr>
              <w:ind w:left="40"/>
              <w:spacing w:after="0" w:line="156" w:lineRule="exact"/>
              <w:rPr>
                <w:sz w:val="20"/>
                <w:szCs w:val="20"/>
                <w:color w:val="auto"/>
              </w:rPr>
            </w:pPr>
            <w:r>
              <w:rPr>
                <w:rFonts w:ascii="Arial" w:cs="Arial" w:eastAsia="Arial" w:hAnsi="Arial"/>
                <w:sz w:val="18"/>
                <w:szCs w:val="18"/>
                <w:color w:val="0000FF"/>
                <w:w w:val="92"/>
              </w:rPr>
              <w:t>Ownership</w:t>
            </w:r>
          </w:p>
        </w:tc>
        <w:tc>
          <w:tcPr>
            <w:tcW w:w="1380" w:type="dxa"/>
            <w:vAlign w:val="bottom"/>
            <w:tcBorders>
              <w:bottom w:val="single" w:sz="8" w:color="0000FF"/>
            </w:tcBorders>
            <w:gridSpan w:val="21"/>
            <w:vMerge w:val="continue"/>
          </w:tcPr>
          <w:p>
            <w:pPr>
              <w:spacing w:after="0"/>
              <w:rPr>
                <w:sz w:val="13"/>
                <w:szCs w:val="13"/>
                <w:color w:val="auto"/>
              </w:rPr>
            </w:pPr>
          </w:p>
        </w:tc>
        <w:tc>
          <w:tcPr>
            <w:tcW w:w="5420" w:type="dxa"/>
            <w:vAlign w:val="bottom"/>
            <w:gridSpan w:val="19"/>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80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180" w:type="dxa"/>
            <w:vAlign w:val="bottom"/>
            <w:gridSpan w:val="6"/>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09</w:t>
            </w:r>
          </w:p>
        </w:tc>
        <w:tc>
          <w:tcPr>
            <w:tcW w:w="2080" w:type="dxa"/>
            <w:vAlign w:val="bottom"/>
            <w:tcBorders>
              <w:bottom w:val="single" w:sz="8" w:color="0000FF"/>
            </w:tcBorders>
            <w:gridSpan w:val="30"/>
          </w:tcPr>
          <w:p>
            <w:pPr>
              <w:ind w:left="40"/>
              <w:spacing w:after="0" w:line="156" w:lineRule="exact"/>
              <w:rPr>
                <w:sz w:val="20"/>
                <w:szCs w:val="20"/>
                <w:color w:val="auto"/>
              </w:rPr>
            </w:pPr>
            <w:r>
              <w:rPr>
                <w:rFonts w:ascii="Arial" w:cs="Arial" w:eastAsia="Arial" w:hAnsi="Arial"/>
                <w:sz w:val="18"/>
                <w:szCs w:val="18"/>
                <w:color w:val="0000FF"/>
                <w:w w:val="91"/>
              </w:rPr>
              <w:t>Environmental Compliance.</w:t>
            </w:r>
          </w:p>
        </w:tc>
        <w:tc>
          <w:tcPr>
            <w:tcW w:w="140" w:type="dxa"/>
            <w:vAlign w:val="bottom"/>
            <w:gridSpan w:val="3"/>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80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180" w:type="dxa"/>
            <w:vAlign w:val="bottom"/>
            <w:gridSpan w:val="6"/>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80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180" w:type="dxa"/>
            <w:vAlign w:val="bottom"/>
            <w:gridSpan w:val="6"/>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10</w:t>
            </w:r>
          </w:p>
        </w:tc>
        <w:tc>
          <w:tcPr>
            <w:tcW w:w="760" w:type="dxa"/>
            <w:vAlign w:val="bottom"/>
            <w:tcBorders>
              <w:bottom w:val="single" w:sz="8" w:color="0000FF"/>
            </w:tcBorders>
            <w:gridSpan w:val="10"/>
          </w:tcPr>
          <w:p>
            <w:pPr>
              <w:ind w:left="40"/>
              <w:spacing w:after="0" w:line="156" w:lineRule="exact"/>
              <w:rPr>
                <w:sz w:val="20"/>
                <w:szCs w:val="20"/>
                <w:color w:val="auto"/>
              </w:rPr>
            </w:pPr>
            <w:r>
              <w:rPr>
                <w:rFonts w:ascii="Arial" w:cs="Arial" w:eastAsia="Arial" w:hAnsi="Arial"/>
                <w:sz w:val="18"/>
                <w:szCs w:val="18"/>
                <w:color w:val="0000FF"/>
                <w:w w:val="88"/>
              </w:rPr>
              <w:t>Insurance</w:t>
            </w:r>
          </w:p>
        </w:tc>
        <w:tc>
          <w:tcPr>
            <w:tcW w:w="1320" w:type="dxa"/>
            <w:vAlign w:val="bottom"/>
            <w:gridSpan w:val="20"/>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80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180" w:type="dxa"/>
            <w:vAlign w:val="bottom"/>
            <w:gridSpan w:val="6"/>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80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180" w:type="dxa"/>
            <w:vAlign w:val="bottom"/>
            <w:gridSpan w:val="6"/>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ind w:right="10"/>
              <w:spacing w:after="0" w:line="156" w:lineRule="exact"/>
              <w:rPr>
                <w:sz w:val="20"/>
                <w:szCs w:val="20"/>
                <w:color w:val="auto"/>
              </w:rPr>
            </w:pPr>
            <w:r>
              <w:rPr>
                <w:rFonts w:ascii="Arial" w:cs="Arial" w:eastAsia="Arial" w:hAnsi="Arial"/>
                <w:sz w:val="18"/>
                <w:szCs w:val="18"/>
                <w:color w:val="0000FF"/>
                <w:w w:val="79"/>
              </w:rPr>
              <w:t>5.</w:t>
            </w:r>
            <w:r>
              <w:rPr>
                <w:rFonts w:ascii="Arial" w:cs="Arial" w:eastAsia="Arial" w:hAnsi="Arial"/>
                <w:sz w:val="18"/>
                <w:szCs w:val="18"/>
                <w:u w:val="single" w:color="auto"/>
                <w:color w:val="0000FF"/>
                <w:w w:val="79"/>
              </w:rPr>
              <w:t>11</w:t>
            </w:r>
          </w:p>
        </w:tc>
        <w:tc>
          <w:tcPr>
            <w:tcW w:w="460" w:type="dxa"/>
            <w:vAlign w:val="bottom"/>
            <w:tcBorders>
              <w:bottom w:val="single" w:sz="8" w:color="0000FF"/>
            </w:tcBorders>
          </w:tcPr>
          <w:p>
            <w:pPr>
              <w:ind w:left="40"/>
              <w:spacing w:after="0" w:line="156" w:lineRule="exact"/>
              <w:rPr>
                <w:sz w:val="20"/>
                <w:szCs w:val="20"/>
                <w:color w:val="auto"/>
              </w:rPr>
            </w:pPr>
            <w:r>
              <w:rPr>
                <w:rFonts w:ascii="Arial" w:cs="Arial" w:eastAsia="Arial" w:hAnsi="Arial"/>
                <w:sz w:val="18"/>
                <w:szCs w:val="18"/>
                <w:color w:val="0000FF"/>
                <w:w w:val="81"/>
              </w:rPr>
              <w:t>Taxes</w:t>
            </w:r>
          </w:p>
        </w:tc>
        <w:tc>
          <w:tcPr>
            <w:tcW w:w="280" w:type="dxa"/>
            <w:vAlign w:val="bottom"/>
            <w:gridSpan w:val="8"/>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80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180" w:type="dxa"/>
            <w:vAlign w:val="bottom"/>
            <w:gridSpan w:val="6"/>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7140" w:type="dxa"/>
            <w:vAlign w:val="bottom"/>
            <w:gridSpan w:val="50"/>
            <w:vMerge w:val="restart"/>
          </w:tcPr>
          <w:p>
            <w:pPr>
              <w:ind w:left="100"/>
              <w:spacing w:after="0" w:line="196" w:lineRule="exact"/>
              <w:rPr>
                <w:sz w:val="20"/>
                <w:szCs w:val="20"/>
                <w:color w:val="auto"/>
              </w:rPr>
            </w:pPr>
            <w:r>
              <w:rPr>
                <w:rFonts w:ascii="Arial" w:cs="Arial" w:eastAsia="Arial" w:hAnsi="Arial"/>
                <w:sz w:val="18"/>
                <w:szCs w:val="18"/>
                <w:color w:val="0000FF"/>
              </w:rPr>
              <w:t>Compliance.</w:t>
            </w:r>
          </w:p>
        </w:tc>
        <w:tc>
          <w:tcPr>
            <w:tcW w:w="2360" w:type="dxa"/>
            <w:vAlign w:val="bottom"/>
            <w:gridSpan w:val="3"/>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12</w:t>
            </w:r>
          </w:p>
        </w:tc>
        <w:tc>
          <w:tcPr>
            <w:tcW w:w="460" w:type="dxa"/>
            <w:vAlign w:val="bottom"/>
          </w:tcPr>
          <w:p>
            <w:pPr>
              <w:ind w:left="40"/>
              <w:spacing w:after="0" w:line="156" w:lineRule="exact"/>
              <w:rPr>
                <w:sz w:val="20"/>
                <w:szCs w:val="20"/>
                <w:color w:val="auto"/>
              </w:rPr>
            </w:pPr>
            <w:r>
              <w:rPr>
                <w:rFonts w:ascii="Arial" w:cs="Arial" w:eastAsia="Arial" w:hAnsi="Arial"/>
                <w:sz w:val="18"/>
                <w:szCs w:val="18"/>
                <w:color w:val="0000FF"/>
                <w:w w:val="73"/>
              </w:rPr>
              <w:t>ERISA</w:t>
            </w:r>
          </w:p>
        </w:tc>
        <w:tc>
          <w:tcPr>
            <w:tcW w:w="60" w:type="dxa"/>
            <w:vAlign w:val="bottom"/>
            <w:gridSpan w:val="2"/>
            <w:vMerge w:val="continue"/>
          </w:tcPr>
          <w:p>
            <w:pPr>
              <w:spacing w:after="0"/>
              <w:rPr>
                <w:sz w:val="13"/>
                <w:szCs w:val="13"/>
                <w:color w:val="auto"/>
              </w:rPr>
            </w:pPr>
          </w:p>
        </w:tc>
        <w:tc>
          <w:tcPr>
            <w:tcW w:w="7140" w:type="dxa"/>
            <w:vAlign w:val="bottom"/>
            <w:gridSpan w:val="50"/>
            <w:vMerge w:val="continue"/>
          </w:tcPr>
          <w:p>
            <w:pPr>
              <w:spacing w:after="0"/>
              <w:rPr>
                <w:sz w:val="13"/>
                <w:szCs w:val="13"/>
                <w:color w:val="auto"/>
              </w:rPr>
            </w:pPr>
          </w:p>
        </w:tc>
        <w:tc>
          <w:tcPr>
            <w:tcW w:w="2360" w:type="dxa"/>
            <w:vAlign w:val="bottom"/>
            <w:gridSpan w:val="3"/>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81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gridSpan w:val="11"/>
            <w:vMerge w:val="restart"/>
          </w:tcPr>
          <w:p>
            <w:pPr>
              <w:ind w:left="20"/>
              <w:spacing w:after="0" w:line="196" w:lineRule="exact"/>
              <w:rPr>
                <w:sz w:val="20"/>
                <w:szCs w:val="20"/>
                <w:color w:val="auto"/>
              </w:rPr>
            </w:pPr>
            <w:r>
              <w:rPr>
                <w:rFonts w:ascii="Arial" w:cs="Arial" w:eastAsia="Arial" w:hAnsi="Arial"/>
                <w:sz w:val="18"/>
                <w:szCs w:val="18"/>
                <w:color w:val="0000FF"/>
                <w:w w:val="86"/>
              </w:rPr>
              <w:t>Interests</w:t>
            </w:r>
          </w:p>
        </w:tc>
        <w:tc>
          <w:tcPr>
            <w:tcW w:w="5500" w:type="dxa"/>
            <w:vAlign w:val="bottom"/>
            <w:gridSpan w:val="21"/>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13</w:t>
            </w:r>
          </w:p>
        </w:tc>
        <w:tc>
          <w:tcPr>
            <w:tcW w:w="1520" w:type="dxa"/>
            <w:vAlign w:val="bottom"/>
            <w:tcBorders>
              <w:bottom w:val="single" w:sz="8" w:color="0000FF"/>
            </w:tcBorders>
            <w:gridSpan w:val="21"/>
          </w:tcPr>
          <w:p>
            <w:pPr>
              <w:ind w:left="40"/>
              <w:spacing w:after="0" w:line="156" w:lineRule="exact"/>
              <w:rPr>
                <w:sz w:val="20"/>
                <w:szCs w:val="20"/>
                <w:color w:val="auto"/>
              </w:rPr>
            </w:pPr>
            <w:r>
              <w:rPr>
                <w:rFonts w:ascii="Arial" w:cs="Arial" w:eastAsia="Arial" w:hAnsi="Arial"/>
                <w:sz w:val="18"/>
                <w:szCs w:val="18"/>
                <w:color w:val="0000FF"/>
                <w:w w:val="92"/>
              </w:rPr>
              <w:t>Subsidiaries; Equity</w:t>
            </w:r>
          </w:p>
        </w:tc>
        <w:tc>
          <w:tcPr>
            <w:tcW w:w="640" w:type="dxa"/>
            <w:vAlign w:val="bottom"/>
            <w:tcBorders>
              <w:bottom w:val="single" w:sz="8" w:color="0000FF"/>
            </w:tcBorders>
            <w:gridSpan w:val="11"/>
            <w:vMerge w:val="continue"/>
          </w:tcPr>
          <w:p>
            <w:pPr>
              <w:spacing w:after="0"/>
              <w:rPr>
                <w:sz w:val="13"/>
                <w:szCs w:val="13"/>
                <w:color w:val="auto"/>
              </w:rPr>
            </w:pPr>
          </w:p>
        </w:tc>
        <w:tc>
          <w:tcPr>
            <w:tcW w:w="5500" w:type="dxa"/>
            <w:vAlign w:val="bottom"/>
            <w:gridSpan w:val="21"/>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560" w:type="dxa"/>
            <w:vAlign w:val="bottom"/>
            <w:tcBorders>
              <w:bottom w:val="single" w:sz="8" w:color="0000FF"/>
            </w:tcBorders>
            <w:gridSpan w:val="33"/>
          </w:tcPr>
          <w:p>
            <w:pPr>
              <w:spacing w:after="0" w:line="20" w:lineRule="exact"/>
              <w:rPr>
                <w:sz w:val="1"/>
                <w:szCs w:val="1"/>
                <w:color w:val="auto"/>
              </w:rPr>
            </w:pPr>
          </w:p>
        </w:tc>
        <w:tc>
          <w:tcPr>
            <w:tcW w:w="5500" w:type="dxa"/>
            <w:vAlign w:val="bottom"/>
            <w:gridSpan w:val="21"/>
          </w:tcPr>
          <w:p>
            <w:pPr>
              <w:spacing w:after="0" w:line="20" w:lineRule="exact"/>
              <w:rPr>
                <w:sz w:val="1"/>
                <w:szCs w:val="1"/>
                <w:color w:val="auto"/>
              </w:rPr>
            </w:pPr>
          </w:p>
        </w:tc>
        <w:tc>
          <w:tcPr>
            <w:tcW w:w="2360" w:type="dxa"/>
            <w:vAlign w:val="bottom"/>
            <w:gridSpan w:val="3"/>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14</w:t>
            </w:r>
          </w:p>
        </w:tc>
        <w:tc>
          <w:tcPr>
            <w:tcW w:w="7660" w:type="dxa"/>
            <w:vAlign w:val="bottom"/>
            <w:gridSpan w:val="53"/>
          </w:tcPr>
          <w:p>
            <w:pPr>
              <w:ind w:left="40"/>
              <w:spacing w:after="0" w:line="156" w:lineRule="exact"/>
              <w:rPr>
                <w:sz w:val="20"/>
                <w:szCs w:val="20"/>
                <w:color w:val="auto"/>
              </w:rPr>
            </w:pPr>
            <w:r>
              <w:rPr>
                <w:rFonts w:ascii="Arial" w:cs="Arial" w:eastAsia="Arial" w:hAnsi="Arial"/>
                <w:sz w:val="18"/>
                <w:szCs w:val="18"/>
                <w:color w:val="0000FF"/>
              </w:rPr>
              <w:t>Margin Regulations; Investment Company Act.</w:t>
            </w:r>
          </w:p>
        </w:tc>
        <w:tc>
          <w:tcPr>
            <w:tcW w:w="2360" w:type="dxa"/>
            <w:vAlign w:val="bottom"/>
            <w:gridSpan w:val="3"/>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82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180" w:type="dxa"/>
            <w:vAlign w:val="bottom"/>
            <w:gridSpan w:val="6"/>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15</w:t>
            </w:r>
          </w:p>
        </w:tc>
        <w:tc>
          <w:tcPr>
            <w:tcW w:w="820" w:type="dxa"/>
            <w:vAlign w:val="bottom"/>
            <w:tcBorders>
              <w:bottom w:val="single" w:sz="8" w:color="0000FF"/>
            </w:tcBorders>
            <w:gridSpan w:val="12"/>
          </w:tcPr>
          <w:p>
            <w:pPr>
              <w:ind w:left="40"/>
              <w:spacing w:after="0" w:line="156" w:lineRule="exact"/>
              <w:rPr>
                <w:sz w:val="20"/>
                <w:szCs w:val="20"/>
                <w:color w:val="auto"/>
              </w:rPr>
            </w:pPr>
            <w:r>
              <w:rPr>
                <w:rFonts w:ascii="Arial" w:cs="Arial" w:eastAsia="Arial" w:hAnsi="Arial"/>
                <w:sz w:val="18"/>
                <w:szCs w:val="18"/>
                <w:color w:val="0000FF"/>
                <w:w w:val="90"/>
              </w:rPr>
              <w:t>Disclosure</w:t>
            </w:r>
          </w:p>
        </w:tc>
        <w:tc>
          <w:tcPr>
            <w:tcW w:w="2660" w:type="dxa"/>
            <w:vAlign w:val="bottom"/>
            <w:gridSpan w:val="35"/>
          </w:tcPr>
          <w:p>
            <w:pPr>
              <w:spacing w:after="0"/>
              <w:rPr>
                <w:sz w:val="13"/>
                <w:szCs w:val="13"/>
                <w:color w:val="auto"/>
              </w:rPr>
            </w:pPr>
          </w:p>
        </w:tc>
        <w:tc>
          <w:tcPr>
            <w:tcW w:w="4180" w:type="dxa"/>
            <w:vAlign w:val="bottom"/>
            <w:gridSpan w:val="6"/>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900" w:type="dxa"/>
            <w:vAlign w:val="bottom"/>
            <w:gridSpan w:val="15"/>
            <w:vMerge w:val="restart"/>
          </w:tcPr>
          <w:p>
            <w:pPr>
              <w:ind w:left="140"/>
              <w:spacing w:after="0" w:line="196" w:lineRule="exact"/>
              <w:rPr>
                <w:sz w:val="20"/>
                <w:szCs w:val="20"/>
                <w:color w:val="auto"/>
              </w:rPr>
            </w:pPr>
            <w:r>
              <w:rPr>
                <w:rFonts w:ascii="Arial" w:cs="Arial" w:eastAsia="Arial" w:hAnsi="Arial"/>
                <w:sz w:val="18"/>
                <w:szCs w:val="18"/>
                <w:color w:val="0000FF"/>
                <w:w w:val="93"/>
              </w:rPr>
              <w:t>with Laws</w:t>
            </w:r>
          </w:p>
        </w:tc>
        <w:tc>
          <w:tcPr>
            <w:tcW w:w="5940" w:type="dxa"/>
            <w:vAlign w:val="bottom"/>
            <w:gridSpan w:val="26"/>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16</w:t>
            </w:r>
          </w:p>
        </w:tc>
        <w:tc>
          <w:tcPr>
            <w:tcW w:w="820" w:type="dxa"/>
            <w:vAlign w:val="bottom"/>
            <w:tcBorders>
              <w:bottom w:val="single" w:sz="8" w:color="0000FF"/>
            </w:tcBorders>
            <w:gridSpan w:val="12"/>
          </w:tcPr>
          <w:p>
            <w:pPr>
              <w:ind w:left="40"/>
              <w:spacing w:after="0" w:line="156" w:lineRule="exact"/>
              <w:rPr>
                <w:sz w:val="20"/>
                <w:szCs w:val="20"/>
                <w:color w:val="auto"/>
              </w:rPr>
            </w:pPr>
            <w:r>
              <w:rPr>
                <w:rFonts w:ascii="Arial" w:cs="Arial" w:eastAsia="Arial" w:hAnsi="Arial"/>
                <w:sz w:val="18"/>
                <w:szCs w:val="18"/>
                <w:color w:val="0000FF"/>
                <w:w w:val="79"/>
              </w:rPr>
              <w:t>Compliance</w:t>
            </w:r>
          </w:p>
        </w:tc>
        <w:tc>
          <w:tcPr>
            <w:tcW w:w="900" w:type="dxa"/>
            <w:vAlign w:val="bottom"/>
            <w:tcBorders>
              <w:bottom w:val="single" w:sz="8" w:color="0000FF"/>
            </w:tcBorders>
            <w:gridSpan w:val="15"/>
            <w:vMerge w:val="continue"/>
          </w:tcPr>
          <w:p>
            <w:pPr>
              <w:spacing w:after="0"/>
              <w:rPr>
                <w:sz w:val="13"/>
                <w:szCs w:val="13"/>
                <w:color w:val="auto"/>
              </w:rPr>
            </w:pPr>
          </w:p>
        </w:tc>
        <w:tc>
          <w:tcPr>
            <w:tcW w:w="5940" w:type="dxa"/>
            <w:vAlign w:val="bottom"/>
            <w:gridSpan w:val="26"/>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60" w:type="dxa"/>
            <w:vAlign w:val="bottom"/>
            <w:gridSpan w:val="11"/>
            <w:vMerge w:val="restart"/>
          </w:tcPr>
          <w:p>
            <w:pPr>
              <w:spacing w:after="0" w:line="196" w:lineRule="exact"/>
              <w:rPr>
                <w:sz w:val="20"/>
                <w:szCs w:val="20"/>
                <w:color w:val="auto"/>
              </w:rPr>
            </w:pPr>
            <w:r>
              <w:rPr>
                <w:rFonts w:ascii="Arial" w:cs="Arial" w:eastAsia="Arial" w:hAnsi="Arial"/>
                <w:sz w:val="18"/>
                <w:szCs w:val="18"/>
                <w:color w:val="0000FF"/>
                <w:w w:val="78"/>
              </w:rPr>
              <w:t>Licenses, Etc</w:t>
            </w:r>
          </w:p>
        </w:tc>
        <w:tc>
          <w:tcPr>
            <w:tcW w:w="5080" w:type="dxa"/>
            <w:vAlign w:val="bottom"/>
            <w:gridSpan w:val="15"/>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17</w:t>
            </w:r>
          </w:p>
        </w:tc>
        <w:tc>
          <w:tcPr>
            <w:tcW w:w="1720" w:type="dxa"/>
            <w:vAlign w:val="bottom"/>
            <w:tcBorders>
              <w:bottom w:val="single" w:sz="8" w:color="0000FF"/>
            </w:tcBorders>
            <w:gridSpan w:val="27"/>
          </w:tcPr>
          <w:p>
            <w:pPr>
              <w:ind w:left="40"/>
              <w:spacing w:after="0" w:line="156" w:lineRule="exact"/>
              <w:rPr>
                <w:sz w:val="20"/>
                <w:szCs w:val="20"/>
                <w:color w:val="auto"/>
              </w:rPr>
            </w:pPr>
            <w:r>
              <w:rPr>
                <w:rFonts w:ascii="Arial" w:cs="Arial" w:eastAsia="Arial" w:hAnsi="Arial"/>
                <w:sz w:val="18"/>
                <w:szCs w:val="18"/>
                <w:color w:val="0000FF"/>
              </w:rPr>
              <w:t>Intellectual Property;</w:t>
            </w:r>
          </w:p>
        </w:tc>
        <w:tc>
          <w:tcPr>
            <w:tcW w:w="860" w:type="dxa"/>
            <w:vAlign w:val="bottom"/>
            <w:tcBorders>
              <w:bottom w:val="single" w:sz="8" w:color="0000FF"/>
            </w:tcBorders>
            <w:gridSpan w:val="11"/>
            <w:vMerge w:val="continue"/>
          </w:tcPr>
          <w:p>
            <w:pPr>
              <w:spacing w:after="0"/>
              <w:rPr>
                <w:sz w:val="13"/>
                <w:szCs w:val="13"/>
                <w:color w:val="auto"/>
              </w:rPr>
            </w:pPr>
          </w:p>
        </w:tc>
        <w:tc>
          <w:tcPr>
            <w:tcW w:w="5080" w:type="dxa"/>
            <w:vAlign w:val="bottom"/>
            <w:gridSpan w:val="15"/>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60" w:type="dxa"/>
            <w:vAlign w:val="bottom"/>
            <w:gridSpan w:val="8"/>
            <w:vMerge w:val="restart"/>
          </w:tcPr>
          <w:p>
            <w:pPr>
              <w:spacing w:after="0" w:line="20" w:lineRule="exact"/>
              <w:rPr>
                <w:sz w:val="1"/>
                <w:szCs w:val="1"/>
                <w:color w:val="auto"/>
              </w:rPr>
            </w:pPr>
          </w:p>
        </w:tc>
        <w:tc>
          <w:tcPr>
            <w:tcW w:w="2360" w:type="dxa"/>
            <w:vAlign w:val="bottom"/>
            <w:gridSpan w:val="3"/>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18</w:t>
            </w:r>
          </w:p>
        </w:tc>
        <w:tc>
          <w:tcPr>
            <w:tcW w:w="2580" w:type="dxa"/>
            <w:vAlign w:val="bottom"/>
            <w:gridSpan w:val="38"/>
          </w:tcPr>
          <w:p>
            <w:pPr>
              <w:ind w:left="40"/>
              <w:spacing w:after="0" w:line="156" w:lineRule="exact"/>
              <w:rPr>
                <w:sz w:val="20"/>
                <w:szCs w:val="20"/>
                <w:color w:val="auto"/>
              </w:rPr>
            </w:pPr>
            <w:r>
              <w:rPr>
                <w:rFonts w:ascii="Arial" w:cs="Arial" w:eastAsia="Arial" w:hAnsi="Arial"/>
                <w:sz w:val="18"/>
                <w:szCs w:val="18"/>
                <w:color w:val="0000FF"/>
              </w:rPr>
              <w:t>Labor Matters</w:t>
            </w:r>
          </w:p>
        </w:tc>
        <w:tc>
          <w:tcPr>
            <w:tcW w:w="80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260" w:type="dxa"/>
            <w:vAlign w:val="bottom"/>
            <w:gridSpan w:val="8"/>
            <w:vMerge w:val="continue"/>
          </w:tcPr>
          <w:p>
            <w:pPr>
              <w:spacing w:after="0"/>
              <w:rPr>
                <w:sz w:val="13"/>
                <w:szCs w:val="13"/>
                <w:color w:val="auto"/>
              </w:rPr>
            </w:pPr>
          </w:p>
        </w:tc>
        <w:tc>
          <w:tcPr>
            <w:tcW w:w="2360" w:type="dxa"/>
            <w:vAlign w:val="bottom"/>
            <w:gridSpan w:val="3"/>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83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460" w:type="dxa"/>
            <w:vAlign w:val="bottom"/>
            <w:tcBorders>
              <w:top w:val="single" w:sz="8" w:color="0000FF"/>
              <w:bottom w:val="single" w:sz="8" w:color="0000FF"/>
            </w:tcBorders>
            <w:gridSpan w:val="15"/>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580" w:type="dxa"/>
            <w:vAlign w:val="bottom"/>
            <w:gridSpan w:val="38"/>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19</w:t>
            </w:r>
          </w:p>
        </w:tc>
        <w:tc>
          <w:tcPr>
            <w:tcW w:w="1580" w:type="dxa"/>
            <w:vAlign w:val="bottom"/>
            <w:tcBorders>
              <w:bottom w:val="single" w:sz="8" w:color="0000FF"/>
            </w:tcBorders>
            <w:gridSpan w:val="23"/>
          </w:tcPr>
          <w:p>
            <w:pPr>
              <w:ind w:left="40"/>
              <w:spacing w:after="0" w:line="156" w:lineRule="exact"/>
              <w:rPr>
                <w:sz w:val="20"/>
                <w:szCs w:val="20"/>
                <w:color w:val="auto"/>
              </w:rPr>
            </w:pPr>
            <w:r>
              <w:rPr>
                <w:rFonts w:ascii="Arial" w:cs="Arial" w:eastAsia="Arial" w:hAnsi="Arial"/>
                <w:sz w:val="18"/>
                <w:szCs w:val="18"/>
                <w:color w:val="0000FF"/>
                <w:w w:val="91"/>
              </w:rPr>
              <w:t>Security Documents.</w:t>
            </w:r>
          </w:p>
        </w:tc>
        <w:tc>
          <w:tcPr>
            <w:tcW w:w="6080" w:type="dxa"/>
            <w:vAlign w:val="bottom"/>
            <w:gridSpan w:val="30"/>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3"/>
            <w:vMerge w:val="restart"/>
          </w:tcPr>
          <w:p>
            <w:pPr>
              <w:spacing w:after="0" w:line="20" w:lineRule="exact"/>
              <w:rPr>
                <w:sz w:val="1"/>
                <w:szCs w:val="1"/>
                <w:color w:val="auto"/>
              </w:rPr>
            </w:pPr>
          </w:p>
        </w:tc>
        <w:tc>
          <w:tcPr>
            <w:tcW w:w="52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40" w:type="dxa"/>
            <w:vAlign w:val="bottom"/>
            <w:gridSpan w:val="8"/>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60" w:type="dxa"/>
            <w:vAlign w:val="bottom"/>
            <w:gridSpan w:val="8"/>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20</w:t>
            </w:r>
          </w:p>
        </w:tc>
        <w:tc>
          <w:tcPr>
            <w:tcW w:w="760" w:type="dxa"/>
            <w:vAlign w:val="bottom"/>
            <w:tcBorders>
              <w:bottom w:val="single" w:sz="8" w:color="0000FF"/>
            </w:tcBorders>
            <w:gridSpan w:val="10"/>
          </w:tcPr>
          <w:p>
            <w:pPr>
              <w:ind w:left="40"/>
              <w:spacing w:after="0" w:line="156" w:lineRule="exact"/>
              <w:rPr>
                <w:sz w:val="20"/>
                <w:szCs w:val="20"/>
                <w:color w:val="auto"/>
              </w:rPr>
            </w:pPr>
            <w:r>
              <w:rPr>
                <w:rFonts w:ascii="Arial" w:cs="Arial" w:eastAsia="Arial" w:hAnsi="Arial"/>
                <w:sz w:val="18"/>
                <w:szCs w:val="18"/>
                <w:color w:val="0000FF"/>
                <w:w w:val="89"/>
              </w:rPr>
              <w:t>Solvency.</w:t>
            </w:r>
          </w:p>
        </w:tc>
        <w:tc>
          <w:tcPr>
            <w:tcW w:w="800" w:type="dxa"/>
            <w:vAlign w:val="bottom"/>
            <w:gridSpan w:val="12"/>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52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940" w:type="dxa"/>
            <w:vAlign w:val="bottom"/>
            <w:gridSpan w:val="8"/>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260" w:type="dxa"/>
            <w:vAlign w:val="bottom"/>
            <w:gridSpan w:val="8"/>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40" w:type="dxa"/>
            <w:vAlign w:val="bottom"/>
            <w:gridSpan w:val="35"/>
            <w:vMerge w:val="restart"/>
          </w:tcPr>
          <w:p>
            <w:pPr>
              <w:jc w:val="center"/>
              <w:ind w:right="20"/>
              <w:spacing w:after="0" w:line="196" w:lineRule="exact"/>
              <w:rPr>
                <w:sz w:val="20"/>
                <w:szCs w:val="20"/>
                <w:color w:val="auto"/>
              </w:rPr>
            </w:pPr>
            <w:r>
              <w:rPr>
                <w:rFonts w:ascii="Arial" w:cs="Arial" w:eastAsia="Arial" w:hAnsi="Arial"/>
                <w:sz w:val="18"/>
                <w:szCs w:val="18"/>
                <w:color w:val="0000FF"/>
                <w:w w:val="87"/>
              </w:rPr>
              <w:t>Accounts; Credit Card Arrangements.</w:t>
            </w:r>
          </w:p>
        </w:tc>
        <w:tc>
          <w:tcPr>
            <w:tcW w:w="4260" w:type="dxa"/>
            <w:vAlign w:val="bottom"/>
            <w:gridSpan w:val="8"/>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21</w:t>
            </w:r>
          </w:p>
        </w:tc>
        <w:tc>
          <w:tcPr>
            <w:tcW w:w="760" w:type="dxa"/>
            <w:vAlign w:val="bottom"/>
            <w:tcBorders>
              <w:bottom w:val="single" w:sz="8" w:color="0000FF"/>
            </w:tcBorders>
            <w:gridSpan w:val="10"/>
          </w:tcPr>
          <w:p>
            <w:pPr>
              <w:ind w:left="40"/>
              <w:spacing w:after="0" w:line="156" w:lineRule="exact"/>
              <w:rPr>
                <w:sz w:val="20"/>
                <w:szCs w:val="20"/>
                <w:color w:val="auto"/>
              </w:rPr>
            </w:pPr>
            <w:r>
              <w:rPr>
                <w:rFonts w:ascii="Arial" w:cs="Arial" w:eastAsia="Arial" w:hAnsi="Arial"/>
                <w:sz w:val="18"/>
                <w:szCs w:val="18"/>
                <w:color w:val="0000FF"/>
              </w:rPr>
              <w:t>Deposit</w:t>
            </w:r>
          </w:p>
        </w:tc>
        <w:tc>
          <w:tcPr>
            <w:tcW w:w="2640" w:type="dxa"/>
            <w:vAlign w:val="bottom"/>
            <w:tcBorders>
              <w:bottom w:val="single" w:sz="8" w:color="0000FF"/>
            </w:tcBorders>
            <w:gridSpan w:val="35"/>
            <w:vMerge w:val="continue"/>
          </w:tcPr>
          <w:p>
            <w:pPr>
              <w:spacing w:after="0"/>
              <w:rPr>
                <w:sz w:val="13"/>
                <w:szCs w:val="13"/>
                <w:color w:val="auto"/>
              </w:rPr>
            </w:pPr>
          </w:p>
        </w:tc>
        <w:tc>
          <w:tcPr>
            <w:tcW w:w="4260" w:type="dxa"/>
            <w:vAlign w:val="bottom"/>
            <w:gridSpan w:val="8"/>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60" w:type="dxa"/>
            <w:vAlign w:val="bottom"/>
            <w:gridSpan w:val="8"/>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22</w:t>
            </w:r>
          </w:p>
        </w:tc>
        <w:tc>
          <w:tcPr>
            <w:tcW w:w="620" w:type="dxa"/>
            <w:vAlign w:val="bottom"/>
            <w:tcBorders>
              <w:bottom w:val="single" w:sz="8" w:color="0000FF"/>
            </w:tcBorders>
            <w:gridSpan w:val="4"/>
          </w:tcPr>
          <w:p>
            <w:pPr>
              <w:ind w:left="40"/>
              <w:spacing w:after="0" w:line="156" w:lineRule="exact"/>
              <w:rPr>
                <w:sz w:val="20"/>
                <w:szCs w:val="20"/>
                <w:color w:val="auto"/>
              </w:rPr>
            </w:pPr>
            <w:r>
              <w:rPr>
                <w:rFonts w:ascii="Arial" w:cs="Arial" w:eastAsia="Arial" w:hAnsi="Arial"/>
                <w:sz w:val="18"/>
                <w:szCs w:val="18"/>
                <w:color w:val="0000FF"/>
                <w:w w:val="90"/>
              </w:rPr>
              <w:t>Brokers</w:t>
            </w:r>
          </w:p>
        </w:tc>
        <w:tc>
          <w:tcPr>
            <w:tcW w:w="2760" w:type="dxa"/>
            <w:vAlign w:val="bottom"/>
            <w:gridSpan w:val="40"/>
          </w:tcPr>
          <w:p>
            <w:pPr>
              <w:spacing w:after="0"/>
              <w:rPr>
                <w:sz w:val="13"/>
                <w:szCs w:val="13"/>
                <w:color w:val="auto"/>
              </w:rPr>
            </w:pPr>
          </w:p>
        </w:tc>
        <w:tc>
          <w:tcPr>
            <w:tcW w:w="20" w:type="dxa"/>
            <w:vAlign w:val="bottom"/>
            <w:vMerge w:val="continue"/>
          </w:tcPr>
          <w:p>
            <w:pPr>
              <w:spacing w:after="0"/>
              <w:rPr>
                <w:sz w:val="13"/>
                <w:szCs w:val="13"/>
                <w:color w:val="auto"/>
              </w:rPr>
            </w:pPr>
          </w:p>
        </w:tc>
        <w:tc>
          <w:tcPr>
            <w:tcW w:w="4260" w:type="dxa"/>
            <w:vAlign w:val="bottom"/>
            <w:gridSpan w:val="8"/>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7040" w:type="dxa"/>
            <w:vAlign w:val="bottom"/>
            <w:gridSpan w:val="49"/>
            <w:vMerge w:val="restart"/>
          </w:tcPr>
          <w:p>
            <w:pPr>
              <w:spacing w:after="0" w:line="196" w:lineRule="exact"/>
              <w:rPr>
                <w:sz w:val="20"/>
                <w:szCs w:val="20"/>
                <w:color w:val="auto"/>
              </w:rPr>
            </w:pPr>
            <w:r>
              <w:rPr>
                <w:rFonts w:ascii="Arial" w:cs="Arial" w:eastAsia="Arial" w:hAnsi="Arial"/>
                <w:sz w:val="18"/>
                <w:szCs w:val="18"/>
                <w:color w:val="0000FF"/>
              </w:rPr>
              <w:t>Relations</w:t>
            </w:r>
          </w:p>
        </w:tc>
        <w:tc>
          <w:tcPr>
            <w:tcW w:w="2360" w:type="dxa"/>
            <w:vAlign w:val="bottom"/>
            <w:gridSpan w:val="3"/>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23</w:t>
            </w:r>
          </w:p>
        </w:tc>
        <w:tc>
          <w:tcPr>
            <w:tcW w:w="620" w:type="dxa"/>
            <w:vAlign w:val="bottom"/>
            <w:gridSpan w:val="4"/>
          </w:tcPr>
          <w:p>
            <w:pPr>
              <w:ind w:left="40"/>
              <w:spacing w:after="0" w:line="156" w:lineRule="exact"/>
              <w:rPr>
                <w:sz w:val="20"/>
                <w:szCs w:val="20"/>
                <w:color w:val="auto"/>
              </w:rPr>
            </w:pPr>
            <w:r>
              <w:rPr>
                <w:rFonts w:ascii="Arial" w:cs="Arial" w:eastAsia="Arial" w:hAnsi="Arial"/>
                <w:sz w:val="18"/>
                <w:szCs w:val="18"/>
                <w:color w:val="0000FF"/>
              </w:rPr>
              <w:t>Trade</w:t>
            </w:r>
          </w:p>
        </w:tc>
        <w:tc>
          <w:tcPr>
            <w:tcW w:w="7040" w:type="dxa"/>
            <w:vAlign w:val="bottom"/>
            <w:gridSpan w:val="49"/>
            <w:vMerge w:val="continue"/>
          </w:tcPr>
          <w:p>
            <w:pPr>
              <w:spacing w:after="0"/>
              <w:rPr>
                <w:sz w:val="13"/>
                <w:szCs w:val="13"/>
                <w:color w:val="auto"/>
              </w:rPr>
            </w:pPr>
          </w:p>
        </w:tc>
        <w:tc>
          <w:tcPr>
            <w:tcW w:w="2360" w:type="dxa"/>
            <w:vAlign w:val="bottom"/>
            <w:gridSpan w:val="3"/>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84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580" w:type="dxa"/>
            <w:vAlign w:val="bottom"/>
            <w:tcBorders>
              <w:top w:val="single" w:sz="8" w:color="0000FF"/>
              <w:bottom w:val="single" w:sz="8" w:color="0000FF"/>
            </w:tcBorders>
            <w:gridSpan w:val="18"/>
          </w:tcPr>
          <w:p>
            <w:pPr>
              <w:spacing w:after="0" w:line="20" w:lineRule="exact"/>
              <w:rPr>
                <w:sz w:val="1"/>
                <w:szCs w:val="1"/>
                <w:color w:val="auto"/>
              </w:rPr>
            </w:pPr>
          </w:p>
        </w:tc>
        <w:tc>
          <w:tcPr>
            <w:tcW w:w="6480" w:type="dxa"/>
            <w:vAlign w:val="bottom"/>
            <w:gridSpan w:val="36"/>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24</w:t>
            </w:r>
          </w:p>
        </w:tc>
        <w:tc>
          <w:tcPr>
            <w:tcW w:w="7660" w:type="dxa"/>
            <w:vAlign w:val="bottom"/>
            <w:gridSpan w:val="53"/>
          </w:tcPr>
          <w:p>
            <w:pPr>
              <w:ind w:left="40"/>
              <w:spacing w:after="0" w:line="156" w:lineRule="exact"/>
              <w:rPr>
                <w:sz w:val="20"/>
                <w:szCs w:val="20"/>
                <w:color w:val="auto"/>
              </w:rPr>
            </w:pPr>
            <w:r>
              <w:rPr>
                <w:rFonts w:ascii="Arial" w:cs="Arial" w:eastAsia="Arial" w:hAnsi="Arial"/>
                <w:sz w:val="18"/>
                <w:szCs w:val="18"/>
                <w:color w:val="0000FF"/>
              </w:rPr>
              <w:t>Material Contracts</w:t>
            </w:r>
          </w:p>
        </w:tc>
        <w:tc>
          <w:tcPr>
            <w:tcW w:w="23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85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3"/>
            <w:vMerge w:val="restart"/>
          </w:tcPr>
          <w:p>
            <w:pPr>
              <w:spacing w:after="0" w:line="20" w:lineRule="exact"/>
              <w:rPr>
                <w:sz w:val="1"/>
                <w:szCs w:val="1"/>
                <w:color w:val="auto"/>
              </w:rPr>
            </w:pPr>
          </w:p>
        </w:tc>
        <w:tc>
          <w:tcPr>
            <w:tcW w:w="52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20" w:type="dxa"/>
            <w:vAlign w:val="bottom"/>
            <w:gridSpan w:val="17"/>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25</w:t>
            </w:r>
          </w:p>
        </w:tc>
        <w:tc>
          <w:tcPr>
            <w:tcW w:w="680" w:type="dxa"/>
            <w:vAlign w:val="bottom"/>
            <w:tcBorders>
              <w:bottom w:val="single" w:sz="8" w:color="0000FF"/>
            </w:tcBorders>
            <w:gridSpan w:val="6"/>
          </w:tcPr>
          <w:p>
            <w:pPr>
              <w:ind w:left="40"/>
              <w:spacing w:after="0" w:line="156" w:lineRule="exact"/>
              <w:rPr>
                <w:sz w:val="20"/>
                <w:szCs w:val="20"/>
                <w:color w:val="auto"/>
              </w:rPr>
            </w:pPr>
            <w:r>
              <w:rPr>
                <w:rFonts w:ascii="Arial" w:cs="Arial" w:eastAsia="Arial" w:hAnsi="Arial"/>
                <w:sz w:val="18"/>
                <w:szCs w:val="18"/>
                <w:color w:val="0000FF"/>
                <w:w w:val="88"/>
              </w:rPr>
              <w:t>Casualty</w:t>
            </w:r>
          </w:p>
        </w:tc>
        <w:tc>
          <w:tcPr>
            <w:tcW w:w="720" w:type="dxa"/>
            <w:vAlign w:val="bottom"/>
            <w:gridSpan w:val="14"/>
          </w:tcPr>
          <w:p>
            <w:pPr>
              <w:spacing w:after="0"/>
              <w:rPr>
                <w:sz w:val="13"/>
                <w:szCs w:val="13"/>
                <w:color w:val="auto"/>
              </w:rPr>
            </w:pPr>
          </w:p>
        </w:tc>
        <w:tc>
          <w:tcPr>
            <w:tcW w:w="24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52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220" w:type="dxa"/>
            <w:vAlign w:val="bottom"/>
            <w:gridSpan w:val="17"/>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80" w:type="dxa"/>
            <w:vAlign w:val="bottom"/>
            <w:gridSpan w:val="12"/>
            <w:vMerge w:val="restart"/>
          </w:tcPr>
          <w:p>
            <w:pPr>
              <w:spacing w:after="0" w:line="20" w:lineRule="exact"/>
              <w:rPr>
                <w:sz w:val="1"/>
                <w:szCs w:val="1"/>
                <w:color w:val="auto"/>
              </w:rPr>
            </w:pPr>
          </w:p>
        </w:tc>
        <w:tc>
          <w:tcPr>
            <w:tcW w:w="380" w:type="dxa"/>
            <w:vAlign w:val="bottom"/>
            <w:gridSpan w:val="7"/>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3"/>
            <w:vMerge w:val="restart"/>
          </w:tcPr>
          <w:p>
            <w:pPr>
              <w:spacing w:after="0" w:line="20" w:lineRule="exact"/>
              <w:rPr>
                <w:sz w:val="1"/>
                <w:szCs w:val="1"/>
                <w:color w:val="auto"/>
              </w:rPr>
            </w:pPr>
          </w:p>
        </w:tc>
        <w:tc>
          <w:tcPr>
            <w:tcW w:w="52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20" w:type="dxa"/>
            <w:vAlign w:val="bottom"/>
            <w:gridSpan w:val="17"/>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26</w:t>
            </w:r>
          </w:p>
        </w:tc>
        <w:tc>
          <w:tcPr>
            <w:tcW w:w="520" w:type="dxa"/>
            <w:vAlign w:val="bottom"/>
            <w:tcBorders>
              <w:bottom w:val="single" w:sz="8" w:color="0000FF"/>
            </w:tcBorders>
            <w:gridSpan w:val="3"/>
          </w:tcPr>
          <w:p>
            <w:pPr>
              <w:ind w:left="40"/>
              <w:spacing w:after="0" w:line="156" w:lineRule="exact"/>
              <w:rPr>
                <w:sz w:val="20"/>
                <w:szCs w:val="20"/>
                <w:color w:val="auto"/>
              </w:rPr>
            </w:pPr>
            <w:r>
              <w:rPr>
                <w:rFonts w:ascii="Arial" w:cs="Arial" w:eastAsia="Arial" w:hAnsi="Arial"/>
                <w:sz w:val="18"/>
                <w:szCs w:val="18"/>
                <w:color w:val="0000FF"/>
                <w:w w:val="91"/>
              </w:rPr>
              <w:t>OFAC</w:t>
            </w:r>
          </w:p>
        </w:tc>
        <w:tc>
          <w:tcPr>
            <w:tcW w:w="160" w:type="dxa"/>
            <w:vAlign w:val="bottom"/>
            <w:gridSpan w:val="3"/>
          </w:tcPr>
          <w:p>
            <w:pPr>
              <w:spacing w:after="0"/>
              <w:rPr>
                <w:sz w:val="13"/>
                <w:szCs w:val="13"/>
                <w:color w:val="auto"/>
              </w:rPr>
            </w:pPr>
          </w:p>
        </w:tc>
        <w:tc>
          <w:tcPr>
            <w:tcW w:w="580" w:type="dxa"/>
            <w:vAlign w:val="bottom"/>
            <w:gridSpan w:val="12"/>
            <w:vMerge w:val="continue"/>
          </w:tcPr>
          <w:p>
            <w:pPr>
              <w:spacing w:after="0"/>
              <w:rPr>
                <w:sz w:val="13"/>
                <w:szCs w:val="13"/>
                <w:color w:val="auto"/>
              </w:rPr>
            </w:pPr>
          </w:p>
        </w:tc>
        <w:tc>
          <w:tcPr>
            <w:tcW w:w="380" w:type="dxa"/>
            <w:vAlign w:val="bottom"/>
            <w:gridSpan w:val="7"/>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52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220" w:type="dxa"/>
            <w:vAlign w:val="bottom"/>
            <w:gridSpan w:val="17"/>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140" w:type="dxa"/>
            <w:vAlign w:val="bottom"/>
            <w:gridSpan w:val="23"/>
            <w:vMerge w:val="restart"/>
          </w:tcPr>
          <w:p>
            <w:pPr>
              <w:spacing w:after="0" w:line="196" w:lineRule="exact"/>
              <w:rPr>
                <w:sz w:val="20"/>
                <w:szCs w:val="20"/>
                <w:color w:val="auto"/>
              </w:rPr>
            </w:pPr>
            <w:r>
              <w:rPr>
                <w:rFonts w:ascii="Arial" w:cs="Arial" w:eastAsia="Arial" w:hAnsi="Arial"/>
                <w:sz w:val="18"/>
                <w:szCs w:val="18"/>
                <w:color w:val="0000FF"/>
                <w:w w:val="85"/>
              </w:rPr>
              <w:t>Corruption Laws</w:t>
            </w:r>
          </w:p>
        </w:tc>
        <w:tc>
          <w:tcPr>
            <w:tcW w:w="6000" w:type="dxa"/>
            <w:vAlign w:val="bottom"/>
            <w:gridSpan w:val="27"/>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27</w:t>
            </w:r>
          </w:p>
        </w:tc>
        <w:tc>
          <w:tcPr>
            <w:tcW w:w="520" w:type="dxa"/>
            <w:vAlign w:val="bottom"/>
            <w:tcBorders>
              <w:bottom w:val="single" w:sz="8" w:color="0000FF"/>
            </w:tcBorders>
            <w:gridSpan w:val="3"/>
          </w:tcPr>
          <w:p>
            <w:pPr>
              <w:ind w:left="40"/>
              <w:spacing w:after="0" w:line="156" w:lineRule="exact"/>
              <w:rPr>
                <w:sz w:val="20"/>
                <w:szCs w:val="20"/>
                <w:color w:val="auto"/>
              </w:rPr>
            </w:pPr>
            <w:r>
              <w:rPr>
                <w:rFonts w:ascii="Arial" w:cs="Arial" w:eastAsia="Arial" w:hAnsi="Arial"/>
                <w:sz w:val="18"/>
                <w:szCs w:val="18"/>
                <w:color w:val="0000FF"/>
              </w:rPr>
              <w:t>Anti-</w:t>
            </w:r>
          </w:p>
        </w:tc>
        <w:tc>
          <w:tcPr>
            <w:tcW w:w="1140" w:type="dxa"/>
            <w:vAlign w:val="bottom"/>
            <w:tcBorders>
              <w:bottom w:val="single" w:sz="8" w:color="0000FF"/>
            </w:tcBorders>
            <w:gridSpan w:val="23"/>
            <w:vMerge w:val="continue"/>
          </w:tcPr>
          <w:p>
            <w:pPr>
              <w:spacing w:after="0"/>
              <w:rPr>
                <w:sz w:val="13"/>
                <w:szCs w:val="13"/>
                <w:color w:val="auto"/>
              </w:rPr>
            </w:pPr>
          </w:p>
        </w:tc>
        <w:tc>
          <w:tcPr>
            <w:tcW w:w="6000" w:type="dxa"/>
            <w:vAlign w:val="bottom"/>
            <w:gridSpan w:val="27"/>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gridSpan w:val="10"/>
            <w:vMerge w:val="restart"/>
          </w:tcPr>
          <w:p>
            <w:pPr>
              <w:jc w:val="center"/>
              <w:ind w:right="20"/>
              <w:spacing w:after="0" w:line="196" w:lineRule="exact"/>
              <w:rPr>
                <w:sz w:val="20"/>
                <w:szCs w:val="20"/>
                <w:color w:val="auto"/>
              </w:rPr>
            </w:pPr>
            <w:r>
              <w:rPr>
                <w:rFonts w:ascii="Arial" w:cs="Arial" w:eastAsia="Arial" w:hAnsi="Arial"/>
                <w:sz w:val="18"/>
                <w:szCs w:val="18"/>
                <w:color w:val="0000FF"/>
                <w:w w:val="93"/>
              </w:rPr>
              <w:t>Certificate</w:t>
            </w:r>
          </w:p>
        </w:tc>
        <w:tc>
          <w:tcPr>
            <w:tcW w:w="5220" w:type="dxa"/>
            <w:vAlign w:val="bottom"/>
            <w:gridSpan w:val="17"/>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28</w:t>
            </w:r>
          </w:p>
        </w:tc>
        <w:tc>
          <w:tcPr>
            <w:tcW w:w="1640" w:type="dxa"/>
            <w:vAlign w:val="bottom"/>
            <w:tcBorders>
              <w:bottom w:val="single" w:sz="8" w:color="0000FF"/>
            </w:tcBorders>
            <w:gridSpan w:val="25"/>
          </w:tcPr>
          <w:p>
            <w:pPr>
              <w:ind w:left="40"/>
              <w:spacing w:after="0" w:line="156" w:lineRule="exact"/>
              <w:rPr>
                <w:sz w:val="20"/>
                <w:szCs w:val="20"/>
                <w:color w:val="auto"/>
              </w:rPr>
            </w:pPr>
            <w:r>
              <w:rPr>
                <w:rFonts w:ascii="Arial" w:cs="Arial" w:eastAsia="Arial" w:hAnsi="Arial"/>
                <w:sz w:val="18"/>
                <w:szCs w:val="18"/>
                <w:color w:val="0000FF"/>
                <w:w w:val="93"/>
              </w:rPr>
              <w:t>Beneficial Ownership</w:t>
            </w:r>
          </w:p>
        </w:tc>
        <w:tc>
          <w:tcPr>
            <w:tcW w:w="20" w:type="dxa"/>
            <w:vAlign w:val="bottom"/>
            <w:tcBorders>
              <w:bottom w:val="single" w:sz="8" w:color="0000FF"/>
            </w:tcBorders>
            <w:vMerge w:val="continue"/>
          </w:tcPr>
          <w:p>
            <w:pPr>
              <w:spacing w:after="0"/>
              <w:rPr>
                <w:sz w:val="13"/>
                <w:szCs w:val="13"/>
                <w:color w:val="auto"/>
              </w:rPr>
            </w:pPr>
          </w:p>
        </w:tc>
        <w:tc>
          <w:tcPr>
            <w:tcW w:w="780" w:type="dxa"/>
            <w:vAlign w:val="bottom"/>
            <w:tcBorders>
              <w:bottom w:val="single" w:sz="8" w:color="0000FF"/>
            </w:tcBorders>
            <w:gridSpan w:val="10"/>
            <w:vMerge w:val="continue"/>
          </w:tcPr>
          <w:p>
            <w:pPr>
              <w:spacing w:after="0"/>
              <w:rPr>
                <w:sz w:val="13"/>
                <w:szCs w:val="13"/>
                <w:color w:val="auto"/>
              </w:rPr>
            </w:pPr>
          </w:p>
        </w:tc>
        <w:tc>
          <w:tcPr>
            <w:tcW w:w="5220" w:type="dxa"/>
            <w:vAlign w:val="bottom"/>
            <w:gridSpan w:val="17"/>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20" w:type="dxa"/>
            <w:vAlign w:val="bottom"/>
            <w:gridSpan w:val="17"/>
            <w:vMerge w:val="restart"/>
          </w:tcPr>
          <w:p>
            <w:pPr>
              <w:spacing w:after="0" w:line="20" w:lineRule="exact"/>
              <w:rPr>
                <w:sz w:val="1"/>
                <w:szCs w:val="1"/>
                <w:color w:val="auto"/>
              </w:rPr>
            </w:pPr>
          </w:p>
        </w:tc>
        <w:tc>
          <w:tcPr>
            <w:tcW w:w="23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29</w:t>
            </w:r>
          </w:p>
        </w:tc>
        <w:tc>
          <w:tcPr>
            <w:tcW w:w="1260" w:type="dxa"/>
            <w:vAlign w:val="bottom"/>
            <w:tcBorders>
              <w:bottom w:val="single" w:sz="8" w:color="0000FF"/>
            </w:tcBorders>
            <w:gridSpan w:val="18"/>
          </w:tcPr>
          <w:p>
            <w:pPr>
              <w:ind w:left="40"/>
              <w:spacing w:after="0" w:line="156" w:lineRule="exact"/>
              <w:rPr>
                <w:sz w:val="20"/>
                <w:szCs w:val="20"/>
                <w:color w:val="auto"/>
              </w:rPr>
            </w:pPr>
            <w:r>
              <w:rPr>
                <w:rFonts w:ascii="Arial" w:cs="Arial" w:eastAsia="Arial" w:hAnsi="Arial"/>
                <w:sz w:val="18"/>
                <w:szCs w:val="18"/>
                <w:color w:val="0000FF"/>
                <w:w w:val="90"/>
              </w:rPr>
              <w:t>Covered Entities</w:t>
            </w:r>
          </w:p>
        </w:tc>
        <w:tc>
          <w:tcPr>
            <w:tcW w:w="1160" w:type="dxa"/>
            <w:vAlign w:val="bottom"/>
            <w:gridSpan w:val="17"/>
          </w:tcPr>
          <w:p>
            <w:pPr>
              <w:spacing w:after="0"/>
              <w:rPr>
                <w:sz w:val="13"/>
                <w:szCs w:val="13"/>
                <w:color w:val="auto"/>
              </w:rPr>
            </w:pPr>
          </w:p>
        </w:tc>
        <w:tc>
          <w:tcPr>
            <w:tcW w:w="20" w:type="dxa"/>
            <w:vAlign w:val="bottom"/>
            <w:vMerge w:val="continue"/>
          </w:tcPr>
          <w:p>
            <w:pPr>
              <w:spacing w:after="0"/>
              <w:rPr>
                <w:sz w:val="13"/>
                <w:szCs w:val="13"/>
                <w:color w:val="auto"/>
              </w:rPr>
            </w:pPr>
          </w:p>
        </w:tc>
        <w:tc>
          <w:tcPr>
            <w:tcW w:w="5220" w:type="dxa"/>
            <w:vAlign w:val="bottom"/>
            <w:gridSpan w:val="17"/>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400" w:type="dxa"/>
            <w:vAlign w:val="bottom"/>
            <w:gridSpan w:val="35"/>
            <w:vMerge w:val="restart"/>
          </w:tcPr>
          <w:p>
            <w:pPr>
              <w:jc w:val="center"/>
              <w:ind w:right="5760"/>
              <w:spacing w:after="0" w:line="196" w:lineRule="exact"/>
              <w:rPr>
                <w:sz w:val="20"/>
                <w:szCs w:val="20"/>
                <w:color w:val="auto"/>
              </w:rPr>
            </w:pPr>
            <w:r>
              <w:rPr>
                <w:rFonts w:ascii="Arial" w:cs="Arial" w:eastAsia="Arial" w:hAnsi="Arial"/>
                <w:sz w:val="18"/>
                <w:szCs w:val="18"/>
                <w:color w:val="0000FF"/>
                <w:w w:val="83"/>
              </w:rPr>
              <w:t>Institution</w:t>
            </w:r>
          </w:p>
        </w:tc>
        <w:tc>
          <w:tcPr>
            <w:tcW w:w="2360" w:type="dxa"/>
            <w:vAlign w:val="bottom"/>
            <w:gridSpan w:val="3"/>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30</w:t>
            </w:r>
          </w:p>
        </w:tc>
        <w:tc>
          <w:tcPr>
            <w:tcW w:w="1260" w:type="dxa"/>
            <w:vAlign w:val="bottom"/>
            <w:gridSpan w:val="18"/>
          </w:tcPr>
          <w:p>
            <w:pPr>
              <w:ind w:left="40"/>
              <w:spacing w:after="0" w:line="156" w:lineRule="exact"/>
              <w:rPr>
                <w:sz w:val="20"/>
                <w:szCs w:val="20"/>
                <w:color w:val="auto"/>
              </w:rPr>
            </w:pPr>
            <w:r>
              <w:rPr>
                <w:rFonts w:ascii="Arial" w:cs="Arial" w:eastAsia="Arial" w:hAnsi="Arial"/>
                <w:sz w:val="18"/>
                <w:szCs w:val="18"/>
                <w:color w:val="0000FF"/>
              </w:rPr>
              <w:t>EEA Financial</w:t>
            </w:r>
          </w:p>
        </w:tc>
        <w:tc>
          <w:tcPr>
            <w:tcW w:w="6400" w:type="dxa"/>
            <w:vAlign w:val="bottom"/>
            <w:gridSpan w:val="35"/>
            <w:vMerge w:val="continue"/>
          </w:tcPr>
          <w:p>
            <w:pPr>
              <w:spacing w:after="0"/>
              <w:rPr>
                <w:sz w:val="13"/>
                <w:szCs w:val="13"/>
                <w:color w:val="auto"/>
              </w:rPr>
            </w:pPr>
          </w:p>
        </w:tc>
        <w:tc>
          <w:tcPr>
            <w:tcW w:w="2360" w:type="dxa"/>
            <w:vAlign w:val="bottom"/>
            <w:gridSpan w:val="3"/>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85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00" w:type="dxa"/>
            <w:vAlign w:val="bottom"/>
            <w:tcBorders>
              <w:top w:val="single" w:sz="8" w:color="0000FF"/>
            </w:tcBorders>
            <w:gridSpan w:val="30"/>
          </w:tcPr>
          <w:p>
            <w:pPr>
              <w:spacing w:after="0" w:line="20" w:lineRule="exact"/>
              <w:rPr>
                <w:sz w:val="1"/>
                <w:szCs w:val="1"/>
                <w:color w:val="auto"/>
              </w:rPr>
            </w:pPr>
          </w:p>
        </w:tc>
        <w:tc>
          <w:tcPr>
            <w:tcW w:w="8100" w:type="dxa"/>
            <w:vAlign w:val="bottom"/>
            <w:gridSpan w:val="26"/>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r>
        <w:rPr>
          <w:rFonts w:ascii="Arial" w:cs="Arial" w:eastAsia="Arial" w:hAnsi="Arial"/>
          <w:sz w:val="18"/>
          <w:szCs w:val="18"/>
          <w:color w:val="FF0000"/>
          <w:strike w:val="1"/>
        </w:rPr>
        <w:t>vi</w:t>
      </w: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gridSpan w:val="49"/>
            <w:vMerge w:val="restart"/>
          </w:tcPr>
          <w:p>
            <w:pPr>
              <w:ind w:left="3560"/>
              <w:spacing w:after="0"/>
              <w:rPr>
                <w:sz w:val="20"/>
                <w:szCs w:val="20"/>
                <w:color w:val="auto"/>
              </w:rPr>
            </w:pPr>
            <w:r>
              <w:rPr>
                <w:rFonts w:ascii="Arial" w:cs="Arial" w:eastAsia="Arial" w:hAnsi="Arial"/>
                <w:sz w:val="16"/>
                <w:szCs w:val="16"/>
                <w:b w:val="1"/>
                <w:bCs w:val="1"/>
                <w:color w:val="auto"/>
                <w:w w:val="74"/>
              </w:rPr>
              <w:t>[</w:t>
            </w:r>
          </w:p>
        </w:tc>
        <w:tc>
          <w:tcPr>
            <w:tcW w:w="192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FF0000"/>
                <w:strike w:val="1"/>
                <w:w w:val="98"/>
              </w:rPr>
              <w:t>TABLE OF CONTENTS</w:t>
            </w:r>
          </w:p>
        </w:tc>
        <w:tc>
          <w:tcPr>
            <w:tcW w:w="2100" w:type="dxa"/>
            <w:vAlign w:val="bottom"/>
            <w:vMerge w:val="restart"/>
          </w:tcPr>
          <w:p>
            <w:pPr>
              <w:jc w:val="right"/>
              <w:ind w:right="1961"/>
              <w:spacing w:after="0"/>
              <w:rPr>
                <w:sz w:val="20"/>
                <w:szCs w:val="20"/>
                <w:color w:val="auto"/>
              </w:rPr>
            </w:pPr>
            <w:r>
              <w:rPr>
                <w:rFonts w:ascii="Arial" w:cs="Arial" w:eastAsia="Arial" w:hAnsi="Arial"/>
                <w:sz w:val="16"/>
                <w:szCs w:val="16"/>
                <w:b w:val="1"/>
                <w:bCs w:val="1"/>
                <w:color w:val="auto"/>
                <w:w w:val="74"/>
              </w:rPr>
              <w:t>]</w:t>
            </w: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20" w:type="dxa"/>
            <w:vAlign w:val="bottom"/>
            <w:gridSpan w:val="49"/>
            <w:vMerge w:val="continue"/>
          </w:tcPr>
          <w:p>
            <w:pPr>
              <w:spacing w:after="0"/>
              <w:rPr>
                <w:sz w:val="17"/>
                <w:szCs w:val="17"/>
                <w:color w:val="auto"/>
              </w:rPr>
            </w:pPr>
          </w:p>
        </w:tc>
        <w:tc>
          <w:tcPr>
            <w:tcW w:w="1920" w:type="dxa"/>
            <w:vAlign w:val="bottom"/>
            <w:gridSpan w:val="5"/>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54"/>
          </w:tcPr>
          <w:p>
            <w:pPr>
              <w:jc w:val="right"/>
              <w:ind w:right="520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FF0000"/>
                <w:strike w:val="1"/>
                <w:w w:val="93"/>
              </w:rPr>
              <w:t>(continued)</w:t>
            </w:r>
          </w:p>
        </w:tc>
        <w:tc>
          <w:tcPr>
            <w:tcW w:w="2640" w:type="dxa"/>
            <w:vAlign w:val="bottom"/>
            <w:gridSpan w:val="2"/>
          </w:tcPr>
          <w:p>
            <w:pPr>
              <w:jc w:val="right"/>
              <w:ind w:right="2501"/>
              <w:spacing w:after="0"/>
              <w:rPr>
                <w:sz w:val="20"/>
                <w:szCs w:val="20"/>
                <w:color w:val="auto"/>
              </w:rPr>
            </w:pPr>
            <w:r>
              <w:rPr>
                <w:rFonts w:ascii="Arial" w:cs="Arial" w:eastAsia="Arial" w:hAnsi="Arial"/>
                <w:sz w:val="18"/>
                <w:szCs w:val="18"/>
                <w:color w:val="auto"/>
                <w:w w:val="78"/>
              </w:rPr>
              <w:t>]</w:t>
            </w:r>
          </w:p>
        </w:tc>
        <w:tc>
          <w:tcPr>
            <w:tcW w:w="2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5"/>
            <w:vMerge w:val="restart"/>
          </w:tcPr>
          <w:p>
            <w:pPr>
              <w:spacing w:after="0"/>
              <w:rPr>
                <w:sz w:val="20"/>
                <w:szCs w:val="20"/>
                <w:color w:val="auto"/>
              </w:rPr>
            </w:pPr>
            <w:r>
              <w:rPr>
                <w:rFonts w:ascii="Arial" w:cs="Arial" w:eastAsia="Arial" w:hAnsi="Arial"/>
                <w:sz w:val="18"/>
                <w:szCs w:val="18"/>
                <w:b w:val="1"/>
                <w:bCs w:val="1"/>
                <w:color w:val="FF0000"/>
                <w:strike w:val="1"/>
                <w:w w:val="83"/>
              </w:rPr>
              <w:t>Page</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57"/>
          </w:tcPr>
          <w:p>
            <w:pPr>
              <w:spacing w:after="0"/>
              <w:rPr>
                <w:sz w:val="18"/>
                <w:szCs w:val="18"/>
                <w:color w:val="auto"/>
              </w:rPr>
            </w:pPr>
          </w:p>
        </w:tc>
        <w:tc>
          <w:tcPr>
            <w:tcW w:w="2080" w:type="dxa"/>
            <w:vAlign w:val="bottom"/>
            <w:vMerge w:val="continue"/>
          </w:tcPr>
          <w:p>
            <w:pPr>
              <w:spacing w:after="0"/>
              <w:rPr>
                <w:sz w:val="18"/>
                <w:szCs w:val="18"/>
                <w:color w:val="auto"/>
              </w:rPr>
            </w:pPr>
          </w:p>
        </w:tc>
        <w:tc>
          <w:tcPr>
            <w:tcW w:w="380" w:type="dxa"/>
            <w:vAlign w:val="bottom"/>
            <w:gridSpan w:val="5"/>
            <w:vMerge w:val="continue"/>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680" w:type="dxa"/>
            <w:vAlign w:val="bottom"/>
            <w:gridSpan w:val="57"/>
          </w:tcPr>
          <w:p>
            <w:pPr>
              <w:spacing w:after="0"/>
              <w:rPr>
                <w:sz w:val="20"/>
                <w:szCs w:val="20"/>
                <w:color w:val="auto"/>
              </w:rPr>
            </w:pPr>
            <w:r>
              <w:rPr>
                <w:rFonts w:ascii="Arial" w:cs="Arial" w:eastAsia="Arial" w:hAnsi="Arial"/>
                <w:sz w:val="18"/>
                <w:szCs w:val="18"/>
                <w:color w:val="0000FF"/>
              </w:rPr>
              <w:t>ARTICLE VI.  AFFIRMATIVE COVENANTS</w:t>
            </w:r>
          </w:p>
        </w:tc>
        <w:tc>
          <w:tcPr>
            <w:tcW w:w="2580" w:type="dxa"/>
            <w:vAlign w:val="bottom"/>
            <w:gridSpan w:val="8"/>
          </w:tcPr>
          <w:p>
            <w:pPr>
              <w:jc w:val="right"/>
              <w:ind w:right="20"/>
              <w:spacing w:after="0"/>
              <w:rPr>
                <w:sz w:val="20"/>
                <w:szCs w:val="20"/>
                <w:color w:val="auto"/>
              </w:rPr>
            </w:pPr>
            <w:r>
              <w:rPr>
                <w:rFonts w:ascii="Arial" w:cs="Arial" w:eastAsia="Arial" w:hAnsi="Arial"/>
                <w:sz w:val="18"/>
                <w:szCs w:val="18"/>
                <w:color w:val="0000FF"/>
              </w:rPr>
              <w:t>85</w:t>
            </w:r>
          </w:p>
        </w:tc>
        <w:tc>
          <w:tcPr>
            <w:tcW w:w="0" w:type="dxa"/>
            <w:vAlign w:val="bottom"/>
          </w:tcPr>
          <w:p>
            <w:pPr>
              <w:spacing w:after="0"/>
              <w:rPr>
                <w:sz w:val="1"/>
                <w:szCs w:val="1"/>
                <w:color w:val="auto"/>
              </w:rPr>
            </w:pPr>
          </w:p>
        </w:tc>
      </w:tr>
      <w:tr>
        <w:trPr>
          <w:trHeight w:val="20"/>
        </w:trPr>
        <w:tc>
          <w:tcPr>
            <w:tcW w:w="3480" w:type="dxa"/>
            <w:vAlign w:val="bottom"/>
            <w:tcBorders>
              <w:top w:val="single" w:sz="8" w:color="0000FF"/>
            </w:tcBorders>
            <w:gridSpan w:val="40"/>
          </w:tcPr>
          <w:p>
            <w:pPr>
              <w:spacing w:after="0" w:line="20" w:lineRule="exact"/>
              <w:rPr>
                <w:sz w:val="1"/>
                <w:szCs w:val="1"/>
                <w:color w:val="auto"/>
              </w:rPr>
            </w:pPr>
          </w:p>
        </w:tc>
        <w:tc>
          <w:tcPr>
            <w:tcW w:w="7580" w:type="dxa"/>
            <w:vAlign w:val="bottom"/>
            <w:gridSpan w:val="21"/>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2"/>
          </w:tcPr>
          <w:p>
            <w:pPr>
              <w:jc w:val="right"/>
              <w:spacing w:after="0"/>
              <w:rPr>
                <w:sz w:val="20"/>
                <w:szCs w:val="20"/>
                <w:color w:val="auto"/>
              </w:rPr>
            </w:pPr>
            <w:r>
              <w:rPr>
                <w:rFonts w:ascii="Arial" w:cs="Arial" w:eastAsia="Arial" w:hAnsi="Arial"/>
                <w:sz w:val="18"/>
                <w:szCs w:val="18"/>
                <w:color w:val="0000FF"/>
              </w:rPr>
              <w:t>6.</w:t>
            </w:r>
            <w:r>
              <w:rPr>
                <w:rFonts w:ascii="Arial" w:cs="Arial" w:eastAsia="Arial" w:hAnsi="Arial"/>
                <w:sz w:val="18"/>
                <w:szCs w:val="18"/>
                <w:u w:val="single" w:color="auto"/>
                <w:color w:val="0000FF"/>
              </w:rPr>
              <w:t>01</w:t>
            </w:r>
          </w:p>
        </w:tc>
        <w:tc>
          <w:tcPr>
            <w:tcW w:w="7640" w:type="dxa"/>
            <w:vAlign w:val="bottom"/>
            <w:gridSpan w:val="55"/>
          </w:tcPr>
          <w:p>
            <w:pPr>
              <w:ind w:left="60"/>
              <w:spacing w:after="0"/>
              <w:rPr>
                <w:sz w:val="20"/>
                <w:szCs w:val="20"/>
                <w:color w:val="auto"/>
              </w:rPr>
            </w:pPr>
            <w:r>
              <w:rPr>
                <w:rFonts w:ascii="Arial" w:cs="Arial" w:eastAsia="Arial" w:hAnsi="Arial"/>
                <w:sz w:val="18"/>
                <w:szCs w:val="18"/>
                <w:color w:val="0000FF"/>
              </w:rPr>
              <w:t>Financial Statements</w:t>
            </w:r>
          </w:p>
        </w:tc>
        <w:tc>
          <w:tcPr>
            <w:tcW w:w="2580" w:type="dxa"/>
            <w:vAlign w:val="bottom"/>
            <w:gridSpan w:val="8"/>
          </w:tcPr>
          <w:p>
            <w:pPr>
              <w:jc w:val="right"/>
              <w:ind w:right="20"/>
              <w:spacing w:after="0"/>
              <w:rPr>
                <w:sz w:val="20"/>
                <w:szCs w:val="20"/>
                <w:color w:val="auto"/>
              </w:rPr>
            </w:pPr>
            <w:r>
              <w:rPr>
                <w:rFonts w:ascii="Arial" w:cs="Arial" w:eastAsia="Arial" w:hAnsi="Arial"/>
                <w:sz w:val="18"/>
                <w:szCs w:val="18"/>
                <w:color w:val="0000FF"/>
              </w:rPr>
              <w:t>86</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40" w:type="dxa"/>
            <w:vAlign w:val="bottom"/>
            <w:gridSpan w:val="20"/>
            <w:vMerge w:val="restart"/>
          </w:tcPr>
          <w:p>
            <w:pPr>
              <w:jc w:val="center"/>
              <w:ind w:right="20"/>
              <w:spacing w:after="0" w:line="196" w:lineRule="exact"/>
              <w:rPr>
                <w:sz w:val="20"/>
                <w:szCs w:val="20"/>
                <w:color w:val="auto"/>
              </w:rPr>
            </w:pPr>
            <w:r>
              <w:rPr>
                <w:rFonts w:ascii="Arial" w:cs="Arial" w:eastAsia="Arial" w:hAnsi="Arial"/>
                <w:sz w:val="18"/>
                <w:szCs w:val="18"/>
                <w:color w:val="0000FF"/>
                <w:w w:val="79"/>
              </w:rPr>
              <w:t>Information</w:t>
            </w:r>
          </w:p>
        </w:tc>
        <w:tc>
          <w:tcPr>
            <w:tcW w:w="5320" w:type="dxa"/>
            <w:vAlign w:val="bottom"/>
            <w:gridSpan w:val="18"/>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02</w:t>
            </w:r>
          </w:p>
        </w:tc>
        <w:tc>
          <w:tcPr>
            <w:tcW w:w="1580" w:type="dxa"/>
            <w:vAlign w:val="bottom"/>
            <w:tcBorders>
              <w:bottom w:val="single" w:sz="8" w:color="0000FF"/>
            </w:tcBorders>
            <w:gridSpan w:val="17"/>
          </w:tcPr>
          <w:p>
            <w:pPr>
              <w:ind w:left="60"/>
              <w:spacing w:after="0" w:line="156" w:lineRule="exact"/>
              <w:rPr>
                <w:sz w:val="20"/>
                <w:szCs w:val="20"/>
                <w:color w:val="auto"/>
              </w:rPr>
            </w:pPr>
            <w:r>
              <w:rPr>
                <w:rFonts w:ascii="Arial" w:cs="Arial" w:eastAsia="Arial" w:hAnsi="Arial"/>
                <w:sz w:val="18"/>
                <w:szCs w:val="18"/>
                <w:color w:val="0000FF"/>
              </w:rPr>
              <w:t>Certificates; Other</w:t>
            </w:r>
          </w:p>
        </w:tc>
        <w:tc>
          <w:tcPr>
            <w:tcW w:w="740" w:type="dxa"/>
            <w:vAlign w:val="bottom"/>
            <w:tcBorders>
              <w:bottom w:val="single" w:sz="8" w:color="0000FF"/>
            </w:tcBorders>
            <w:gridSpan w:val="20"/>
            <w:vMerge w:val="continue"/>
          </w:tcPr>
          <w:p>
            <w:pPr>
              <w:spacing w:after="0"/>
              <w:rPr>
                <w:sz w:val="13"/>
                <w:szCs w:val="13"/>
                <w:color w:val="auto"/>
              </w:rPr>
            </w:pPr>
          </w:p>
        </w:tc>
        <w:tc>
          <w:tcPr>
            <w:tcW w:w="5320" w:type="dxa"/>
            <w:vAlign w:val="bottom"/>
            <w:gridSpan w:val="18"/>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87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680" w:type="dxa"/>
            <w:vAlign w:val="bottom"/>
            <w:tcBorders>
              <w:bottom w:val="single" w:sz="8" w:color="0000FF"/>
            </w:tcBorders>
            <w:gridSpan w:val="37"/>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03</w:t>
            </w:r>
          </w:p>
        </w:tc>
        <w:tc>
          <w:tcPr>
            <w:tcW w:w="640" w:type="dxa"/>
            <w:vAlign w:val="bottom"/>
            <w:tcBorders>
              <w:bottom w:val="single" w:sz="8" w:color="0000FF"/>
            </w:tcBorders>
            <w:gridSpan w:val="3"/>
          </w:tcPr>
          <w:p>
            <w:pPr>
              <w:ind w:left="60"/>
              <w:spacing w:after="0" w:line="156" w:lineRule="exact"/>
              <w:rPr>
                <w:sz w:val="20"/>
                <w:szCs w:val="20"/>
                <w:color w:val="auto"/>
              </w:rPr>
            </w:pPr>
            <w:r>
              <w:rPr>
                <w:rFonts w:ascii="Arial" w:cs="Arial" w:eastAsia="Arial" w:hAnsi="Arial"/>
                <w:sz w:val="18"/>
                <w:szCs w:val="18"/>
                <w:color w:val="0000FF"/>
                <w:w w:val="93"/>
              </w:rPr>
              <w:t>Notices</w:t>
            </w:r>
          </w:p>
        </w:tc>
        <w:tc>
          <w:tcPr>
            <w:tcW w:w="1660" w:type="dxa"/>
            <w:vAlign w:val="bottom"/>
            <w:gridSpan w:val="33"/>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89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gridSpan w:val="22"/>
            <w:vMerge w:val="restart"/>
          </w:tcPr>
          <w:p>
            <w:pPr>
              <w:jc w:val="right"/>
              <w:ind w:right="20"/>
              <w:spacing w:after="0" w:line="196" w:lineRule="exact"/>
              <w:rPr>
                <w:sz w:val="20"/>
                <w:szCs w:val="20"/>
                <w:color w:val="auto"/>
              </w:rPr>
            </w:pPr>
            <w:r>
              <w:rPr>
                <w:rFonts w:ascii="Arial" w:cs="Arial" w:eastAsia="Arial" w:hAnsi="Arial"/>
                <w:sz w:val="18"/>
                <w:szCs w:val="18"/>
                <w:color w:val="0000FF"/>
              </w:rPr>
              <w:t>of Obligations</w:t>
            </w:r>
          </w:p>
        </w:tc>
        <w:tc>
          <w:tcPr>
            <w:tcW w:w="5840" w:type="dxa"/>
            <w:vAlign w:val="bottom"/>
            <w:gridSpan w:val="30"/>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04</w:t>
            </w:r>
          </w:p>
        </w:tc>
        <w:tc>
          <w:tcPr>
            <w:tcW w:w="620" w:type="dxa"/>
            <w:vAlign w:val="bottom"/>
            <w:tcBorders>
              <w:bottom w:val="single" w:sz="8" w:color="0000FF"/>
            </w:tcBorders>
            <w:gridSpan w:val="2"/>
          </w:tcPr>
          <w:p>
            <w:pPr>
              <w:ind w:left="60"/>
              <w:spacing w:after="0" w:line="156" w:lineRule="exact"/>
              <w:rPr>
                <w:sz w:val="20"/>
                <w:szCs w:val="20"/>
                <w:color w:val="auto"/>
              </w:rPr>
            </w:pPr>
            <w:r>
              <w:rPr>
                <w:rFonts w:ascii="Arial" w:cs="Arial" w:eastAsia="Arial" w:hAnsi="Arial"/>
                <w:sz w:val="18"/>
                <w:szCs w:val="18"/>
                <w:color w:val="0000FF"/>
                <w:w w:val="75"/>
              </w:rPr>
              <w:t>Payment</w:t>
            </w:r>
          </w:p>
        </w:tc>
        <w:tc>
          <w:tcPr>
            <w:tcW w:w="20" w:type="dxa"/>
            <w:vAlign w:val="bottom"/>
            <w:tcBorders>
              <w:bottom w:val="single" w:sz="8" w:color="0000FF"/>
            </w:tcBorders>
            <w:vMerge w:val="continue"/>
          </w:tcPr>
          <w:p>
            <w:pPr>
              <w:spacing w:after="0"/>
              <w:rPr>
                <w:sz w:val="13"/>
                <w:szCs w:val="13"/>
                <w:color w:val="auto"/>
              </w:rPr>
            </w:pPr>
          </w:p>
        </w:tc>
        <w:tc>
          <w:tcPr>
            <w:tcW w:w="1160" w:type="dxa"/>
            <w:vAlign w:val="bottom"/>
            <w:tcBorders>
              <w:bottom w:val="single" w:sz="8" w:color="0000FF"/>
            </w:tcBorders>
            <w:gridSpan w:val="22"/>
            <w:vMerge w:val="continue"/>
          </w:tcPr>
          <w:p>
            <w:pPr>
              <w:spacing w:after="0"/>
              <w:rPr>
                <w:sz w:val="13"/>
                <w:szCs w:val="13"/>
                <w:color w:val="auto"/>
              </w:rPr>
            </w:pPr>
          </w:p>
        </w:tc>
        <w:tc>
          <w:tcPr>
            <w:tcW w:w="5840" w:type="dxa"/>
            <w:vAlign w:val="bottom"/>
            <w:gridSpan w:val="30"/>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gridSpan w:val="6"/>
            <w:vMerge w:val="restart"/>
          </w:tcPr>
          <w:p>
            <w:pPr>
              <w:jc w:val="center"/>
              <w:spacing w:after="0" w:line="196" w:lineRule="exact"/>
              <w:rPr>
                <w:sz w:val="20"/>
                <w:szCs w:val="20"/>
                <w:color w:val="auto"/>
              </w:rPr>
            </w:pPr>
            <w:r>
              <w:rPr>
                <w:rFonts w:ascii="Arial" w:cs="Arial" w:eastAsia="Arial" w:hAnsi="Arial"/>
                <w:sz w:val="18"/>
                <w:szCs w:val="18"/>
                <w:color w:val="0000FF"/>
                <w:w w:val="92"/>
              </w:rPr>
              <w:t>Etc</w:t>
            </w:r>
          </w:p>
        </w:tc>
        <w:tc>
          <w:tcPr>
            <w:tcW w:w="5400" w:type="dxa"/>
            <w:vAlign w:val="bottom"/>
            <w:gridSpan w:val="20"/>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05</w:t>
            </w:r>
          </w:p>
        </w:tc>
        <w:tc>
          <w:tcPr>
            <w:tcW w:w="1800" w:type="dxa"/>
            <w:vAlign w:val="bottom"/>
            <w:tcBorders>
              <w:bottom w:val="single" w:sz="8" w:color="0000FF"/>
            </w:tcBorders>
            <w:gridSpan w:val="25"/>
          </w:tcPr>
          <w:p>
            <w:pPr>
              <w:ind w:left="60"/>
              <w:spacing w:after="0" w:line="156" w:lineRule="exact"/>
              <w:rPr>
                <w:sz w:val="20"/>
                <w:szCs w:val="20"/>
                <w:color w:val="auto"/>
              </w:rPr>
            </w:pPr>
            <w:r>
              <w:rPr>
                <w:rFonts w:ascii="Arial" w:cs="Arial" w:eastAsia="Arial" w:hAnsi="Arial"/>
                <w:sz w:val="18"/>
                <w:szCs w:val="18"/>
                <w:color w:val="0000FF"/>
                <w:w w:val="82"/>
              </w:rPr>
              <w:t>Preservation of Existence,</w:t>
            </w:r>
          </w:p>
        </w:tc>
        <w:tc>
          <w:tcPr>
            <w:tcW w:w="8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4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80" w:type="dxa"/>
            <w:vAlign w:val="bottom"/>
            <w:tcBorders>
              <w:bottom w:val="single" w:sz="8" w:color="0000FF"/>
            </w:tcBorders>
            <w:gridSpan w:val="6"/>
            <w:vMerge w:val="continue"/>
          </w:tcPr>
          <w:p>
            <w:pPr>
              <w:spacing w:after="0"/>
              <w:rPr>
                <w:sz w:val="13"/>
                <w:szCs w:val="13"/>
                <w:color w:val="auto"/>
              </w:rPr>
            </w:pPr>
          </w:p>
        </w:tc>
        <w:tc>
          <w:tcPr>
            <w:tcW w:w="5400" w:type="dxa"/>
            <w:vAlign w:val="bottom"/>
            <w:gridSpan w:val="20"/>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620" w:type="dxa"/>
            <w:vAlign w:val="bottom"/>
            <w:tcBorders>
              <w:bottom w:val="single" w:sz="8" w:color="0000FF"/>
            </w:tcBorders>
            <w:gridSpan w:val="36"/>
          </w:tcPr>
          <w:p>
            <w:pPr>
              <w:spacing w:after="0" w:line="20" w:lineRule="exact"/>
              <w:rPr>
                <w:sz w:val="1"/>
                <w:szCs w:val="1"/>
                <w:color w:val="auto"/>
              </w:rPr>
            </w:pPr>
          </w:p>
        </w:tc>
        <w:tc>
          <w:tcPr>
            <w:tcW w:w="2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06</w:t>
            </w:r>
          </w:p>
        </w:tc>
        <w:tc>
          <w:tcPr>
            <w:tcW w:w="2240" w:type="dxa"/>
            <w:vAlign w:val="bottom"/>
            <w:gridSpan w:val="35"/>
          </w:tcPr>
          <w:p>
            <w:pPr>
              <w:ind w:left="60"/>
              <w:spacing w:after="0" w:line="156" w:lineRule="exact"/>
              <w:rPr>
                <w:sz w:val="20"/>
                <w:szCs w:val="20"/>
                <w:color w:val="auto"/>
              </w:rPr>
            </w:pPr>
            <w:r>
              <w:rPr>
                <w:rFonts w:ascii="Arial" w:cs="Arial" w:eastAsia="Arial" w:hAnsi="Arial"/>
                <w:sz w:val="18"/>
                <w:szCs w:val="18"/>
                <w:color w:val="0000FF"/>
              </w:rPr>
              <w:t>Maintenance of Properties</w:t>
            </w:r>
          </w:p>
        </w:tc>
        <w:tc>
          <w:tcPr>
            <w:tcW w:w="22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160" w:type="dxa"/>
            <w:vAlign w:val="bottom"/>
            <w:gridSpan w:val="2"/>
          </w:tcPr>
          <w:p>
            <w:pPr>
              <w:jc w:val="right"/>
              <w:spacing w:after="0" w:line="156" w:lineRule="exact"/>
              <w:rPr>
                <w:sz w:val="20"/>
                <w:szCs w:val="20"/>
                <w:color w:val="auto"/>
              </w:rPr>
            </w:pPr>
            <w:r>
              <w:rPr>
                <w:rFonts w:ascii="Arial" w:cs="Arial" w:eastAsia="Arial" w:hAnsi="Arial"/>
                <w:sz w:val="17"/>
                <w:szCs w:val="17"/>
                <w:color w:val="0000FF"/>
                <w:w w:val="73"/>
              </w:rPr>
              <w:t>90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340" w:type="dxa"/>
            <w:vAlign w:val="bottom"/>
            <w:tcBorders>
              <w:top w:val="single" w:sz="8" w:color="0000FF"/>
              <w:bottom w:val="single" w:sz="8" w:color="0000FF"/>
            </w:tcBorders>
            <w:gridSpan w:val="3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07</w:t>
            </w:r>
          </w:p>
        </w:tc>
        <w:tc>
          <w:tcPr>
            <w:tcW w:w="1940" w:type="dxa"/>
            <w:vAlign w:val="bottom"/>
            <w:tcBorders>
              <w:bottom w:val="single" w:sz="8" w:color="0000FF"/>
            </w:tcBorders>
            <w:gridSpan w:val="28"/>
          </w:tcPr>
          <w:p>
            <w:pPr>
              <w:ind w:left="60"/>
              <w:spacing w:after="0" w:line="156" w:lineRule="exact"/>
              <w:rPr>
                <w:sz w:val="20"/>
                <w:szCs w:val="20"/>
                <w:color w:val="auto"/>
              </w:rPr>
            </w:pPr>
            <w:r>
              <w:rPr>
                <w:rFonts w:ascii="Arial" w:cs="Arial" w:eastAsia="Arial" w:hAnsi="Arial"/>
                <w:sz w:val="18"/>
                <w:szCs w:val="18"/>
                <w:color w:val="0000FF"/>
                <w:w w:val="89"/>
              </w:rPr>
              <w:t>Maintenance of Insurance</w:t>
            </w:r>
          </w:p>
        </w:tc>
        <w:tc>
          <w:tcPr>
            <w:tcW w:w="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08</w:t>
            </w:r>
          </w:p>
        </w:tc>
        <w:tc>
          <w:tcPr>
            <w:tcW w:w="1740" w:type="dxa"/>
            <w:vAlign w:val="bottom"/>
            <w:tcBorders>
              <w:bottom w:val="single" w:sz="8" w:color="0000FF"/>
            </w:tcBorders>
            <w:gridSpan w:val="22"/>
          </w:tcPr>
          <w:p>
            <w:pPr>
              <w:ind w:left="60"/>
              <w:spacing w:after="0" w:line="156" w:lineRule="exact"/>
              <w:rPr>
                <w:sz w:val="20"/>
                <w:szCs w:val="20"/>
                <w:color w:val="auto"/>
              </w:rPr>
            </w:pPr>
            <w:r>
              <w:rPr>
                <w:rFonts w:ascii="Arial" w:cs="Arial" w:eastAsia="Arial" w:hAnsi="Arial"/>
                <w:sz w:val="18"/>
                <w:szCs w:val="18"/>
                <w:color w:val="0000FF"/>
                <w:w w:val="92"/>
              </w:rPr>
              <w:t>Compliance with Laws</w:t>
            </w:r>
          </w:p>
        </w:tc>
        <w:tc>
          <w:tcPr>
            <w:tcW w:w="200" w:type="dxa"/>
            <w:vAlign w:val="bottom"/>
            <w:gridSpan w:val="6"/>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5900" w:type="dxa"/>
            <w:vAlign w:val="bottom"/>
            <w:gridSpan w:val="33"/>
            <w:vMerge w:val="restart"/>
          </w:tcPr>
          <w:p>
            <w:pPr>
              <w:jc w:val="center"/>
              <w:ind w:right="5061"/>
              <w:spacing w:after="0" w:line="196" w:lineRule="exact"/>
              <w:rPr>
                <w:sz w:val="20"/>
                <w:szCs w:val="20"/>
                <w:color w:val="auto"/>
              </w:rPr>
            </w:pPr>
            <w:r>
              <w:rPr>
                <w:rFonts w:ascii="Arial" w:cs="Arial" w:eastAsia="Arial" w:hAnsi="Arial"/>
                <w:sz w:val="18"/>
                <w:szCs w:val="18"/>
                <w:color w:val="0000FF"/>
                <w:w w:val="72"/>
              </w:rPr>
              <w:t>Accountants.</w:t>
            </w: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09</w:t>
            </w:r>
          </w:p>
        </w:tc>
        <w:tc>
          <w:tcPr>
            <w:tcW w:w="1740" w:type="dxa"/>
            <w:vAlign w:val="bottom"/>
            <w:gridSpan w:val="22"/>
          </w:tcPr>
          <w:p>
            <w:pPr>
              <w:ind w:left="60"/>
              <w:spacing w:after="0" w:line="156" w:lineRule="exact"/>
              <w:rPr>
                <w:sz w:val="20"/>
                <w:szCs w:val="20"/>
                <w:color w:val="auto"/>
              </w:rPr>
            </w:pPr>
            <w:r>
              <w:rPr>
                <w:rFonts w:ascii="Arial" w:cs="Arial" w:eastAsia="Arial" w:hAnsi="Arial"/>
                <w:sz w:val="18"/>
                <w:szCs w:val="18"/>
                <w:color w:val="0000FF"/>
              </w:rPr>
              <w:t>Books and Records;</w:t>
            </w:r>
          </w:p>
        </w:tc>
        <w:tc>
          <w:tcPr>
            <w:tcW w:w="5900" w:type="dxa"/>
            <w:vAlign w:val="bottom"/>
            <w:gridSpan w:val="33"/>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160" w:type="dxa"/>
            <w:vAlign w:val="bottom"/>
            <w:gridSpan w:val="2"/>
          </w:tcPr>
          <w:p>
            <w:pPr>
              <w:jc w:val="right"/>
              <w:spacing w:after="0" w:line="156" w:lineRule="exact"/>
              <w:rPr>
                <w:sz w:val="20"/>
                <w:szCs w:val="20"/>
                <w:color w:val="auto"/>
              </w:rPr>
            </w:pPr>
            <w:r>
              <w:rPr>
                <w:rFonts w:ascii="Arial" w:cs="Arial" w:eastAsia="Arial" w:hAnsi="Arial"/>
                <w:sz w:val="17"/>
                <w:szCs w:val="17"/>
                <w:color w:val="0000FF"/>
                <w:w w:val="73"/>
              </w:rPr>
              <w:t>92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880" w:type="dxa"/>
            <w:vAlign w:val="bottom"/>
            <w:tcBorders>
              <w:top w:val="single" w:sz="8" w:color="0000FF"/>
              <w:bottom w:val="single" w:sz="8" w:color="0000FF"/>
            </w:tcBorders>
            <w:gridSpan w:val="42"/>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10</w:t>
            </w:r>
          </w:p>
        </w:tc>
        <w:tc>
          <w:tcPr>
            <w:tcW w:w="1400" w:type="dxa"/>
            <w:vAlign w:val="bottom"/>
            <w:tcBorders>
              <w:bottom w:val="single" w:sz="8" w:color="0000FF"/>
            </w:tcBorders>
            <w:gridSpan w:val="10"/>
          </w:tcPr>
          <w:p>
            <w:pPr>
              <w:ind w:left="60"/>
              <w:spacing w:after="0" w:line="156" w:lineRule="exact"/>
              <w:rPr>
                <w:sz w:val="20"/>
                <w:szCs w:val="20"/>
                <w:color w:val="auto"/>
              </w:rPr>
            </w:pPr>
            <w:r>
              <w:rPr>
                <w:rFonts w:ascii="Arial" w:cs="Arial" w:eastAsia="Arial" w:hAnsi="Arial"/>
                <w:sz w:val="18"/>
                <w:szCs w:val="18"/>
                <w:color w:val="0000FF"/>
                <w:w w:val="92"/>
              </w:rPr>
              <w:t>Inspection Rights.</w:t>
            </w:r>
          </w:p>
        </w:tc>
        <w:tc>
          <w:tcPr>
            <w:tcW w:w="1100" w:type="dxa"/>
            <w:vAlign w:val="bottom"/>
            <w:gridSpan w:val="31"/>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0" w:type="dxa"/>
            <w:vAlign w:val="bottom"/>
            <w:gridSpan w:val="15"/>
            <w:vMerge w:val="restart"/>
          </w:tcPr>
          <w:p>
            <w:pPr>
              <w:jc w:val="right"/>
              <w:ind w:right="20"/>
              <w:spacing w:after="0"/>
              <w:rPr>
                <w:sz w:val="20"/>
                <w:szCs w:val="20"/>
                <w:color w:val="auto"/>
              </w:rPr>
            </w:pPr>
            <w:r>
              <w:rPr>
                <w:rFonts w:ascii="Arial" w:cs="Arial" w:eastAsia="Arial" w:hAnsi="Arial"/>
                <w:sz w:val="16"/>
                <w:szCs w:val="16"/>
                <w:color w:val="0000FF"/>
                <w:w w:val="72"/>
              </w:rPr>
              <w:t>Parties</w:t>
            </w:r>
          </w:p>
        </w:tc>
        <w:tc>
          <w:tcPr>
            <w:tcW w:w="5860" w:type="dxa"/>
            <w:vAlign w:val="bottom"/>
            <w:gridSpan w:val="31"/>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6.</w:t>
            </w:r>
            <w:r>
              <w:rPr>
                <w:rFonts w:ascii="Arial" w:cs="Arial" w:eastAsia="Arial" w:hAnsi="Arial"/>
                <w:sz w:val="18"/>
                <w:szCs w:val="18"/>
                <w:u w:val="single" w:color="auto"/>
                <w:color w:val="0000FF"/>
                <w:w w:val="79"/>
              </w:rPr>
              <w:t>11</w:t>
            </w:r>
          </w:p>
        </w:tc>
        <w:tc>
          <w:tcPr>
            <w:tcW w:w="1380" w:type="dxa"/>
            <w:vAlign w:val="bottom"/>
            <w:tcBorders>
              <w:bottom w:val="single" w:sz="8" w:color="0000FF"/>
            </w:tcBorders>
            <w:gridSpan w:val="9"/>
          </w:tcPr>
          <w:p>
            <w:pPr>
              <w:ind w:left="40"/>
              <w:spacing w:after="0" w:line="156" w:lineRule="exact"/>
              <w:rPr>
                <w:sz w:val="20"/>
                <w:szCs w:val="20"/>
                <w:color w:val="auto"/>
              </w:rPr>
            </w:pPr>
            <w:r>
              <w:rPr>
                <w:rFonts w:ascii="Arial" w:cs="Arial" w:eastAsia="Arial" w:hAnsi="Arial"/>
                <w:sz w:val="18"/>
                <w:szCs w:val="18"/>
                <w:color w:val="0000FF"/>
              </w:rPr>
              <w:t>Additional Loan</w:t>
            </w:r>
          </w:p>
        </w:tc>
        <w:tc>
          <w:tcPr>
            <w:tcW w:w="400" w:type="dxa"/>
            <w:vAlign w:val="bottom"/>
            <w:tcBorders>
              <w:bottom w:val="single" w:sz="8" w:color="0000FF"/>
            </w:tcBorders>
            <w:gridSpan w:val="15"/>
            <w:vMerge w:val="continue"/>
          </w:tcPr>
          <w:p>
            <w:pPr>
              <w:spacing w:after="0"/>
              <w:rPr>
                <w:sz w:val="13"/>
                <w:szCs w:val="13"/>
                <w:color w:val="auto"/>
              </w:rPr>
            </w:pPr>
          </w:p>
        </w:tc>
        <w:tc>
          <w:tcPr>
            <w:tcW w:w="5860" w:type="dxa"/>
            <w:vAlign w:val="bottom"/>
            <w:gridSpan w:val="31"/>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12</w:t>
            </w:r>
          </w:p>
        </w:tc>
        <w:tc>
          <w:tcPr>
            <w:tcW w:w="1460" w:type="dxa"/>
            <w:vAlign w:val="bottom"/>
            <w:tcBorders>
              <w:bottom w:val="single" w:sz="8" w:color="0000FF"/>
            </w:tcBorders>
            <w:gridSpan w:val="12"/>
          </w:tcPr>
          <w:p>
            <w:pPr>
              <w:ind w:left="60"/>
              <w:spacing w:after="0" w:line="156" w:lineRule="exact"/>
              <w:rPr>
                <w:sz w:val="20"/>
                <w:szCs w:val="20"/>
                <w:color w:val="auto"/>
              </w:rPr>
            </w:pPr>
            <w:r>
              <w:rPr>
                <w:rFonts w:ascii="Arial" w:cs="Arial" w:eastAsia="Arial" w:hAnsi="Arial"/>
                <w:sz w:val="18"/>
                <w:szCs w:val="18"/>
                <w:color w:val="0000FF"/>
                <w:w w:val="87"/>
              </w:rPr>
              <w:t>Cash Management.</w:t>
            </w:r>
          </w:p>
        </w:tc>
        <w:tc>
          <w:tcPr>
            <w:tcW w:w="300" w:type="dxa"/>
            <w:vAlign w:val="bottom"/>
            <w:gridSpan w:val="11"/>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840" w:type="dxa"/>
            <w:vAlign w:val="bottom"/>
            <w:tcBorders>
              <w:bottom w:val="single" w:sz="8" w:color="0000FF"/>
            </w:tcBorders>
            <w:gridSpan w:val="13"/>
          </w:tcPr>
          <w:p>
            <w:pPr>
              <w:spacing w:after="0" w:line="20" w:lineRule="exact"/>
              <w:rPr>
                <w:sz w:val="1"/>
                <w:szCs w:val="1"/>
                <w:color w:val="auto"/>
              </w:rPr>
            </w:pPr>
          </w:p>
        </w:tc>
        <w:tc>
          <w:tcPr>
            <w:tcW w:w="6180" w:type="dxa"/>
            <w:vAlign w:val="bottom"/>
            <w:gridSpan w:val="43"/>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13</w:t>
            </w:r>
          </w:p>
        </w:tc>
        <w:tc>
          <w:tcPr>
            <w:tcW w:w="7640" w:type="dxa"/>
            <w:vAlign w:val="bottom"/>
            <w:gridSpan w:val="55"/>
          </w:tcPr>
          <w:p>
            <w:pPr>
              <w:ind w:left="60"/>
              <w:spacing w:after="0" w:line="156" w:lineRule="exact"/>
              <w:rPr>
                <w:sz w:val="20"/>
                <w:szCs w:val="20"/>
                <w:color w:val="auto"/>
              </w:rPr>
            </w:pPr>
            <w:r>
              <w:rPr>
                <w:rFonts w:ascii="Arial" w:cs="Arial" w:eastAsia="Arial" w:hAnsi="Arial"/>
                <w:sz w:val="18"/>
                <w:szCs w:val="18"/>
                <w:color w:val="0000FF"/>
              </w:rPr>
              <w:t>Information Regarding the Collateral.</w:t>
            </w: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160" w:type="dxa"/>
            <w:vAlign w:val="bottom"/>
            <w:gridSpan w:val="2"/>
          </w:tcPr>
          <w:p>
            <w:pPr>
              <w:jc w:val="right"/>
              <w:spacing w:after="0" w:line="156" w:lineRule="exact"/>
              <w:rPr>
                <w:sz w:val="20"/>
                <w:szCs w:val="20"/>
                <w:color w:val="auto"/>
              </w:rPr>
            </w:pPr>
            <w:r>
              <w:rPr>
                <w:rFonts w:ascii="Arial" w:cs="Arial" w:eastAsia="Arial" w:hAnsi="Arial"/>
                <w:sz w:val="17"/>
                <w:szCs w:val="17"/>
                <w:color w:val="0000FF"/>
                <w:w w:val="73"/>
              </w:rPr>
              <w:t>95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160" w:type="dxa"/>
            <w:vAlign w:val="bottom"/>
            <w:tcBorders>
              <w:top w:val="single" w:sz="8" w:color="0000FF"/>
              <w:bottom w:val="single" w:sz="8" w:color="0000FF"/>
            </w:tcBorders>
            <w:gridSpan w:val="45"/>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14</w:t>
            </w:r>
          </w:p>
        </w:tc>
        <w:tc>
          <w:tcPr>
            <w:tcW w:w="2780" w:type="dxa"/>
            <w:vAlign w:val="bottom"/>
            <w:gridSpan w:val="44"/>
          </w:tcPr>
          <w:p>
            <w:pPr>
              <w:ind w:left="60"/>
              <w:spacing w:after="0" w:line="156" w:lineRule="exact"/>
              <w:rPr>
                <w:sz w:val="20"/>
                <w:szCs w:val="20"/>
                <w:color w:val="auto"/>
              </w:rPr>
            </w:pPr>
            <w:r>
              <w:rPr>
                <w:rFonts w:ascii="Arial" w:cs="Arial" w:eastAsia="Arial" w:hAnsi="Arial"/>
                <w:sz w:val="18"/>
                <w:szCs w:val="18"/>
                <w:color w:val="0000FF"/>
              </w:rPr>
              <w:t>Physical Inventories</w:t>
            </w:r>
          </w:p>
        </w:tc>
        <w:tc>
          <w:tcPr>
            <w:tcW w:w="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gridSpan w:val="2"/>
          </w:tcPr>
          <w:p>
            <w:pPr>
              <w:jc w:val="right"/>
              <w:spacing w:after="0" w:line="156" w:lineRule="exact"/>
              <w:rPr>
                <w:sz w:val="20"/>
                <w:szCs w:val="20"/>
                <w:color w:val="auto"/>
              </w:rPr>
            </w:pPr>
            <w:r>
              <w:rPr>
                <w:rFonts w:ascii="Arial" w:cs="Arial" w:eastAsia="Arial" w:hAnsi="Arial"/>
                <w:sz w:val="17"/>
                <w:szCs w:val="17"/>
                <w:color w:val="0000FF"/>
                <w:w w:val="73"/>
              </w:rPr>
              <w:t>96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15</w:t>
            </w:r>
          </w:p>
        </w:tc>
        <w:tc>
          <w:tcPr>
            <w:tcW w:w="1540" w:type="dxa"/>
            <w:vAlign w:val="bottom"/>
            <w:tcBorders>
              <w:bottom w:val="single" w:sz="8" w:color="0000FF"/>
            </w:tcBorders>
            <w:gridSpan w:val="15"/>
          </w:tcPr>
          <w:p>
            <w:pPr>
              <w:ind w:left="60"/>
              <w:spacing w:after="0" w:line="156" w:lineRule="exact"/>
              <w:rPr>
                <w:sz w:val="20"/>
                <w:szCs w:val="20"/>
                <w:color w:val="auto"/>
              </w:rPr>
            </w:pPr>
            <w:r>
              <w:rPr>
                <w:rFonts w:ascii="Arial" w:cs="Arial" w:eastAsia="Arial" w:hAnsi="Arial"/>
                <w:sz w:val="18"/>
                <w:szCs w:val="18"/>
                <w:color w:val="0000FF"/>
                <w:w w:val="87"/>
              </w:rPr>
              <w:t>Environmental Laws.</w:t>
            </w:r>
          </w:p>
        </w:tc>
        <w:tc>
          <w:tcPr>
            <w:tcW w:w="20" w:type="dxa"/>
            <w:vAlign w:val="bottom"/>
            <w:tcBorders>
              <w:bottom w:val="single" w:sz="8" w:color="0000FF"/>
            </w:tcBorders>
            <w:vMerge w:val="continue"/>
          </w:tcPr>
          <w:p>
            <w:pPr>
              <w:spacing w:after="0"/>
              <w:rPr>
                <w:sz w:val="13"/>
                <w:szCs w:val="13"/>
                <w:color w:val="auto"/>
              </w:rPr>
            </w:pPr>
          </w:p>
        </w:tc>
        <w:tc>
          <w:tcPr>
            <w:tcW w:w="60" w:type="dxa"/>
            <w:vAlign w:val="bottom"/>
            <w:tcBorders>
              <w:bottom w:val="single" w:sz="8" w:color="0000FF"/>
            </w:tcBorders>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16</w:t>
            </w:r>
          </w:p>
        </w:tc>
        <w:tc>
          <w:tcPr>
            <w:tcW w:w="1460" w:type="dxa"/>
            <w:vAlign w:val="bottom"/>
            <w:tcBorders>
              <w:bottom w:val="single" w:sz="8" w:color="0000FF"/>
            </w:tcBorders>
            <w:gridSpan w:val="12"/>
          </w:tcPr>
          <w:p>
            <w:pPr>
              <w:ind w:left="60"/>
              <w:spacing w:after="0" w:line="156" w:lineRule="exact"/>
              <w:rPr>
                <w:sz w:val="20"/>
                <w:szCs w:val="20"/>
                <w:color w:val="auto"/>
              </w:rPr>
            </w:pPr>
            <w:r>
              <w:rPr>
                <w:rFonts w:ascii="Arial" w:cs="Arial" w:eastAsia="Arial" w:hAnsi="Arial"/>
                <w:sz w:val="18"/>
                <w:szCs w:val="18"/>
                <w:color w:val="0000FF"/>
                <w:w w:val="87"/>
              </w:rPr>
              <w:t>Further Assurances</w:t>
            </w:r>
          </w:p>
        </w:tc>
        <w:tc>
          <w:tcPr>
            <w:tcW w:w="160" w:type="dxa"/>
            <w:vAlign w:val="bottom"/>
            <w:gridSpan w:val="6"/>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840" w:type="dxa"/>
            <w:vAlign w:val="bottom"/>
            <w:tcBorders>
              <w:bottom w:val="single" w:sz="8" w:color="0000FF"/>
            </w:tcBorders>
            <w:gridSpan w:val="13"/>
          </w:tcPr>
          <w:p>
            <w:pPr>
              <w:spacing w:after="0" w:line="20" w:lineRule="exact"/>
              <w:rPr>
                <w:sz w:val="1"/>
                <w:szCs w:val="1"/>
                <w:color w:val="auto"/>
              </w:rPr>
            </w:pPr>
          </w:p>
        </w:tc>
        <w:tc>
          <w:tcPr>
            <w:tcW w:w="6180" w:type="dxa"/>
            <w:vAlign w:val="bottom"/>
            <w:gridSpan w:val="43"/>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17</w:t>
            </w:r>
          </w:p>
        </w:tc>
        <w:tc>
          <w:tcPr>
            <w:tcW w:w="7640" w:type="dxa"/>
            <w:vAlign w:val="bottom"/>
            <w:gridSpan w:val="55"/>
          </w:tcPr>
          <w:p>
            <w:pPr>
              <w:ind w:left="60"/>
              <w:spacing w:after="0" w:line="156" w:lineRule="exact"/>
              <w:rPr>
                <w:sz w:val="20"/>
                <w:szCs w:val="20"/>
                <w:color w:val="auto"/>
              </w:rPr>
            </w:pPr>
            <w:r>
              <w:rPr>
                <w:rFonts w:ascii="Arial" w:cs="Arial" w:eastAsia="Arial" w:hAnsi="Arial"/>
                <w:sz w:val="18"/>
                <w:szCs w:val="18"/>
                <w:color w:val="0000FF"/>
              </w:rPr>
              <w:t>Compliance with Terms of Leaseholds</w:t>
            </w: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160" w:type="dxa"/>
            <w:vAlign w:val="bottom"/>
            <w:gridSpan w:val="2"/>
          </w:tcPr>
          <w:p>
            <w:pPr>
              <w:jc w:val="right"/>
              <w:spacing w:after="0" w:line="156" w:lineRule="exact"/>
              <w:rPr>
                <w:sz w:val="20"/>
                <w:szCs w:val="20"/>
                <w:color w:val="auto"/>
              </w:rPr>
            </w:pPr>
            <w:r>
              <w:rPr>
                <w:rFonts w:ascii="Arial" w:cs="Arial" w:eastAsia="Arial" w:hAnsi="Arial"/>
                <w:sz w:val="17"/>
                <w:szCs w:val="17"/>
                <w:color w:val="0000FF"/>
                <w:w w:val="73"/>
              </w:rPr>
              <w:t>97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220" w:type="dxa"/>
            <w:vAlign w:val="bottom"/>
            <w:tcBorders>
              <w:top w:val="single" w:sz="8" w:color="0000FF"/>
              <w:bottom w:val="single" w:sz="8" w:color="0000FF"/>
            </w:tcBorders>
            <w:gridSpan w:val="46"/>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18</w:t>
            </w:r>
          </w:p>
        </w:tc>
        <w:tc>
          <w:tcPr>
            <w:tcW w:w="2840" w:type="dxa"/>
            <w:vAlign w:val="bottom"/>
            <w:gridSpan w:val="45"/>
          </w:tcPr>
          <w:p>
            <w:pPr>
              <w:ind w:left="60"/>
              <w:spacing w:after="0" w:line="156" w:lineRule="exact"/>
              <w:rPr>
                <w:sz w:val="20"/>
                <w:szCs w:val="20"/>
                <w:color w:val="auto"/>
              </w:rPr>
            </w:pPr>
            <w:r>
              <w:rPr>
                <w:rFonts w:ascii="Arial" w:cs="Arial" w:eastAsia="Arial" w:hAnsi="Arial"/>
                <w:sz w:val="18"/>
                <w:szCs w:val="18"/>
                <w:color w:val="0000FF"/>
              </w:rPr>
              <w:t>Material Contracts</w:t>
            </w: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gridSpan w:val="2"/>
          </w:tcPr>
          <w:p>
            <w:pPr>
              <w:jc w:val="right"/>
              <w:spacing w:after="0" w:line="156" w:lineRule="exact"/>
              <w:rPr>
                <w:sz w:val="20"/>
                <w:szCs w:val="20"/>
                <w:color w:val="auto"/>
              </w:rPr>
            </w:pPr>
            <w:r>
              <w:rPr>
                <w:rFonts w:ascii="Arial" w:cs="Arial" w:eastAsia="Arial" w:hAnsi="Arial"/>
                <w:sz w:val="17"/>
                <w:szCs w:val="17"/>
                <w:color w:val="0000FF"/>
                <w:w w:val="73"/>
              </w:rPr>
              <w:t>97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780" w:type="dxa"/>
            <w:vAlign w:val="bottom"/>
            <w:tcBorders>
              <w:top w:val="single" w:sz="8" w:color="0000FF"/>
              <w:bottom w:val="single" w:sz="8" w:color="0000FF"/>
            </w:tcBorders>
            <w:gridSpan w:val="11"/>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220" w:type="dxa"/>
            <w:vAlign w:val="bottom"/>
            <w:gridSpan w:val="44"/>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19</w:t>
            </w:r>
          </w:p>
        </w:tc>
        <w:tc>
          <w:tcPr>
            <w:tcW w:w="2480" w:type="dxa"/>
            <w:vAlign w:val="bottom"/>
            <w:tcBorders>
              <w:bottom w:val="single" w:sz="8" w:color="0000FF"/>
            </w:tcBorders>
            <w:gridSpan w:val="40"/>
          </w:tcPr>
          <w:p>
            <w:pPr>
              <w:ind w:left="60"/>
              <w:spacing w:after="0" w:line="156" w:lineRule="exact"/>
              <w:rPr>
                <w:sz w:val="20"/>
                <w:szCs w:val="20"/>
                <w:color w:val="auto"/>
              </w:rPr>
            </w:pPr>
            <w:r>
              <w:rPr>
                <w:rFonts w:ascii="Arial" w:cs="Arial" w:eastAsia="Arial" w:hAnsi="Arial"/>
                <w:sz w:val="18"/>
                <w:szCs w:val="18"/>
                <w:color w:val="0000FF"/>
                <w:w w:val="93"/>
              </w:rPr>
              <w:t>Anti-Corruption Laws; Sanctions</w:t>
            </w:r>
          </w:p>
        </w:tc>
        <w:tc>
          <w:tcPr>
            <w:tcW w:w="5160" w:type="dxa"/>
            <w:vAlign w:val="bottom"/>
            <w:gridSpan w:val="15"/>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840" w:type="dxa"/>
            <w:vAlign w:val="bottom"/>
            <w:tcBorders>
              <w:bottom w:val="single" w:sz="8" w:color="0000FF"/>
            </w:tcBorders>
            <w:gridSpan w:val="4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20</w:t>
            </w:r>
          </w:p>
        </w:tc>
        <w:tc>
          <w:tcPr>
            <w:tcW w:w="2060" w:type="dxa"/>
            <w:vAlign w:val="bottom"/>
            <w:tcBorders>
              <w:bottom w:val="single" w:sz="8" w:color="0000FF"/>
            </w:tcBorders>
            <w:gridSpan w:val="30"/>
          </w:tcPr>
          <w:p>
            <w:pPr>
              <w:ind w:left="60"/>
              <w:spacing w:after="0" w:line="156" w:lineRule="exact"/>
              <w:rPr>
                <w:sz w:val="20"/>
                <w:szCs w:val="20"/>
                <w:color w:val="auto"/>
              </w:rPr>
            </w:pPr>
            <w:r>
              <w:rPr>
                <w:rFonts w:ascii="Arial" w:cs="Arial" w:eastAsia="Arial" w:hAnsi="Arial"/>
                <w:sz w:val="18"/>
                <w:szCs w:val="18"/>
                <w:color w:val="0000FF"/>
                <w:w w:val="90"/>
              </w:rPr>
              <w:t>Designation of Subsidiaries</w:t>
            </w:r>
          </w:p>
        </w:tc>
        <w:tc>
          <w:tcPr>
            <w:tcW w:w="400" w:type="dxa"/>
            <w:vAlign w:val="bottom"/>
            <w:gridSpan w:val="9"/>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80" w:type="dxa"/>
            <w:vAlign w:val="bottom"/>
            <w:gridSpan w:val="57"/>
          </w:tcPr>
          <w:p>
            <w:pPr>
              <w:spacing w:after="0"/>
              <w:rPr>
                <w:sz w:val="20"/>
                <w:szCs w:val="20"/>
                <w:color w:val="auto"/>
              </w:rPr>
            </w:pPr>
            <w:r>
              <w:rPr>
                <w:rFonts w:ascii="Arial" w:cs="Arial" w:eastAsia="Arial" w:hAnsi="Arial"/>
                <w:sz w:val="18"/>
                <w:szCs w:val="18"/>
                <w:color w:val="0000FF"/>
              </w:rPr>
              <w:t>ARTICLE VII.  NEGATIVE COVENANTS</w:t>
            </w:r>
          </w:p>
        </w:tc>
        <w:tc>
          <w:tcPr>
            <w:tcW w:w="2580" w:type="dxa"/>
            <w:vAlign w:val="bottom"/>
            <w:gridSpan w:val="8"/>
          </w:tcPr>
          <w:p>
            <w:pPr>
              <w:jc w:val="right"/>
              <w:ind w:right="20"/>
              <w:spacing w:after="0"/>
              <w:rPr>
                <w:sz w:val="20"/>
                <w:szCs w:val="20"/>
                <w:color w:val="auto"/>
              </w:rPr>
            </w:pPr>
            <w:r>
              <w:rPr>
                <w:rFonts w:ascii="Arial" w:cs="Arial" w:eastAsia="Arial" w:hAnsi="Arial"/>
                <w:sz w:val="18"/>
                <w:szCs w:val="18"/>
                <w:color w:val="0000FF"/>
              </w:rPr>
              <w:t>98</w:t>
            </w:r>
          </w:p>
        </w:tc>
        <w:tc>
          <w:tcPr>
            <w:tcW w:w="0" w:type="dxa"/>
            <w:vAlign w:val="bottom"/>
          </w:tcPr>
          <w:p>
            <w:pPr>
              <w:spacing w:after="0"/>
              <w:rPr>
                <w:sz w:val="1"/>
                <w:szCs w:val="1"/>
                <w:color w:val="auto"/>
              </w:rPr>
            </w:pPr>
          </w:p>
        </w:tc>
      </w:tr>
      <w:tr>
        <w:trPr>
          <w:trHeight w:val="20"/>
        </w:trPr>
        <w:tc>
          <w:tcPr>
            <w:tcW w:w="3260" w:type="dxa"/>
            <w:vAlign w:val="bottom"/>
            <w:tcBorders>
              <w:top w:val="single" w:sz="8" w:color="0000FF"/>
              <w:bottom w:val="single" w:sz="8" w:color="0000FF"/>
            </w:tcBorders>
            <w:gridSpan w:val="36"/>
          </w:tcPr>
          <w:p>
            <w:pPr>
              <w:spacing w:after="0" w:line="20" w:lineRule="exact"/>
              <w:rPr>
                <w:sz w:val="1"/>
                <w:szCs w:val="1"/>
                <w:color w:val="auto"/>
              </w:rPr>
            </w:pPr>
          </w:p>
        </w:tc>
        <w:tc>
          <w:tcPr>
            <w:tcW w:w="7800" w:type="dxa"/>
            <w:vAlign w:val="bottom"/>
            <w:gridSpan w:val="25"/>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2"/>
          </w:tcPr>
          <w:p>
            <w:pPr>
              <w:jc w:val="right"/>
              <w:spacing w:after="0"/>
              <w:rPr>
                <w:sz w:val="20"/>
                <w:szCs w:val="20"/>
                <w:color w:val="auto"/>
              </w:rPr>
            </w:pPr>
            <w:r>
              <w:rPr>
                <w:rFonts w:ascii="Arial" w:cs="Arial" w:eastAsia="Arial" w:hAnsi="Arial"/>
                <w:sz w:val="18"/>
                <w:szCs w:val="18"/>
                <w:color w:val="0000FF"/>
              </w:rPr>
              <w:t>7.</w:t>
            </w:r>
            <w:r>
              <w:rPr>
                <w:rFonts w:ascii="Arial" w:cs="Arial" w:eastAsia="Arial" w:hAnsi="Arial"/>
                <w:sz w:val="18"/>
                <w:szCs w:val="18"/>
                <w:u w:val="single" w:color="auto"/>
                <w:color w:val="0000FF"/>
              </w:rPr>
              <w:t>01</w:t>
            </w:r>
          </w:p>
        </w:tc>
        <w:tc>
          <w:tcPr>
            <w:tcW w:w="7640" w:type="dxa"/>
            <w:vAlign w:val="bottom"/>
            <w:gridSpan w:val="55"/>
          </w:tcPr>
          <w:p>
            <w:pPr>
              <w:ind w:left="60"/>
              <w:spacing w:after="0"/>
              <w:rPr>
                <w:sz w:val="20"/>
                <w:szCs w:val="20"/>
                <w:color w:val="auto"/>
              </w:rPr>
            </w:pPr>
            <w:r>
              <w:rPr>
                <w:rFonts w:ascii="Arial" w:cs="Arial" w:eastAsia="Arial" w:hAnsi="Arial"/>
                <w:sz w:val="18"/>
                <w:szCs w:val="18"/>
                <w:color w:val="0000FF"/>
              </w:rPr>
              <w:t>Liens</w:t>
            </w:r>
          </w:p>
        </w:tc>
        <w:tc>
          <w:tcPr>
            <w:tcW w:w="2580" w:type="dxa"/>
            <w:vAlign w:val="bottom"/>
            <w:gridSpan w:val="8"/>
          </w:tcPr>
          <w:p>
            <w:pPr>
              <w:jc w:val="right"/>
              <w:ind w:right="20"/>
              <w:spacing w:after="0"/>
              <w:rPr>
                <w:sz w:val="20"/>
                <w:szCs w:val="20"/>
                <w:color w:val="auto"/>
              </w:rPr>
            </w:pPr>
            <w:r>
              <w:rPr>
                <w:rFonts w:ascii="Arial" w:cs="Arial" w:eastAsia="Arial" w:hAnsi="Arial"/>
                <w:sz w:val="18"/>
                <w:szCs w:val="18"/>
                <w:color w:val="0000FF"/>
              </w:rPr>
              <w:t>98</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840" w:type="dxa"/>
            <w:vAlign w:val="bottom"/>
            <w:tcBorders>
              <w:top w:val="single" w:sz="8" w:color="0000FF"/>
              <w:bottom w:val="single" w:sz="8" w:color="0000FF"/>
            </w:tcBorders>
            <w:gridSpan w:val="2"/>
          </w:tcPr>
          <w:p>
            <w:pPr>
              <w:spacing w:after="0" w:line="20" w:lineRule="exact"/>
              <w:rPr>
                <w:sz w:val="1"/>
                <w:szCs w:val="1"/>
                <w:color w:val="auto"/>
              </w:rPr>
            </w:pPr>
          </w:p>
        </w:tc>
        <w:tc>
          <w:tcPr>
            <w:tcW w:w="7180" w:type="dxa"/>
            <w:vAlign w:val="bottom"/>
            <w:gridSpan w:val="54"/>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02</w:t>
            </w:r>
          </w:p>
        </w:tc>
        <w:tc>
          <w:tcPr>
            <w:tcW w:w="940" w:type="dxa"/>
            <w:vAlign w:val="bottom"/>
            <w:tcBorders>
              <w:bottom w:val="single" w:sz="8" w:color="0000FF"/>
            </w:tcBorders>
            <w:gridSpan w:val="5"/>
          </w:tcPr>
          <w:p>
            <w:pPr>
              <w:ind w:left="60"/>
              <w:spacing w:after="0" w:line="156" w:lineRule="exact"/>
              <w:rPr>
                <w:sz w:val="20"/>
                <w:szCs w:val="20"/>
                <w:color w:val="auto"/>
              </w:rPr>
            </w:pPr>
            <w:r>
              <w:rPr>
                <w:rFonts w:ascii="Arial" w:cs="Arial" w:eastAsia="Arial" w:hAnsi="Arial"/>
                <w:sz w:val="18"/>
                <w:szCs w:val="18"/>
                <w:color w:val="0000FF"/>
                <w:w w:val="88"/>
              </w:rPr>
              <w:t>Investments</w:t>
            </w:r>
          </w:p>
        </w:tc>
        <w:tc>
          <w:tcPr>
            <w:tcW w:w="6700" w:type="dxa"/>
            <w:vAlign w:val="bottom"/>
            <w:gridSpan w:val="50"/>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0" w:type="dxa"/>
            <w:vAlign w:val="bottom"/>
            <w:gridSpan w:val="45"/>
            <w:vMerge w:val="restart"/>
          </w:tcPr>
          <w:p>
            <w:pPr>
              <w:ind w:left="140"/>
              <w:spacing w:after="0" w:line="196" w:lineRule="exact"/>
              <w:rPr>
                <w:sz w:val="20"/>
                <w:szCs w:val="20"/>
                <w:color w:val="auto"/>
              </w:rPr>
            </w:pPr>
            <w:r>
              <w:rPr>
                <w:rFonts w:ascii="Arial" w:cs="Arial" w:eastAsia="Arial" w:hAnsi="Arial"/>
                <w:sz w:val="18"/>
                <w:szCs w:val="18"/>
                <w:color w:val="0000FF"/>
                <w:w w:val="91"/>
              </w:rPr>
              <w:t>Disqualified Stock; Equity Issuances</w:t>
            </w: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03</w:t>
            </w:r>
          </w:p>
        </w:tc>
        <w:tc>
          <w:tcPr>
            <w:tcW w:w="940" w:type="dxa"/>
            <w:vAlign w:val="bottom"/>
            <w:tcBorders>
              <w:bottom w:val="single" w:sz="8" w:color="0000FF"/>
            </w:tcBorders>
            <w:gridSpan w:val="5"/>
          </w:tcPr>
          <w:p>
            <w:pPr>
              <w:ind w:left="60"/>
              <w:spacing w:after="0" w:line="156" w:lineRule="exact"/>
              <w:rPr>
                <w:sz w:val="20"/>
                <w:szCs w:val="20"/>
                <w:color w:val="auto"/>
              </w:rPr>
            </w:pPr>
            <w:r>
              <w:rPr>
                <w:rFonts w:ascii="Arial" w:cs="Arial" w:eastAsia="Arial" w:hAnsi="Arial"/>
                <w:sz w:val="18"/>
                <w:szCs w:val="18"/>
                <w:color w:val="0000FF"/>
                <w:w w:val="76"/>
              </w:rPr>
              <w:t>Indebtedness;</w:t>
            </w:r>
          </w:p>
        </w:tc>
        <w:tc>
          <w:tcPr>
            <w:tcW w:w="20" w:type="dxa"/>
            <w:vAlign w:val="bottom"/>
            <w:tcBorders>
              <w:bottom w:val="single" w:sz="8" w:color="0000FF"/>
            </w:tcBorders>
            <w:vMerge w:val="continue"/>
          </w:tcPr>
          <w:p>
            <w:pPr>
              <w:spacing w:after="0"/>
              <w:rPr>
                <w:sz w:val="13"/>
                <w:szCs w:val="13"/>
                <w:color w:val="auto"/>
              </w:rPr>
            </w:pPr>
          </w:p>
        </w:tc>
        <w:tc>
          <w:tcPr>
            <w:tcW w:w="2800" w:type="dxa"/>
            <w:vAlign w:val="bottom"/>
            <w:tcBorders>
              <w:bottom w:val="single" w:sz="8" w:color="0000FF"/>
            </w:tcBorders>
            <w:gridSpan w:val="45"/>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120" w:type="dxa"/>
            <w:vAlign w:val="bottom"/>
            <w:tcBorders>
              <w:bottom w:val="single" w:sz="8" w:color="0000FF"/>
            </w:tcBorders>
            <w:gridSpan w:val="51"/>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gridSpan w:val="4"/>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04</w:t>
            </w:r>
          </w:p>
        </w:tc>
        <w:tc>
          <w:tcPr>
            <w:tcW w:w="1680" w:type="dxa"/>
            <w:vAlign w:val="bottom"/>
            <w:tcBorders>
              <w:bottom w:val="single" w:sz="8" w:color="0000FF"/>
            </w:tcBorders>
            <w:gridSpan w:val="21"/>
          </w:tcPr>
          <w:p>
            <w:pPr>
              <w:ind w:left="60"/>
              <w:spacing w:after="0" w:line="156" w:lineRule="exact"/>
              <w:rPr>
                <w:sz w:val="20"/>
                <w:szCs w:val="20"/>
                <w:color w:val="auto"/>
              </w:rPr>
            </w:pPr>
            <w:r>
              <w:rPr>
                <w:rFonts w:ascii="Arial" w:cs="Arial" w:eastAsia="Arial" w:hAnsi="Arial"/>
                <w:sz w:val="18"/>
                <w:szCs w:val="18"/>
                <w:color w:val="0000FF"/>
                <w:w w:val="87"/>
              </w:rPr>
              <w:t>Fundamental Changes</w:t>
            </w:r>
          </w:p>
        </w:tc>
        <w:tc>
          <w:tcPr>
            <w:tcW w:w="2060" w:type="dxa"/>
            <w:vAlign w:val="bottom"/>
            <w:gridSpan w:val="29"/>
          </w:tcPr>
          <w:p>
            <w:pPr>
              <w:spacing w:after="0"/>
              <w:rPr>
                <w:sz w:val="13"/>
                <w:szCs w:val="13"/>
                <w:color w:val="auto"/>
              </w:rPr>
            </w:pPr>
          </w:p>
        </w:tc>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0" w:type="dxa"/>
            <w:vAlign w:val="bottom"/>
            <w:gridSpan w:val="7"/>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05</w:t>
            </w:r>
          </w:p>
        </w:tc>
        <w:tc>
          <w:tcPr>
            <w:tcW w:w="1660" w:type="dxa"/>
            <w:vAlign w:val="bottom"/>
            <w:gridSpan w:val="20"/>
          </w:tcPr>
          <w:p>
            <w:pPr>
              <w:ind w:left="60"/>
              <w:spacing w:after="0" w:line="156" w:lineRule="exact"/>
              <w:rPr>
                <w:sz w:val="20"/>
                <w:szCs w:val="20"/>
                <w:color w:val="auto"/>
              </w:rPr>
            </w:pPr>
            <w:r>
              <w:rPr>
                <w:rFonts w:ascii="Arial" w:cs="Arial" w:eastAsia="Arial" w:hAnsi="Arial"/>
                <w:sz w:val="18"/>
                <w:szCs w:val="18"/>
                <w:color w:val="0000FF"/>
              </w:rPr>
              <w:t>Dispositions</w:t>
            </w:r>
          </w:p>
        </w:tc>
        <w:tc>
          <w:tcPr>
            <w:tcW w:w="2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200" w:type="dxa"/>
            <w:vAlign w:val="bottom"/>
            <w:gridSpan w:val="7"/>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160" w:type="dxa"/>
            <w:vAlign w:val="bottom"/>
            <w:gridSpan w:val="2"/>
          </w:tcPr>
          <w:p>
            <w:pPr>
              <w:jc w:val="right"/>
              <w:spacing w:after="0" w:line="156" w:lineRule="exact"/>
              <w:rPr>
                <w:sz w:val="20"/>
                <w:szCs w:val="20"/>
                <w:color w:val="auto"/>
              </w:rPr>
            </w:pPr>
            <w:r>
              <w:rPr>
                <w:rFonts w:ascii="Arial" w:cs="Arial" w:eastAsia="Arial" w:hAnsi="Arial"/>
                <w:sz w:val="17"/>
                <w:szCs w:val="17"/>
                <w:color w:val="0000FF"/>
                <w:w w:val="73"/>
              </w:rPr>
              <w:t>99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gridSpan w:val="10"/>
            <w:vMerge w:val="restart"/>
          </w:tcPr>
          <w:p>
            <w:pPr>
              <w:spacing w:after="0" w:line="196" w:lineRule="exact"/>
              <w:rPr>
                <w:sz w:val="20"/>
                <w:szCs w:val="20"/>
                <w:color w:val="auto"/>
              </w:rPr>
            </w:pPr>
            <w:r>
              <w:rPr>
                <w:rFonts w:ascii="Arial" w:cs="Arial" w:eastAsia="Arial" w:hAnsi="Arial"/>
                <w:sz w:val="18"/>
                <w:szCs w:val="18"/>
                <w:color w:val="0000FF"/>
                <w:w w:val="72"/>
              </w:rPr>
              <w:t>Payments</w:t>
            </w:r>
          </w:p>
        </w:tc>
        <w:tc>
          <w:tcPr>
            <w:tcW w:w="6080" w:type="dxa"/>
            <w:vAlign w:val="bottom"/>
            <w:gridSpan w:val="39"/>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06</w:t>
            </w:r>
          </w:p>
        </w:tc>
        <w:tc>
          <w:tcPr>
            <w:tcW w:w="960" w:type="dxa"/>
            <w:vAlign w:val="bottom"/>
            <w:tcBorders>
              <w:bottom w:val="single" w:sz="8" w:color="0000FF"/>
            </w:tcBorders>
            <w:gridSpan w:val="6"/>
          </w:tcPr>
          <w:p>
            <w:pPr>
              <w:ind w:left="60"/>
              <w:spacing w:after="0" w:line="156" w:lineRule="exact"/>
              <w:rPr>
                <w:sz w:val="20"/>
                <w:szCs w:val="20"/>
                <w:color w:val="auto"/>
              </w:rPr>
            </w:pPr>
            <w:r>
              <w:rPr>
                <w:rFonts w:ascii="Arial" w:cs="Arial" w:eastAsia="Arial" w:hAnsi="Arial"/>
                <w:sz w:val="18"/>
                <w:szCs w:val="18"/>
                <w:color w:val="0000FF"/>
              </w:rPr>
              <w:t>Restricted</w:t>
            </w:r>
          </w:p>
        </w:tc>
        <w:tc>
          <w:tcPr>
            <w:tcW w:w="600" w:type="dxa"/>
            <w:vAlign w:val="bottom"/>
            <w:tcBorders>
              <w:bottom w:val="single" w:sz="8" w:color="0000FF"/>
            </w:tcBorders>
            <w:gridSpan w:val="10"/>
            <w:vMerge w:val="continue"/>
          </w:tcPr>
          <w:p>
            <w:pPr>
              <w:spacing w:after="0"/>
              <w:rPr>
                <w:sz w:val="13"/>
                <w:szCs w:val="13"/>
                <w:color w:val="auto"/>
              </w:rPr>
            </w:pPr>
          </w:p>
        </w:tc>
        <w:tc>
          <w:tcPr>
            <w:tcW w:w="6080" w:type="dxa"/>
            <w:vAlign w:val="bottom"/>
            <w:gridSpan w:val="39"/>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7"/>
                <w:szCs w:val="17"/>
                <w:color w:val="0000FF"/>
                <w:w w:val="73"/>
              </w:rPr>
              <w:t>99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940" w:type="dxa"/>
            <w:vAlign w:val="bottom"/>
            <w:tcBorders>
              <w:bottom w:val="single" w:sz="8" w:color="0000FF"/>
            </w:tcBorders>
            <w:gridSpan w:val="17"/>
          </w:tcPr>
          <w:p>
            <w:pPr>
              <w:spacing w:after="0" w:line="20" w:lineRule="exact"/>
              <w:rPr>
                <w:sz w:val="1"/>
                <w:szCs w:val="1"/>
                <w:color w:val="auto"/>
              </w:rPr>
            </w:pPr>
          </w:p>
        </w:tc>
        <w:tc>
          <w:tcPr>
            <w:tcW w:w="8480" w:type="dxa"/>
            <w:vAlign w:val="bottom"/>
            <w:gridSpan w:val="44"/>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07</w:t>
            </w:r>
          </w:p>
        </w:tc>
        <w:tc>
          <w:tcPr>
            <w:tcW w:w="7640" w:type="dxa"/>
            <w:vAlign w:val="bottom"/>
            <w:gridSpan w:val="55"/>
          </w:tcPr>
          <w:p>
            <w:pPr>
              <w:ind w:left="60"/>
              <w:spacing w:after="0" w:line="156" w:lineRule="exact"/>
              <w:rPr>
                <w:sz w:val="20"/>
                <w:szCs w:val="20"/>
                <w:color w:val="auto"/>
              </w:rPr>
            </w:pPr>
            <w:r>
              <w:rPr>
                <w:rFonts w:ascii="Arial" w:cs="Arial" w:eastAsia="Arial" w:hAnsi="Arial"/>
                <w:sz w:val="18"/>
                <w:szCs w:val="18"/>
                <w:color w:val="0000FF"/>
              </w:rPr>
              <w:t>Prepayments of Indebtedness</w:t>
            </w:r>
          </w:p>
        </w:tc>
        <w:tc>
          <w:tcPr>
            <w:tcW w:w="2560" w:type="dxa"/>
            <w:vAlign w:val="bottom"/>
            <w:gridSpan w:val="7"/>
          </w:tcPr>
          <w:p>
            <w:pPr>
              <w:jc w:val="right"/>
              <w:spacing w:after="0" w:line="156" w:lineRule="exact"/>
              <w:rPr>
                <w:sz w:val="20"/>
                <w:szCs w:val="20"/>
                <w:color w:val="auto"/>
              </w:rPr>
            </w:pPr>
            <w:r>
              <w:rPr>
                <w:rFonts w:ascii="Arial" w:cs="Arial" w:eastAsia="Arial" w:hAnsi="Arial"/>
                <w:sz w:val="18"/>
                <w:szCs w:val="18"/>
                <w:color w:val="0000FF"/>
              </w:rPr>
              <w:t>100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0" w:type="dxa"/>
            <w:vAlign w:val="bottom"/>
            <w:gridSpan w:val="7"/>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08</w:t>
            </w:r>
          </w:p>
        </w:tc>
        <w:tc>
          <w:tcPr>
            <w:tcW w:w="2180" w:type="dxa"/>
            <w:vAlign w:val="bottom"/>
            <w:gridSpan w:val="32"/>
          </w:tcPr>
          <w:p>
            <w:pPr>
              <w:ind w:left="60"/>
              <w:spacing w:after="0" w:line="156" w:lineRule="exact"/>
              <w:rPr>
                <w:sz w:val="20"/>
                <w:szCs w:val="20"/>
                <w:color w:val="auto"/>
              </w:rPr>
            </w:pPr>
            <w:r>
              <w:rPr>
                <w:rFonts w:ascii="Arial" w:cs="Arial" w:eastAsia="Arial" w:hAnsi="Arial"/>
                <w:sz w:val="18"/>
                <w:szCs w:val="18"/>
                <w:color w:val="0000FF"/>
                <w:w w:val="87"/>
              </w:rPr>
              <w:t>Change in Nature of Business</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200" w:type="dxa"/>
            <w:vAlign w:val="bottom"/>
            <w:gridSpan w:val="7"/>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8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86"/>
              </w:rPr>
              <w:t>100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4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0" w:type="dxa"/>
            <w:vAlign w:val="bottom"/>
            <w:gridSpan w:val="7"/>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09</w:t>
            </w:r>
          </w:p>
        </w:tc>
        <w:tc>
          <w:tcPr>
            <w:tcW w:w="2080" w:type="dxa"/>
            <w:vAlign w:val="bottom"/>
            <w:gridSpan w:val="31"/>
          </w:tcPr>
          <w:p>
            <w:pPr>
              <w:ind w:left="60"/>
              <w:spacing w:after="0" w:line="156" w:lineRule="exact"/>
              <w:rPr>
                <w:sz w:val="20"/>
                <w:szCs w:val="20"/>
                <w:color w:val="auto"/>
              </w:rPr>
            </w:pPr>
            <w:r>
              <w:rPr>
                <w:rFonts w:ascii="Arial" w:cs="Arial" w:eastAsia="Arial" w:hAnsi="Arial"/>
                <w:sz w:val="18"/>
                <w:szCs w:val="18"/>
                <w:color w:val="0000FF"/>
                <w:w w:val="93"/>
              </w:rPr>
              <w:t>Transactions with Affiliates</w:t>
            </w:r>
          </w:p>
        </w:tc>
        <w:tc>
          <w:tcPr>
            <w:tcW w:w="120" w:type="dxa"/>
            <w:vAlign w:val="bottom"/>
            <w:gridSpan w:val="2"/>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200" w:type="dxa"/>
            <w:vAlign w:val="bottom"/>
            <w:gridSpan w:val="7"/>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8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86"/>
              </w:rPr>
              <w:t>100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80" w:type="dxa"/>
            <w:vAlign w:val="bottom"/>
            <w:gridSpan w:val="8"/>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0" w:type="dxa"/>
            <w:vAlign w:val="bottom"/>
            <w:gridSpan w:val="7"/>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10</w:t>
            </w:r>
          </w:p>
        </w:tc>
        <w:tc>
          <w:tcPr>
            <w:tcW w:w="1900" w:type="dxa"/>
            <w:vAlign w:val="bottom"/>
            <w:gridSpan w:val="27"/>
          </w:tcPr>
          <w:p>
            <w:pPr>
              <w:ind w:left="60"/>
              <w:spacing w:after="0" w:line="156" w:lineRule="exact"/>
              <w:rPr>
                <w:sz w:val="20"/>
                <w:szCs w:val="20"/>
                <w:color w:val="auto"/>
              </w:rPr>
            </w:pPr>
            <w:r>
              <w:rPr>
                <w:rFonts w:ascii="Arial" w:cs="Arial" w:eastAsia="Arial" w:hAnsi="Arial"/>
                <w:sz w:val="18"/>
                <w:szCs w:val="18"/>
                <w:color w:val="0000FF"/>
                <w:w w:val="89"/>
              </w:rPr>
              <w:t>Burdensome Agreements</w:t>
            </w:r>
          </w:p>
        </w:tc>
        <w:tc>
          <w:tcPr>
            <w:tcW w:w="160" w:type="dxa"/>
            <w:vAlign w:val="bottom"/>
            <w:gridSpan w:val="3"/>
          </w:tcPr>
          <w:p>
            <w:pPr>
              <w:spacing w:after="0"/>
              <w:rPr>
                <w:sz w:val="13"/>
                <w:szCs w:val="13"/>
                <w:color w:val="auto"/>
              </w:rPr>
            </w:pPr>
          </w:p>
        </w:tc>
        <w:tc>
          <w:tcPr>
            <w:tcW w:w="20" w:type="dxa"/>
            <w:vAlign w:val="bottom"/>
            <w:vMerge w:val="continue"/>
          </w:tcPr>
          <w:p>
            <w:pPr>
              <w:spacing w:after="0"/>
              <w:rPr>
                <w:sz w:val="13"/>
                <w:szCs w:val="13"/>
                <w:color w:val="auto"/>
              </w:rPr>
            </w:pPr>
          </w:p>
        </w:tc>
        <w:tc>
          <w:tcPr>
            <w:tcW w:w="380" w:type="dxa"/>
            <w:vAlign w:val="bottom"/>
            <w:gridSpan w:val="8"/>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200" w:type="dxa"/>
            <w:vAlign w:val="bottom"/>
            <w:gridSpan w:val="7"/>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8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86"/>
              </w:rPr>
              <w:t>101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560" w:type="dxa"/>
            <w:vAlign w:val="bottom"/>
            <w:gridSpan w:val="1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0" w:type="dxa"/>
            <w:vAlign w:val="bottom"/>
            <w:gridSpan w:val="7"/>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79"/>
              </w:rPr>
              <w:t>7.</w:t>
            </w:r>
            <w:r>
              <w:rPr>
                <w:rFonts w:ascii="Arial" w:cs="Arial" w:eastAsia="Arial" w:hAnsi="Arial"/>
                <w:sz w:val="18"/>
                <w:szCs w:val="18"/>
                <w:u w:val="single" w:color="auto"/>
                <w:color w:val="0000FF"/>
                <w:w w:val="79"/>
              </w:rPr>
              <w:t>11</w:t>
            </w:r>
          </w:p>
        </w:tc>
        <w:tc>
          <w:tcPr>
            <w:tcW w:w="1880" w:type="dxa"/>
            <w:vAlign w:val="bottom"/>
            <w:gridSpan w:val="26"/>
          </w:tcPr>
          <w:p>
            <w:pPr>
              <w:ind w:left="60"/>
              <w:spacing w:after="0" w:line="156" w:lineRule="exact"/>
              <w:rPr>
                <w:sz w:val="20"/>
                <w:szCs w:val="20"/>
                <w:color w:val="auto"/>
              </w:rPr>
            </w:pPr>
            <w:r>
              <w:rPr>
                <w:rFonts w:ascii="Arial" w:cs="Arial" w:eastAsia="Arial" w:hAnsi="Arial"/>
                <w:sz w:val="18"/>
                <w:szCs w:val="18"/>
                <w:color w:val="0000FF"/>
              </w:rPr>
              <w:t>Use of Proceeds</w:t>
            </w:r>
          </w:p>
        </w:tc>
        <w:tc>
          <w:tcPr>
            <w:tcW w:w="20" w:type="dxa"/>
            <w:vAlign w:val="bottom"/>
            <w:vMerge w:val="continue"/>
          </w:tcPr>
          <w:p>
            <w:pPr>
              <w:spacing w:after="0"/>
              <w:rPr>
                <w:sz w:val="13"/>
                <w:szCs w:val="13"/>
                <w:color w:val="auto"/>
              </w:rPr>
            </w:pPr>
          </w:p>
        </w:tc>
        <w:tc>
          <w:tcPr>
            <w:tcW w:w="560" w:type="dxa"/>
            <w:vAlign w:val="bottom"/>
            <w:gridSpan w:val="1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200" w:type="dxa"/>
            <w:vAlign w:val="bottom"/>
            <w:gridSpan w:val="7"/>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8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86"/>
              </w:rPr>
              <w:t>102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460" w:type="dxa"/>
            <w:vAlign w:val="bottom"/>
            <w:gridSpan w:val="36"/>
            <w:vMerge w:val="restart"/>
          </w:tcPr>
          <w:p>
            <w:pPr>
              <w:jc w:val="center"/>
              <w:ind w:right="20"/>
              <w:spacing w:after="0" w:line="196" w:lineRule="exact"/>
              <w:rPr>
                <w:sz w:val="20"/>
                <w:szCs w:val="20"/>
                <w:color w:val="auto"/>
              </w:rPr>
            </w:pPr>
            <w:r>
              <w:rPr>
                <w:rFonts w:ascii="Arial" w:cs="Arial" w:eastAsia="Arial" w:hAnsi="Arial"/>
                <w:sz w:val="18"/>
                <w:szCs w:val="18"/>
                <w:color w:val="0000FF"/>
                <w:w w:val="89"/>
              </w:rPr>
              <w:t>Material Documents</w:t>
            </w:r>
          </w:p>
        </w:tc>
        <w:tc>
          <w:tcPr>
            <w:tcW w:w="4960" w:type="dxa"/>
            <w:vAlign w:val="bottom"/>
            <w:gridSpan w:val="12"/>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12</w:t>
            </w:r>
          </w:p>
        </w:tc>
        <w:tc>
          <w:tcPr>
            <w:tcW w:w="1220" w:type="dxa"/>
            <w:vAlign w:val="bottom"/>
            <w:gridSpan w:val="7"/>
          </w:tcPr>
          <w:p>
            <w:pPr>
              <w:ind w:left="60"/>
              <w:spacing w:after="0" w:line="156" w:lineRule="exact"/>
              <w:rPr>
                <w:sz w:val="20"/>
                <w:szCs w:val="20"/>
                <w:color w:val="auto"/>
              </w:rPr>
            </w:pPr>
            <w:r>
              <w:rPr>
                <w:rFonts w:ascii="Arial" w:cs="Arial" w:eastAsia="Arial" w:hAnsi="Arial"/>
                <w:sz w:val="18"/>
                <w:szCs w:val="18"/>
                <w:color w:val="0000FF"/>
                <w:w w:val="97"/>
              </w:rPr>
              <w:t>Amendment of</w:t>
            </w:r>
          </w:p>
        </w:tc>
        <w:tc>
          <w:tcPr>
            <w:tcW w:w="1460" w:type="dxa"/>
            <w:vAlign w:val="bottom"/>
            <w:gridSpan w:val="36"/>
            <w:vMerge w:val="continue"/>
          </w:tcPr>
          <w:p>
            <w:pPr>
              <w:spacing w:after="0"/>
              <w:rPr>
                <w:sz w:val="13"/>
                <w:szCs w:val="13"/>
                <w:color w:val="auto"/>
              </w:rPr>
            </w:pPr>
          </w:p>
        </w:tc>
        <w:tc>
          <w:tcPr>
            <w:tcW w:w="4960" w:type="dxa"/>
            <w:vAlign w:val="bottom"/>
            <w:gridSpan w:val="12"/>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8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86"/>
              </w:rPr>
              <w:t>102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42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0" w:type="dxa"/>
            <w:vAlign w:val="bottom"/>
            <w:gridSpan w:val="7"/>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13</w:t>
            </w:r>
          </w:p>
        </w:tc>
        <w:tc>
          <w:tcPr>
            <w:tcW w:w="880" w:type="dxa"/>
            <w:vAlign w:val="bottom"/>
            <w:gridSpan w:val="4"/>
          </w:tcPr>
          <w:p>
            <w:pPr>
              <w:ind w:left="60"/>
              <w:spacing w:after="0" w:line="156" w:lineRule="exact"/>
              <w:rPr>
                <w:sz w:val="20"/>
                <w:szCs w:val="20"/>
                <w:color w:val="auto"/>
              </w:rPr>
            </w:pPr>
            <w:r>
              <w:rPr>
                <w:rFonts w:ascii="Arial" w:cs="Arial" w:eastAsia="Arial" w:hAnsi="Arial"/>
                <w:sz w:val="18"/>
                <w:szCs w:val="18"/>
                <w:color w:val="0000FF"/>
                <w:w w:val="88"/>
              </w:rPr>
              <w:t>Fiscal Year</w:t>
            </w:r>
          </w:p>
        </w:tc>
        <w:tc>
          <w:tcPr>
            <w:tcW w:w="1780" w:type="dxa"/>
            <w:vAlign w:val="bottom"/>
            <w:gridSpan w:val="38"/>
          </w:tcPr>
          <w:p>
            <w:pPr>
              <w:spacing w:after="0"/>
              <w:rPr>
                <w:sz w:val="13"/>
                <w:szCs w:val="13"/>
                <w:color w:val="auto"/>
              </w:rPr>
            </w:pPr>
          </w:p>
        </w:tc>
        <w:tc>
          <w:tcPr>
            <w:tcW w:w="2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200" w:type="dxa"/>
            <w:vAlign w:val="bottom"/>
            <w:gridSpan w:val="7"/>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8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86"/>
              </w:rPr>
              <w:t>102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260" w:type="dxa"/>
            <w:vAlign w:val="bottom"/>
            <w:tcBorders>
              <w:top w:val="single" w:sz="8" w:color="0000FF"/>
              <w:bottom w:val="single" w:sz="8" w:color="0000FF"/>
            </w:tcBorders>
            <w:gridSpan w:val="5"/>
          </w:tcPr>
          <w:p>
            <w:pPr>
              <w:spacing w:after="0" w:line="20" w:lineRule="exact"/>
              <w:rPr>
                <w:sz w:val="1"/>
                <w:szCs w:val="1"/>
                <w:color w:val="auto"/>
              </w:rPr>
            </w:pPr>
          </w:p>
        </w:tc>
        <w:tc>
          <w:tcPr>
            <w:tcW w:w="6760" w:type="dxa"/>
            <w:vAlign w:val="bottom"/>
            <w:gridSpan w:val="51"/>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14</w:t>
            </w:r>
          </w:p>
        </w:tc>
        <w:tc>
          <w:tcPr>
            <w:tcW w:w="3120" w:type="dxa"/>
            <w:vAlign w:val="bottom"/>
            <w:gridSpan w:val="47"/>
          </w:tcPr>
          <w:p>
            <w:pPr>
              <w:ind w:left="60"/>
              <w:spacing w:after="0" w:line="156" w:lineRule="exact"/>
              <w:rPr>
                <w:sz w:val="20"/>
                <w:szCs w:val="20"/>
                <w:color w:val="auto"/>
              </w:rPr>
            </w:pPr>
            <w:r>
              <w:rPr>
                <w:rFonts w:ascii="Arial" w:cs="Arial" w:eastAsia="Arial" w:hAnsi="Arial"/>
                <w:sz w:val="18"/>
                <w:szCs w:val="18"/>
                <w:color w:val="0000FF"/>
                <w:w w:val="90"/>
              </w:rPr>
              <w:t>Deposit Accounts; Credit Card Processors</w:t>
            </w:r>
          </w:p>
        </w:tc>
        <w:tc>
          <w:tcPr>
            <w:tcW w:w="4520" w:type="dxa"/>
            <w:vAlign w:val="bottom"/>
            <w:gridSpan w:val="8"/>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8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86"/>
              </w:rPr>
              <w:t>102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480" w:type="dxa"/>
            <w:vAlign w:val="bottom"/>
            <w:tcBorders>
              <w:top w:val="single" w:sz="8" w:color="0000FF"/>
              <w:bottom w:val="single" w:sz="8" w:color="0000FF"/>
            </w:tcBorders>
            <w:gridSpan w:val="47"/>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0" w:type="dxa"/>
            <w:vAlign w:val="bottom"/>
            <w:gridSpan w:val="7"/>
            <w:vMerge w:val="restart"/>
          </w:tcPr>
          <w:p>
            <w:pPr>
              <w:spacing w:after="0" w:line="20" w:lineRule="exact"/>
              <w:rPr>
                <w:sz w:val="1"/>
                <w:szCs w:val="1"/>
                <w:color w:val="auto"/>
              </w:rPr>
            </w:pPr>
          </w:p>
        </w:tc>
        <w:tc>
          <w:tcPr>
            <w:tcW w:w="22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15</w:t>
            </w:r>
          </w:p>
        </w:tc>
        <w:tc>
          <w:tcPr>
            <w:tcW w:w="1480" w:type="dxa"/>
            <w:vAlign w:val="bottom"/>
            <w:gridSpan w:val="13"/>
          </w:tcPr>
          <w:p>
            <w:pPr>
              <w:ind w:left="60"/>
              <w:spacing w:after="0" w:line="156" w:lineRule="exact"/>
              <w:rPr>
                <w:sz w:val="20"/>
                <w:szCs w:val="20"/>
                <w:color w:val="auto"/>
              </w:rPr>
            </w:pPr>
            <w:r>
              <w:rPr>
                <w:rFonts w:ascii="Arial" w:cs="Arial" w:eastAsia="Arial" w:hAnsi="Arial"/>
                <w:sz w:val="18"/>
                <w:szCs w:val="18"/>
                <w:color w:val="0000FF"/>
                <w:w w:val="90"/>
              </w:rPr>
              <w:t>Financial Covenant</w:t>
            </w:r>
          </w:p>
        </w:tc>
        <w:tc>
          <w:tcPr>
            <w:tcW w:w="1620" w:type="dxa"/>
            <w:vAlign w:val="bottom"/>
            <w:gridSpan w:val="33"/>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200" w:type="dxa"/>
            <w:vAlign w:val="bottom"/>
            <w:gridSpan w:val="7"/>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8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86"/>
              </w:rPr>
              <w:t>102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720" w:type="dxa"/>
            <w:vAlign w:val="bottom"/>
            <w:tcBorders>
              <w:top w:val="single" w:sz="8" w:color="0000FF"/>
            </w:tcBorders>
            <w:gridSpan w:val="9"/>
          </w:tcPr>
          <w:p>
            <w:pPr>
              <w:spacing w:after="0" w:line="20" w:lineRule="exact"/>
              <w:rPr>
                <w:sz w:val="1"/>
                <w:szCs w:val="1"/>
                <w:color w:val="auto"/>
              </w:rPr>
            </w:pPr>
          </w:p>
        </w:tc>
        <w:tc>
          <w:tcPr>
            <w:tcW w:w="140" w:type="dxa"/>
            <w:vAlign w:val="bottom"/>
            <w:tcBorders>
              <w:top w:val="single" w:sz="8" w:color="0000FF"/>
            </w:tcBorders>
            <w:gridSpan w:val="5"/>
          </w:tcPr>
          <w:p>
            <w:pPr>
              <w:spacing w:after="0" w:line="20" w:lineRule="exact"/>
              <w:rPr>
                <w:sz w:val="1"/>
                <w:szCs w:val="1"/>
                <w:color w:val="auto"/>
              </w:rPr>
            </w:pPr>
          </w:p>
        </w:tc>
        <w:tc>
          <w:tcPr>
            <w:tcW w:w="980" w:type="dxa"/>
            <w:vAlign w:val="bottom"/>
            <w:gridSpan w:val="2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80" w:type="dxa"/>
            <w:vAlign w:val="bottom"/>
            <w:gridSpan w:val="57"/>
          </w:tcPr>
          <w:p>
            <w:pPr>
              <w:spacing w:after="0"/>
              <w:rPr>
                <w:sz w:val="20"/>
                <w:szCs w:val="20"/>
                <w:color w:val="auto"/>
              </w:rPr>
            </w:pPr>
            <w:r>
              <w:rPr>
                <w:rFonts w:ascii="Arial" w:cs="Arial" w:eastAsia="Arial" w:hAnsi="Arial"/>
                <w:sz w:val="18"/>
                <w:szCs w:val="18"/>
                <w:color w:val="0000FF"/>
              </w:rPr>
              <w:t>ARTICLE VIII.  EVENTS OF DEFAULT AND REMEDIES</w:t>
            </w:r>
          </w:p>
        </w:tc>
        <w:tc>
          <w:tcPr>
            <w:tcW w:w="2580" w:type="dxa"/>
            <w:vAlign w:val="bottom"/>
            <w:gridSpan w:val="8"/>
          </w:tcPr>
          <w:p>
            <w:pPr>
              <w:jc w:val="right"/>
              <w:ind w:right="20"/>
              <w:spacing w:after="0"/>
              <w:rPr>
                <w:sz w:val="20"/>
                <w:szCs w:val="20"/>
                <w:color w:val="auto"/>
              </w:rPr>
            </w:pPr>
            <w:r>
              <w:rPr>
                <w:rFonts w:ascii="Arial" w:cs="Arial" w:eastAsia="Arial" w:hAnsi="Arial"/>
                <w:sz w:val="18"/>
                <w:szCs w:val="18"/>
                <w:color w:val="0000FF"/>
              </w:rPr>
              <w:t>102</w:t>
            </w:r>
          </w:p>
        </w:tc>
        <w:tc>
          <w:tcPr>
            <w:tcW w:w="0" w:type="dxa"/>
            <w:vAlign w:val="bottom"/>
          </w:tcPr>
          <w:p>
            <w:pPr>
              <w:spacing w:after="0"/>
              <w:rPr>
                <w:sz w:val="1"/>
                <w:szCs w:val="1"/>
                <w:color w:val="auto"/>
              </w:rPr>
            </w:pPr>
          </w:p>
        </w:tc>
      </w:tr>
      <w:tr>
        <w:trPr>
          <w:trHeight w:val="20"/>
        </w:trPr>
        <w:tc>
          <w:tcPr>
            <w:tcW w:w="4480" w:type="dxa"/>
            <w:vAlign w:val="bottom"/>
            <w:tcBorders>
              <w:top w:val="single" w:sz="8" w:color="0000FF"/>
              <w:bottom w:val="single" w:sz="8" w:color="0000FF"/>
            </w:tcBorders>
            <w:gridSpan w:val="50"/>
          </w:tcPr>
          <w:p>
            <w:pPr>
              <w:spacing w:after="0" w:line="20" w:lineRule="exact"/>
              <w:rPr>
                <w:sz w:val="1"/>
                <w:szCs w:val="1"/>
                <w:color w:val="auto"/>
              </w:rPr>
            </w:pPr>
          </w:p>
        </w:tc>
        <w:tc>
          <w:tcPr>
            <w:tcW w:w="6480" w:type="dxa"/>
            <w:vAlign w:val="bottom"/>
            <w:gridSpan w:val="9"/>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2"/>
          </w:tcPr>
          <w:p>
            <w:pPr>
              <w:jc w:val="right"/>
              <w:spacing w:after="0"/>
              <w:rPr>
                <w:sz w:val="20"/>
                <w:szCs w:val="20"/>
                <w:color w:val="auto"/>
              </w:rPr>
            </w:pPr>
            <w:r>
              <w:rPr>
                <w:rFonts w:ascii="Arial" w:cs="Arial" w:eastAsia="Arial" w:hAnsi="Arial"/>
                <w:sz w:val="18"/>
                <w:szCs w:val="18"/>
                <w:color w:val="0000FF"/>
              </w:rPr>
              <w:t>8.</w:t>
            </w:r>
            <w:r>
              <w:rPr>
                <w:rFonts w:ascii="Arial" w:cs="Arial" w:eastAsia="Arial" w:hAnsi="Arial"/>
                <w:sz w:val="18"/>
                <w:szCs w:val="18"/>
                <w:u w:val="single" w:color="auto"/>
                <w:color w:val="0000FF"/>
              </w:rPr>
              <w:t>01</w:t>
            </w:r>
          </w:p>
        </w:tc>
        <w:tc>
          <w:tcPr>
            <w:tcW w:w="7640" w:type="dxa"/>
            <w:vAlign w:val="bottom"/>
            <w:gridSpan w:val="55"/>
          </w:tcPr>
          <w:p>
            <w:pPr>
              <w:ind w:left="60"/>
              <w:spacing w:after="0"/>
              <w:rPr>
                <w:sz w:val="20"/>
                <w:szCs w:val="20"/>
                <w:color w:val="auto"/>
              </w:rPr>
            </w:pPr>
            <w:r>
              <w:rPr>
                <w:rFonts w:ascii="Arial" w:cs="Arial" w:eastAsia="Arial" w:hAnsi="Arial"/>
                <w:sz w:val="18"/>
                <w:szCs w:val="18"/>
                <w:color w:val="0000FF"/>
              </w:rPr>
              <w:t>Events of Default</w:t>
            </w:r>
          </w:p>
        </w:tc>
        <w:tc>
          <w:tcPr>
            <w:tcW w:w="2580" w:type="dxa"/>
            <w:vAlign w:val="bottom"/>
            <w:gridSpan w:val="8"/>
          </w:tcPr>
          <w:p>
            <w:pPr>
              <w:jc w:val="right"/>
              <w:ind w:right="20"/>
              <w:spacing w:after="0"/>
              <w:rPr>
                <w:sz w:val="20"/>
                <w:szCs w:val="20"/>
                <w:color w:val="auto"/>
              </w:rPr>
            </w:pPr>
            <w:r>
              <w:rPr>
                <w:rFonts w:ascii="Arial" w:cs="Arial" w:eastAsia="Arial" w:hAnsi="Arial"/>
                <w:sz w:val="18"/>
                <w:szCs w:val="18"/>
                <w:color w:val="0000FF"/>
              </w:rPr>
              <w:t>102</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6300" w:type="dxa"/>
            <w:vAlign w:val="bottom"/>
            <w:gridSpan w:val="47"/>
            <w:vMerge w:val="restart"/>
          </w:tcPr>
          <w:p>
            <w:pPr>
              <w:jc w:val="right"/>
              <w:ind w:right="5101"/>
              <w:spacing w:after="0" w:line="196" w:lineRule="exact"/>
              <w:rPr>
                <w:sz w:val="20"/>
                <w:szCs w:val="20"/>
                <w:color w:val="auto"/>
              </w:rPr>
            </w:pPr>
            <w:r>
              <w:rPr>
                <w:rFonts w:ascii="Arial" w:cs="Arial" w:eastAsia="Arial" w:hAnsi="Arial"/>
                <w:sz w:val="18"/>
                <w:szCs w:val="18"/>
                <w:color w:val="0000FF"/>
                <w:w w:val="85"/>
              </w:rPr>
              <w:t>Event of Default</w:t>
            </w:r>
          </w:p>
        </w:tc>
        <w:tc>
          <w:tcPr>
            <w:tcW w:w="22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0000FF"/>
                <w:w w:val="85"/>
              </w:rPr>
              <w:t>8.</w:t>
            </w:r>
            <w:r>
              <w:rPr>
                <w:rFonts w:ascii="Arial" w:cs="Arial" w:eastAsia="Arial" w:hAnsi="Arial"/>
                <w:sz w:val="18"/>
                <w:szCs w:val="18"/>
                <w:u w:val="single" w:color="auto"/>
                <w:color w:val="0000FF"/>
                <w:w w:val="85"/>
              </w:rPr>
              <w:t>02</w:t>
            </w:r>
          </w:p>
        </w:tc>
        <w:tc>
          <w:tcPr>
            <w:tcW w:w="1340" w:type="dxa"/>
            <w:vAlign w:val="bottom"/>
            <w:gridSpan w:val="8"/>
          </w:tcPr>
          <w:p>
            <w:pPr>
              <w:ind w:left="60"/>
              <w:spacing w:after="0" w:line="156" w:lineRule="exact"/>
              <w:rPr>
                <w:sz w:val="20"/>
                <w:szCs w:val="20"/>
                <w:color w:val="auto"/>
              </w:rPr>
            </w:pPr>
            <w:r>
              <w:rPr>
                <w:rFonts w:ascii="Arial" w:cs="Arial" w:eastAsia="Arial" w:hAnsi="Arial"/>
                <w:sz w:val="18"/>
                <w:szCs w:val="18"/>
                <w:color w:val="0000FF"/>
                <w:w w:val="97"/>
              </w:rPr>
              <w:t>Remedies Upon</w:t>
            </w:r>
          </w:p>
        </w:tc>
        <w:tc>
          <w:tcPr>
            <w:tcW w:w="6300" w:type="dxa"/>
            <w:vAlign w:val="bottom"/>
            <w:gridSpan w:val="47"/>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8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86"/>
              </w:rPr>
              <w:t>106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60" w:type="dxa"/>
            <w:vAlign w:val="bottom"/>
            <w:tcBorders>
              <w:top w:val="single" w:sz="8" w:color="0000FF"/>
              <w:bottom w:val="single" w:sz="8" w:color="0000FF"/>
            </w:tcBorders>
            <w:gridSpan w:val="41"/>
          </w:tcPr>
          <w:p>
            <w:pPr>
              <w:spacing w:after="0" w:line="20" w:lineRule="exact"/>
              <w:rPr>
                <w:sz w:val="1"/>
                <w:szCs w:val="1"/>
                <w:color w:val="auto"/>
              </w:rPr>
            </w:pPr>
          </w:p>
        </w:tc>
        <w:tc>
          <w:tcPr>
            <w:tcW w:w="7440" w:type="dxa"/>
            <w:vAlign w:val="bottom"/>
            <w:gridSpan w:val="17"/>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r>
        <w:rPr>
          <w:rFonts w:ascii="Arial" w:cs="Arial" w:eastAsia="Arial" w:hAnsi="Arial"/>
          <w:sz w:val="18"/>
          <w:szCs w:val="18"/>
          <w:color w:val="FF0000"/>
          <w:strike w:val="1"/>
        </w:rPr>
        <w:t>vii</w:t>
      </w: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5"/>
          </w:tcPr>
          <w:p>
            <w:pPr>
              <w:jc w:val="right"/>
              <w:ind w:right="16"/>
              <w:spacing w:after="0"/>
              <w:rPr>
                <w:sz w:val="20"/>
                <w:szCs w:val="20"/>
                <w:color w:val="auto"/>
              </w:rPr>
            </w:pPr>
            <w:r>
              <w:rPr>
                <w:rFonts w:ascii="Arial" w:cs="Arial" w:eastAsia="Arial" w:hAnsi="Arial"/>
                <w:sz w:val="18"/>
                <w:szCs w:val="18"/>
                <w:b w:val="1"/>
                <w:bCs w:val="1"/>
                <w:color w:val="FF0000"/>
                <w:strike w:val="1"/>
                <w:w w:val="83"/>
              </w:rPr>
              <w:t>Page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060" w:type="dxa"/>
            <w:vAlign w:val="bottom"/>
            <w:gridSpan w:val="2"/>
          </w:tcPr>
          <w:p>
            <w:pPr>
              <w:jc w:val="right"/>
              <w:spacing w:after="0"/>
              <w:rPr>
                <w:sz w:val="20"/>
                <w:szCs w:val="20"/>
                <w:color w:val="auto"/>
              </w:rPr>
            </w:pPr>
            <w:r>
              <w:rPr>
                <w:rFonts w:ascii="Arial" w:cs="Arial" w:eastAsia="Arial" w:hAnsi="Arial"/>
                <w:sz w:val="18"/>
                <w:szCs w:val="18"/>
                <w:color w:val="0000FF"/>
              </w:rPr>
              <w:t>8.</w:t>
            </w:r>
            <w:r>
              <w:rPr>
                <w:rFonts w:ascii="Arial" w:cs="Arial" w:eastAsia="Arial" w:hAnsi="Arial"/>
                <w:sz w:val="18"/>
                <w:szCs w:val="18"/>
                <w:u w:val="single" w:color="auto"/>
                <w:color w:val="0000FF"/>
              </w:rPr>
              <w:t>03</w:t>
            </w:r>
          </w:p>
        </w:tc>
        <w:tc>
          <w:tcPr>
            <w:tcW w:w="4920" w:type="dxa"/>
            <w:vAlign w:val="bottom"/>
            <w:gridSpan w:val="31"/>
          </w:tcPr>
          <w:p>
            <w:pPr>
              <w:ind w:left="40"/>
              <w:spacing w:after="0"/>
              <w:rPr>
                <w:sz w:val="20"/>
                <w:szCs w:val="20"/>
                <w:color w:val="auto"/>
              </w:rPr>
            </w:pPr>
            <w:r>
              <w:rPr>
                <w:rFonts w:ascii="Arial" w:cs="Arial" w:eastAsia="Arial" w:hAnsi="Arial"/>
                <w:sz w:val="18"/>
                <w:szCs w:val="18"/>
                <w:color w:val="0000FF"/>
              </w:rPr>
              <w:t>Application of Funds</w:t>
            </w:r>
          </w:p>
        </w:tc>
        <w:tc>
          <w:tcPr>
            <w:tcW w:w="5280" w:type="dxa"/>
            <w:vAlign w:val="bottom"/>
            <w:gridSpan w:val="7"/>
          </w:tcPr>
          <w:p>
            <w:pPr>
              <w:jc w:val="right"/>
              <w:ind w:right="20"/>
              <w:spacing w:after="0"/>
              <w:rPr>
                <w:sz w:val="20"/>
                <w:szCs w:val="20"/>
                <w:color w:val="auto"/>
              </w:rPr>
            </w:pPr>
            <w:r>
              <w:rPr>
                <w:rFonts w:ascii="Arial" w:cs="Arial" w:eastAsia="Arial" w:hAnsi="Arial"/>
                <w:sz w:val="18"/>
                <w:szCs w:val="18"/>
                <w:color w:val="0000FF"/>
              </w:rPr>
              <w:t>106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tcPr>
          <w:p>
            <w:pPr>
              <w:jc w:val="right"/>
              <w:spacing w:after="0"/>
              <w:rPr>
                <w:sz w:val="20"/>
                <w:szCs w:val="20"/>
                <w:color w:val="auto"/>
              </w:rPr>
            </w:pPr>
            <w:r>
              <w:rPr>
                <w:rFonts w:ascii="Arial" w:cs="Arial" w:eastAsia="Arial" w:hAnsi="Arial"/>
                <w:sz w:val="18"/>
                <w:szCs w:val="18"/>
                <w:color w:val="0000FF"/>
                <w:w w:val="98"/>
              </w:rPr>
              <w:t>ARTICLE IX.</w:t>
            </w:r>
          </w:p>
        </w:tc>
        <w:tc>
          <w:tcPr>
            <w:tcW w:w="4920" w:type="dxa"/>
            <w:vAlign w:val="bottom"/>
            <w:gridSpan w:val="31"/>
          </w:tcPr>
          <w:p>
            <w:pPr>
              <w:ind w:left="120"/>
              <w:spacing w:after="0"/>
              <w:rPr>
                <w:sz w:val="20"/>
                <w:szCs w:val="20"/>
                <w:color w:val="auto"/>
              </w:rPr>
            </w:pPr>
            <w:r>
              <w:rPr>
                <w:rFonts w:ascii="Arial" w:cs="Arial" w:eastAsia="Arial" w:hAnsi="Arial"/>
                <w:sz w:val="18"/>
                <w:szCs w:val="18"/>
                <w:color w:val="0000FF"/>
              </w:rPr>
              <w:t>MISCELLANEOUS</w:t>
            </w:r>
          </w:p>
        </w:tc>
        <w:tc>
          <w:tcPr>
            <w:tcW w:w="5280" w:type="dxa"/>
            <w:vAlign w:val="bottom"/>
            <w:gridSpan w:val="7"/>
          </w:tcPr>
          <w:p>
            <w:pPr>
              <w:jc w:val="right"/>
              <w:ind w:right="20"/>
              <w:spacing w:after="0"/>
              <w:rPr>
                <w:sz w:val="20"/>
                <w:szCs w:val="20"/>
                <w:color w:val="auto"/>
              </w:rPr>
            </w:pPr>
            <w:r>
              <w:rPr>
                <w:rFonts w:ascii="Arial" w:cs="Arial" w:eastAsia="Arial" w:hAnsi="Arial"/>
                <w:sz w:val="18"/>
                <w:szCs w:val="18"/>
                <w:color w:val="0000FF"/>
              </w:rPr>
              <w:t>108</w:t>
            </w:r>
          </w:p>
        </w:tc>
        <w:tc>
          <w:tcPr>
            <w:tcW w:w="0" w:type="dxa"/>
            <w:vAlign w:val="bottom"/>
          </w:tcPr>
          <w:p>
            <w:pPr>
              <w:spacing w:after="0"/>
              <w:rPr>
                <w:sz w:val="1"/>
                <w:szCs w:val="1"/>
                <w:color w:val="auto"/>
              </w:rPr>
            </w:pPr>
          </w:p>
        </w:tc>
      </w:tr>
      <w:tr>
        <w:trPr>
          <w:trHeight w:val="20"/>
        </w:trPr>
        <w:tc>
          <w:tcPr>
            <w:tcW w:w="66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tcPr>
          <w:p>
            <w:pPr>
              <w:jc w:val="right"/>
              <w:spacing w:after="0"/>
              <w:rPr>
                <w:sz w:val="20"/>
                <w:szCs w:val="20"/>
                <w:color w:val="auto"/>
              </w:rPr>
            </w:pPr>
            <w:r>
              <w:rPr>
                <w:rFonts w:ascii="Arial" w:cs="Arial" w:eastAsia="Arial" w:hAnsi="Arial"/>
                <w:sz w:val="18"/>
                <w:szCs w:val="18"/>
                <w:color w:val="0000FF"/>
              </w:rPr>
              <w:t>9.</w:t>
            </w:r>
            <w:r>
              <w:rPr>
                <w:rFonts w:ascii="Arial" w:cs="Arial" w:eastAsia="Arial" w:hAnsi="Arial"/>
                <w:sz w:val="18"/>
                <w:szCs w:val="18"/>
                <w:u w:val="single" w:color="auto"/>
                <w:color w:val="0000FF"/>
              </w:rPr>
              <w:t>01</w:t>
            </w:r>
          </w:p>
        </w:tc>
        <w:tc>
          <w:tcPr>
            <w:tcW w:w="4920" w:type="dxa"/>
            <w:vAlign w:val="bottom"/>
            <w:gridSpan w:val="31"/>
          </w:tcPr>
          <w:p>
            <w:pPr>
              <w:ind w:left="40"/>
              <w:spacing w:after="0"/>
              <w:rPr>
                <w:sz w:val="20"/>
                <w:szCs w:val="20"/>
                <w:color w:val="auto"/>
              </w:rPr>
            </w:pPr>
            <w:r>
              <w:rPr>
                <w:rFonts w:ascii="Arial" w:cs="Arial" w:eastAsia="Arial" w:hAnsi="Arial"/>
                <w:sz w:val="18"/>
                <w:szCs w:val="18"/>
                <w:color w:val="0000FF"/>
              </w:rPr>
              <w:t>Amendments, Etc</w:t>
            </w:r>
          </w:p>
        </w:tc>
        <w:tc>
          <w:tcPr>
            <w:tcW w:w="5280" w:type="dxa"/>
            <w:vAlign w:val="bottom"/>
            <w:gridSpan w:val="7"/>
          </w:tcPr>
          <w:p>
            <w:pPr>
              <w:jc w:val="right"/>
              <w:ind w:right="20"/>
              <w:spacing w:after="0"/>
              <w:rPr>
                <w:sz w:val="20"/>
                <w:szCs w:val="20"/>
                <w:color w:val="auto"/>
              </w:rPr>
            </w:pPr>
            <w:r>
              <w:rPr>
                <w:rFonts w:ascii="Arial" w:cs="Arial" w:eastAsia="Arial" w:hAnsi="Arial"/>
                <w:sz w:val="18"/>
                <w:szCs w:val="18"/>
                <w:color w:val="0000FF"/>
              </w:rPr>
              <w:t>108</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02</w:t>
            </w:r>
          </w:p>
        </w:tc>
        <w:tc>
          <w:tcPr>
            <w:tcW w:w="3820" w:type="dxa"/>
            <w:vAlign w:val="bottom"/>
            <w:gridSpan w:val="30"/>
          </w:tcPr>
          <w:p>
            <w:pPr>
              <w:ind w:left="40"/>
              <w:spacing w:after="0" w:line="156" w:lineRule="exact"/>
              <w:rPr>
                <w:sz w:val="20"/>
                <w:szCs w:val="20"/>
                <w:color w:val="auto"/>
              </w:rPr>
            </w:pPr>
            <w:r>
              <w:rPr>
                <w:rFonts w:ascii="Arial" w:cs="Arial" w:eastAsia="Arial" w:hAnsi="Arial"/>
                <w:sz w:val="18"/>
                <w:szCs w:val="18"/>
                <w:color w:val="0000FF"/>
                <w:w w:val="91"/>
              </w:rPr>
              <w:t>Notices; Effectiveness; Electronic Communications.</w:t>
            </w:r>
          </w:p>
        </w:tc>
        <w:tc>
          <w:tcPr>
            <w:tcW w:w="1100" w:type="dxa"/>
            <w:vAlign w:val="bottom"/>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280" w:type="dxa"/>
            <w:vAlign w:val="bottom"/>
            <w:gridSpan w:val="4"/>
          </w:tcPr>
          <w:p>
            <w:pPr>
              <w:jc w:val="right"/>
              <w:spacing w:after="0" w:line="156" w:lineRule="exact"/>
              <w:rPr>
                <w:sz w:val="20"/>
                <w:szCs w:val="20"/>
                <w:color w:val="auto"/>
              </w:rPr>
            </w:pPr>
            <w:r>
              <w:rPr>
                <w:rFonts w:ascii="Arial" w:cs="Arial" w:eastAsia="Arial" w:hAnsi="Arial"/>
                <w:sz w:val="18"/>
                <w:szCs w:val="18"/>
                <w:color w:val="0000FF"/>
                <w:w w:val="86"/>
              </w:rPr>
              <w:t>108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49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03</w:t>
            </w:r>
          </w:p>
        </w:tc>
        <w:tc>
          <w:tcPr>
            <w:tcW w:w="2520" w:type="dxa"/>
            <w:vAlign w:val="bottom"/>
            <w:gridSpan w:val="22"/>
          </w:tcPr>
          <w:p>
            <w:pPr>
              <w:ind w:left="40"/>
              <w:spacing w:after="0" w:line="156" w:lineRule="exact"/>
              <w:rPr>
                <w:sz w:val="20"/>
                <w:szCs w:val="20"/>
                <w:color w:val="auto"/>
              </w:rPr>
            </w:pPr>
            <w:r>
              <w:rPr>
                <w:rFonts w:ascii="Arial" w:cs="Arial" w:eastAsia="Arial" w:hAnsi="Arial"/>
                <w:sz w:val="18"/>
                <w:szCs w:val="18"/>
                <w:color w:val="0000FF"/>
                <w:w w:val="91"/>
              </w:rPr>
              <w:t>No Waiver; Cumulative Remedies</w:t>
            </w:r>
          </w:p>
        </w:tc>
        <w:tc>
          <w:tcPr>
            <w:tcW w:w="1280" w:type="dxa"/>
            <w:vAlign w:val="bottom"/>
            <w:gridSpan w:val="7"/>
          </w:tcPr>
          <w:p>
            <w:pPr>
              <w:spacing w:after="0"/>
              <w:rPr>
                <w:sz w:val="13"/>
                <w:szCs w:val="13"/>
                <w:color w:val="auto"/>
              </w:rPr>
            </w:pPr>
          </w:p>
        </w:tc>
        <w:tc>
          <w:tcPr>
            <w:tcW w:w="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280" w:type="dxa"/>
            <w:vAlign w:val="bottom"/>
            <w:gridSpan w:val="4"/>
          </w:tcPr>
          <w:p>
            <w:pPr>
              <w:jc w:val="right"/>
              <w:spacing w:after="0" w:line="156" w:lineRule="exact"/>
              <w:rPr>
                <w:sz w:val="20"/>
                <w:szCs w:val="20"/>
                <w:color w:val="auto"/>
              </w:rPr>
            </w:pPr>
            <w:r>
              <w:rPr>
                <w:rFonts w:ascii="Arial" w:cs="Arial" w:eastAsia="Arial" w:hAnsi="Arial"/>
                <w:sz w:val="18"/>
                <w:szCs w:val="18"/>
                <w:color w:val="0000FF"/>
                <w:w w:val="86"/>
              </w:rPr>
              <w:t>109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04</w:t>
            </w:r>
          </w:p>
        </w:tc>
        <w:tc>
          <w:tcPr>
            <w:tcW w:w="4920" w:type="dxa"/>
            <w:vAlign w:val="bottom"/>
            <w:gridSpan w:val="31"/>
          </w:tcPr>
          <w:p>
            <w:pPr>
              <w:ind w:left="40"/>
              <w:spacing w:after="0" w:line="156" w:lineRule="exact"/>
              <w:rPr>
                <w:sz w:val="20"/>
                <w:szCs w:val="20"/>
                <w:color w:val="auto"/>
              </w:rPr>
            </w:pPr>
            <w:r>
              <w:rPr>
                <w:rFonts w:ascii="Arial" w:cs="Arial" w:eastAsia="Arial" w:hAnsi="Arial"/>
                <w:sz w:val="18"/>
                <w:szCs w:val="18"/>
                <w:color w:val="0000FF"/>
              </w:rPr>
              <w:t>Expenses; Indemnity; Damage Waiver.</w:t>
            </w:r>
          </w:p>
        </w:tc>
        <w:tc>
          <w:tcPr>
            <w:tcW w:w="4980" w:type="dxa"/>
            <w:vAlign w:val="bottom"/>
            <w:gridSpan w:val="2"/>
            <w:vMerge w:val="continue"/>
          </w:tcPr>
          <w:p>
            <w:pPr>
              <w:spacing w:after="0"/>
              <w:rPr>
                <w:sz w:val="13"/>
                <w:szCs w:val="13"/>
                <w:color w:val="auto"/>
              </w:rPr>
            </w:pPr>
          </w:p>
        </w:tc>
        <w:tc>
          <w:tcPr>
            <w:tcW w:w="280" w:type="dxa"/>
            <w:vAlign w:val="bottom"/>
            <w:gridSpan w:val="4"/>
          </w:tcPr>
          <w:p>
            <w:pPr>
              <w:jc w:val="right"/>
              <w:spacing w:after="0" w:line="156" w:lineRule="exact"/>
              <w:rPr>
                <w:sz w:val="20"/>
                <w:szCs w:val="20"/>
                <w:color w:val="auto"/>
              </w:rPr>
            </w:pPr>
            <w:r>
              <w:rPr>
                <w:rFonts w:ascii="Arial" w:cs="Arial" w:eastAsia="Arial" w:hAnsi="Arial"/>
                <w:sz w:val="18"/>
                <w:szCs w:val="18"/>
                <w:color w:val="0000FF"/>
                <w:w w:val="86"/>
              </w:rPr>
              <w:t>109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49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05</w:t>
            </w:r>
          </w:p>
        </w:tc>
        <w:tc>
          <w:tcPr>
            <w:tcW w:w="2840" w:type="dxa"/>
            <w:vAlign w:val="bottom"/>
            <w:gridSpan w:val="23"/>
          </w:tcPr>
          <w:p>
            <w:pPr>
              <w:ind w:left="40"/>
              <w:spacing w:after="0" w:line="156" w:lineRule="exact"/>
              <w:rPr>
                <w:sz w:val="20"/>
                <w:szCs w:val="20"/>
                <w:color w:val="auto"/>
              </w:rPr>
            </w:pPr>
            <w:r>
              <w:rPr>
                <w:rFonts w:ascii="Arial" w:cs="Arial" w:eastAsia="Arial" w:hAnsi="Arial"/>
                <w:sz w:val="18"/>
                <w:szCs w:val="18"/>
                <w:color w:val="0000FF"/>
              </w:rPr>
              <w:t>Payments Set Aside</w:t>
            </w: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280" w:type="dxa"/>
            <w:vAlign w:val="bottom"/>
            <w:gridSpan w:val="4"/>
          </w:tcPr>
          <w:p>
            <w:pPr>
              <w:jc w:val="right"/>
              <w:spacing w:after="0" w:line="156" w:lineRule="exact"/>
              <w:rPr>
                <w:sz w:val="20"/>
                <w:szCs w:val="20"/>
                <w:color w:val="auto"/>
              </w:rPr>
            </w:pPr>
            <w:r>
              <w:rPr>
                <w:rFonts w:ascii="Arial" w:cs="Arial" w:eastAsia="Arial" w:hAnsi="Arial"/>
                <w:sz w:val="18"/>
                <w:szCs w:val="18"/>
                <w:color w:val="0000FF"/>
                <w:w w:val="86"/>
              </w:rPr>
              <w:t>111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06</w:t>
            </w:r>
          </w:p>
        </w:tc>
        <w:tc>
          <w:tcPr>
            <w:tcW w:w="4920" w:type="dxa"/>
            <w:vAlign w:val="bottom"/>
            <w:gridSpan w:val="31"/>
          </w:tcPr>
          <w:p>
            <w:pPr>
              <w:ind w:left="40"/>
              <w:spacing w:after="0" w:line="156" w:lineRule="exact"/>
              <w:rPr>
                <w:sz w:val="20"/>
                <w:szCs w:val="20"/>
                <w:color w:val="auto"/>
              </w:rPr>
            </w:pPr>
            <w:r>
              <w:rPr>
                <w:rFonts w:ascii="Arial" w:cs="Arial" w:eastAsia="Arial" w:hAnsi="Arial"/>
                <w:sz w:val="18"/>
                <w:szCs w:val="18"/>
                <w:color w:val="0000FF"/>
              </w:rPr>
              <w:t>Successors and Assigns.</w:t>
            </w:r>
          </w:p>
        </w:tc>
        <w:tc>
          <w:tcPr>
            <w:tcW w:w="502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7"/>
                <w:szCs w:val="17"/>
                <w:color w:val="0000FF"/>
                <w:w w:val="70"/>
              </w:rPr>
              <w:t>111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120" w:type="dxa"/>
            <w:vAlign w:val="bottom"/>
            <w:gridSpan w:val="13"/>
            <w:vMerge w:val="restart"/>
          </w:tcPr>
          <w:p>
            <w:pPr>
              <w:spacing w:after="0" w:line="196" w:lineRule="exact"/>
              <w:rPr>
                <w:sz w:val="20"/>
                <w:szCs w:val="20"/>
                <w:color w:val="auto"/>
              </w:rPr>
            </w:pPr>
            <w:r>
              <w:rPr>
                <w:rFonts w:ascii="Arial" w:cs="Arial" w:eastAsia="Arial" w:hAnsi="Arial"/>
                <w:sz w:val="18"/>
                <w:szCs w:val="18"/>
                <w:color w:val="0000FF"/>
              </w:rPr>
              <w:t>Information; Confidentiality</w:t>
            </w:r>
          </w:p>
        </w:tc>
        <w:tc>
          <w:tcPr>
            <w:tcW w:w="50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07</w:t>
            </w:r>
          </w:p>
        </w:tc>
        <w:tc>
          <w:tcPr>
            <w:tcW w:w="1800" w:type="dxa"/>
            <w:vAlign w:val="bottom"/>
            <w:gridSpan w:val="18"/>
          </w:tcPr>
          <w:p>
            <w:pPr>
              <w:ind w:left="40"/>
              <w:spacing w:after="0" w:line="156" w:lineRule="exact"/>
              <w:rPr>
                <w:sz w:val="20"/>
                <w:szCs w:val="20"/>
                <w:color w:val="auto"/>
              </w:rPr>
            </w:pPr>
            <w:r>
              <w:rPr>
                <w:rFonts w:ascii="Arial" w:cs="Arial" w:eastAsia="Arial" w:hAnsi="Arial"/>
                <w:sz w:val="18"/>
                <w:szCs w:val="18"/>
                <w:color w:val="0000FF"/>
              </w:rPr>
              <w:t>Treatment of Certain</w:t>
            </w:r>
          </w:p>
        </w:tc>
        <w:tc>
          <w:tcPr>
            <w:tcW w:w="3120" w:type="dxa"/>
            <w:vAlign w:val="bottom"/>
            <w:gridSpan w:val="13"/>
            <w:vMerge w:val="continue"/>
          </w:tcPr>
          <w:p>
            <w:pPr>
              <w:spacing w:after="0"/>
              <w:rPr>
                <w:sz w:val="13"/>
                <w:szCs w:val="13"/>
                <w:color w:val="auto"/>
              </w:rPr>
            </w:pPr>
          </w:p>
        </w:tc>
        <w:tc>
          <w:tcPr>
            <w:tcW w:w="502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7"/>
                <w:szCs w:val="17"/>
                <w:color w:val="0000FF"/>
                <w:w w:val="70"/>
              </w:rPr>
              <w:t>113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5020" w:type="dxa"/>
            <w:vAlign w:val="bottom"/>
            <w:gridSpan w:val="4"/>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08</w:t>
            </w:r>
          </w:p>
        </w:tc>
        <w:tc>
          <w:tcPr>
            <w:tcW w:w="3640" w:type="dxa"/>
            <w:vAlign w:val="bottom"/>
            <w:gridSpan w:val="27"/>
          </w:tcPr>
          <w:p>
            <w:pPr>
              <w:ind w:left="40"/>
              <w:spacing w:after="0" w:line="156" w:lineRule="exact"/>
              <w:rPr>
                <w:sz w:val="20"/>
                <w:szCs w:val="20"/>
                <w:color w:val="auto"/>
              </w:rPr>
            </w:pPr>
            <w:r>
              <w:rPr>
                <w:rFonts w:ascii="Arial" w:cs="Arial" w:eastAsia="Arial" w:hAnsi="Arial"/>
                <w:sz w:val="18"/>
                <w:szCs w:val="18"/>
                <w:color w:val="0000FF"/>
              </w:rPr>
              <w:t>Right of Setoff</w:t>
            </w: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502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7"/>
                <w:szCs w:val="17"/>
                <w:color w:val="0000FF"/>
                <w:w w:val="70"/>
              </w:rPr>
              <w:t>114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3800" w:type="dxa"/>
            <w:vAlign w:val="bottom"/>
            <w:gridSpan w:val="24"/>
            <w:vMerge w:val="restart"/>
          </w:tcPr>
          <w:p>
            <w:pPr>
              <w:spacing w:after="0" w:line="196" w:lineRule="exact"/>
              <w:rPr>
                <w:sz w:val="20"/>
                <w:szCs w:val="20"/>
                <w:color w:val="auto"/>
              </w:rPr>
            </w:pPr>
            <w:r>
              <w:rPr>
                <w:rFonts w:ascii="Arial" w:cs="Arial" w:eastAsia="Arial" w:hAnsi="Arial"/>
                <w:sz w:val="18"/>
                <w:szCs w:val="18"/>
                <w:color w:val="0000FF"/>
              </w:rPr>
              <w:t>Limitation</w:t>
            </w:r>
          </w:p>
        </w:tc>
        <w:tc>
          <w:tcPr>
            <w:tcW w:w="5020" w:type="dxa"/>
            <w:vAlign w:val="bottom"/>
            <w:gridSpan w:val="4"/>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09</w:t>
            </w:r>
          </w:p>
        </w:tc>
        <w:tc>
          <w:tcPr>
            <w:tcW w:w="1120" w:type="dxa"/>
            <w:vAlign w:val="bottom"/>
            <w:gridSpan w:val="7"/>
          </w:tcPr>
          <w:p>
            <w:pPr>
              <w:ind w:left="40"/>
              <w:spacing w:after="0" w:line="156" w:lineRule="exact"/>
              <w:rPr>
                <w:sz w:val="20"/>
                <w:szCs w:val="20"/>
                <w:color w:val="auto"/>
              </w:rPr>
            </w:pPr>
            <w:r>
              <w:rPr>
                <w:rFonts w:ascii="Arial" w:cs="Arial" w:eastAsia="Arial" w:hAnsi="Arial"/>
                <w:sz w:val="18"/>
                <w:szCs w:val="18"/>
                <w:color w:val="0000FF"/>
              </w:rPr>
              <w:t>Interest Rate</w:t>
            </w:r>
          </w:p>
        </w:tc>
        <w:tc>
          <w:tcPr>
            <w:tcW w:w="3800" w:type="dxa"/>
            <w:vAlign w:val="bottom"/>
            <w:gridSpan w:val="24"/>
            <w:vMerge w:val="continue"/>
          </w:tcPr>
          <w:p>
            <w:pPr>
              <w:spacing w:after="0"/>
              <w:rPr>
                <w:sz w:val="13"/>
                <w:szCs w:val="13"/>
                <w:color w:val="auto"/>
              </w:rPr>
            </w:pPr>
          </w:p>
        </w:tc>
        <w:tc>
          <w:tcPr>
            <w:tcW w:w="502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7"/>
                <w:szCs w:val="17"/>
                <w:color w:val="0000FF"/>
                <w:w w:val="70"/>
              </w:rPr>
              <w:t>114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180" w:type="dxa"/>
            <w:vAlign w:val="bottom"/>
            <w:gridSpan w:val="8"/>
            <w:vMerge w:val="restart"/>
          </w:tcPr>
          <w:p>
            <w:pPr>
              <w:ind w:left="200"/>
              <w:spacing w:after="0" w:line="196" w:lineRule="exact"/>
              <w:rPr>
                <w:sz w:val="20"/>
                <w:szCs w:val="20"/>
                <w:color w:val="auto"/>
              </w:rPr>
            </w:pPr>
            <w:r>
              <w:rPr>
                <w:rFonts w:ascii="Arial" w:cs="Arial" w:eastAsia="Arial" w:hAnsi="Arial"/>
                <w:sz w:val="18"/>
                <w:szCs w:val="18"/>
                <w:color w:val="0000FF"/>
                <w:w w:val="89"/>
              </w:rPr>
              <w:t>Effectiveness</w:t>
            </w:r>
          </w:p>
        </w:tc>
        <w:tc>
          <w:tcPr>
            <w:tcW w:w="1980" w:type="dxa"/>
            <w:vAlign w:val="bottom"/>
            <w:gridSpan w:val="6"/>
            <w:vMerge w:val="restart"/>
          </w:tcPr>
          <w:p>
            <w:pPr>
              <w:spacing w:after="0" w:line="20" w:lineRule="exact"/>
              <w:rPr>
                <w:sz w:val="1"/>
                <w:szCs w:val="1"/>
                <w:color w:val="auto"/>
              </w:rPr>
            </w:pPr>
          </w:p>
        </w:tc>
        <w:tc>
          <w:tcPr>
            <w:tcW w:w="5020" w:type="dxa"/>
            <w:vAlign w:val="bottom"/>
            <w:gridSpan w:val="4"/>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10</w:t>
            </w:r>
          </w:p>
        </w:tc>
        <w:tc>
          <w:tcPr>
            <w:tcW w:w="1760" w:type="dxa"/>
            <w:vAlign w:val="bottom"/>
            <w:tcBorders>
              <w:bottom w:val="single" w:sz="8" w:color="0000FF"/>
            </w:tcBorders>
            <w:gridSpan w:val="17"/>
          </w:tcPr>
          <w:p>
            <w:pPr>
              <w:ind w:left="40"/>
              <w:spacing w:after="0" w:line="156" w:lineRule="exact"/>
              <w:rPr>
                <w:sz w:val="20"/>
                <w:szCs w:val="20"/>
                <w:color w:val="auto"/>
              </w:rPr>
            </w:pPr>
            <w:r>
              <w:rPr>
                <w:rFonts w:ascii="Arial" w:cs="Arial" w:eastAsia="Arial" w:hAnsi="Arial"/>
                <w:sz w:val="18"/>
                <w:szCs w:val="18"/>
                <w:color w:val="0000FF"/>
                <w:w w:val="83"/>
              </w:rPr>
              <w:t>Counterparts; Integration;</w:t>
            </w:r>
          </w:p>
        </w:tc>
        <w:tc>
          <w:tcPr>
            <w:tcW w:w="1180" w:type="dxa"/>
            <w:vAlign w:val="bottom"/>
            <w:tcBorders>
              <w:bottom w:val="single" w:sz="8" w:color="0000FF"/>
            </w:tcBorders>
            <w:gridSpan w:val="8"/>
            <w:vMerge w:val="continue"/>
          </w:tcPr>
          <w:p>
            <w:pPr>
              <w:spacing w:after="0"/>
              <w:rPr>
                <w:sz w:val="13"/>
                <w:szCs w:val="13"/>
                <w:color w:val="auto"/>
              </w:rPr>
            </w:pPr>
          </w:p>
        </w:tc>
        <w:tc>
          <w:tcPr>
            <w:tcW w:w="1980" w:type="dxa"/>
            <w:vAlign w:val="bottom"/>
            <w:gridSpan w:val="6"/>
            <w:vMerge w:val="continue"/>
          </w:tcPr>
          <w:p>
            <w:pPr>
              <w:spacing w:after="0"/>
              <w:rPr>
                <w:sz w:val="13"/>
                <w:szCs w:val="13"/>
                <w:color w:val="auto"/>
              </w:rPr>
            </w:pPr>
          </w:p>
        </w:tc>
        <w:tc>
          <w:tcPr>
            <w:tcW w:w="5020" w:type="dxa"/>
            <w:vAlign w:val="bottom"/>
            <w:gridSpan w:val="4"/>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0" w:type="dxa"/>
            <w:vAlign w:val="bottom"/>
            <w:gridSpan w:val="3"/>
            <w:vMerge w:val="restart"/>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5040" w:type="dxa"/>
            <w:vAlign w:val="bottom"/>
            <w:gridSpan w:val="5"/>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ind w:right="10"/>
              <w:spacing w:after="0" w:line="156" w:lineRule="exact"/>
              <w:rPr>
                <w:sz w:val="20"/>
                <w:szCs w:val="20"/>
                <w:color w:val="auto"/>
              </w:rPr>
            </w:pPr>
            <w:r>
              <w:rPr>
                <w:rFonts w:ascii="Arial" w:cs="Arial" w:eastAsia="Arial" w:hAnsi="Arial"/>
                <w:sz w:val="18"/>
                <w:szCs w:val="18"/>
                <w:color w:val="0000FF"/>
                <w:w w:val="79"/>
              </w:rPr>
              <w:t>9.</w:t>
            </w:r>
            <w:r>
              <w:rPr>
                <w:rFonts w:ascii="Arial" w:cs="Arial" w:eastAsia="Arial" w:hAnsi="Arial"/>
                <w:sz w:val="18"/>
                <w:szCs w:val="18"/>
                <w:u w:val="single" w:color="auto"/>
                <w:color w:val="0000FF"/>
                <w:w w:val="79"/>
              </w:rPr>
              <w:t>11</w:t>
            </w:r>
          </w:p>
        </w:tc>
        <w:tc>
          <w:tcPr>
            <w:tcW w:w="2920" w:type="dxa"/>
            <w:vAlign w:val="bottom"/>
            <w:gridSpan w:val="24"/>
          </w:tcPr>
          <w:p>
            <w:pPr>
              <w:ind w:left="40"/>
              <w:spacing w:after="0" w:line="156" w:lineRule="exact"/>
              <w:rPr>
                <w:sz w:val="20"/>
                <w:szCs w:val="20"/>
                <w:color w:val="auto"/>
              </w:rPr>
            </w:pPr>
            <w:r>
              <w:rPr>
                <w:rFonts w:ascii="Arial" w:cs="Arial" w:eastAsia="Arial" w:hAnsi="Arial"/>
                <w:sz w:val="18"/>
                <w:szCs w:val="18"/>
                <w:color w:val="0000FF"/>
              </w:rPr>
              <w:t>Survival</w:t>
            </w: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5040" w:type="dxa"/>
            <w:vAlign w:val="bottom"/>
            <w:gridSpan w:val="5"/>
            <w:vMerge w:val="continue"/>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7"/>
                <w:szCs w:val="17"/>
                <w:color w:val="0000FF"/>
                <w:w w:val="70"/>
              </w:rPr>
              <w:t>115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20" w:type="dxa"/>
            <w:vAlign w:val="bottom"/>
            <w:gridSpan w:val="4"/>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12</w:t>
            </w:r>
          </w:p>
        </w:tc>
        <w:tc>
          <w:tcPr>
            <w:tcW w:w="920" w:type="dxa"/>
            <w:vAlign w:val="bottom"/>
            <w:tcBorders>
              <w:bottom w:val="single" w:sz="8" w:color="0000FF"/>
            </w:tcBorders>
            <w:gridSpan w:val="5"/>
          </w:tcPr>
          <w:p>
            <w:pPr>
              <w:ind w:left="40"/>
              <w:spacing w:after="0" w:line="156" w:lineRule="exact"/>
              <w:rPr>
                <w:sz w:val="20"/>
                <w:szCs w:val="20"/>
                <w:color w:val="auto"/>
              </w:rPr>
            </w:pPr>
            <w:r>
              <w:rPr>
                <w:rFonts w:ascii="Arial" w:cs="Arial" w:eastAsia="Arial" w:hAnsi="Arial"/>
                <w:sz w:val="18"/>
                <w:szCs w:val="18"/>
                <w:color w:val="0000FF"/>
                <w:w w:val="92"/>
              </w:rPr>
              <w:t>Severability</w:t>
            </w:r>
          </w:p>
        </w:tc>
        <w:tc>
          <w:tcPr>
            <w:tcW w:w="4000" w:type="dxa"/>
            <w:vAlign w:val="bottom"/>
            <w:gridSpan w:val="26"/>
          </w:tcPr>
          <w:p>
            <w:pPr>
              <w:spacing w:after="0"/>
              <w:rPr>
                <w:sz w:val="13"/>
                <w:szCs w:val="13"/>
                <w:color w:val="auto"/>
              </w:rPr>
            </w:pPr>
          </w:p>
        </w:tc>
        <w:tc>
          <w:tcPr>
            <w:tcW w:w="5020" w:type="dxa"/>
            <w:vAlign w:val="bottom"/>
            <w:gridSpan w:val="4"/>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580" w:type="dxa"/>
            <w:vAlign w:val="bottom"/>
            <w:gridSpan w:val="16"/>
            <w:vMerge w:val="restart"/>
          </w:tcPr>
          <w:p>
            <w:pPr>
              <w:spacing w:after="0" w:line="196" w:lineRule="exact"/>
              <w:rPr>
                <w:sz w:val="20"/>
                <w:szCs w:val="20"/>
                <w:color w:val="auto"/>
              </w:rPr>
            </w:pPr>
            <w:r>
              <w:rPr>
                <w:rFonts w:ascii="Arial" w:cs="Arial" w:eastAsia="Arial" w:hAnsi="Arial"/>
                <w:sz w:val="18"/>
                <w:szCs w:val="18"/>
                <w:color w:val="0000FF"/>
                <w:w w:val="89"/>
              </w:rPr>
              <w:t>Law; Jurisdiction; Etc.</w:t>
            </w:r>
          </w:p>
        </w:tc>
        <w:tc>
          <w:tcPr>
            <w:tcW w:w="2420" w:type="dxa"/>
            <w:vAlign w:val="bottom"/>
            <w:gridSpan w:val="10"/>
            <w:vMerge w:val="restart"/>
          </w:tcPr>
          <w:p>
            <w:pPr>
              <w:spacing w:after="0" w:line="20" w:lineRule="exact"/>
              <w:rPr>
                <w:sz w:val="1"/>
                <w:szCs w:val="1"/>
                <w:color w:val="auto"/>
              </w:rPr>
            </w:pPr>
          </w:p>
        </w:tc>
        <w:tc>
          <w:tcPr>
            <w:tcW w:w="50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13</w:t>
            </w:r>
          </w:p>
        </w:tc>
        <w:tc>
          <w:tcPr>
            <w:tcW w:w="920" w:type="dxa"/>
            <w:vAlign w:val="bottom"/>
            <w:tcBorders>
              <w:bottom w:val="single" w:sz="8" w:color="0000FF"/>
            </w:tcBorders>
            <w:gridSpan w:val="5"/>
          </w:tcPr>
          <w:p>
            <w:pPr>
              <w:ind w:left="40"/>
              <w:spacing w:after="0" w:line="156" w:lineRule="exact"/>
              <w:rPr>
                <w:sz w:val="20"/>
                <w:szCs w:val="20"/>
                <w:color w:val="auto"/>
              </w:rPr>
            </w:pPr>
            <w:r>
              <w:rPr>
                <w:rFonts w:ascii="Arial" w:cs="Arial" w:eastAsia="Arial" w:hAnsi="Arial"/>
                <w:sz w:val="18"/>
                <w:szCs w:val="18"/>
                <w:color w:val="0000FF"/>
              </w:rPr>
              <w:t>Governing</w:t>
            </w:r>
          </w:p>
        </w:tc>
        <w:tc>
          <w:tcPr>
            <w:tcW w:w="1580" w:type="dxa"/>
            <w:vAlign w:val="bottom"/>
            <w:tcBorders>
              <w:bottom w:val="single" w:sz="8" w:color="0000FF"/>
            </w:tcBorders>
            <w:gridSpan w:val="16"/>
            <w:vMerge w:val="continue"/>
          </w:tcPr>
          <w:p>
            <w:pPr>
              <w:spacing w:after="0"/>
              <w:rPr>
                <w:sz w:val="13"/>
                <w:szCs w:val="13"/>
                <w:color w:val="auto"/>
              </w:rPr>
            </w:pPr>
          </w:p>
        </w:tc>
        <w:tc>
          <w:tcPr>
            <w:tcW w:w="2420" w:type="dxa"/>
            <w:vAlign w:val="bottom"/>
            <w:gridSpan w:val="10"/>
            <w:vMerge w:val="continue"/>
          </w:tcPr>
          <w:p>
            <w:pPr>
              <w:spacing w:after="0"/>
              <w:rPr>
                <w:sz w:val="13"/>
                <w:szCs w:val="13"/>
                <w:color w:val="auto"/>
              </w:rPr>
            </w:pPr>
          </w:p>
        </w:tc>
        <w:tc>
          <w:tcPr>
            <w:tcW w:w="5020" w:type="dxa"/>
            <w:vAlign w:val="bottom"/>
            <w:gridSpan w:val="4"/>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500" w:type="dxa"/>
            <w:vAlign w:val="bottom"/>
            <w:gridSpan w:val="5"/>
            <w:vMerge w:val="restart"/>
          </w:tcPr>
          <w:p>
            <w:pPr>
              <w:spacing w:after="0" w:line="20" w:lineRule="exact"/>
              <w:rPr>
                <w:sz w:val="1"/>
                <w:szCs w:val="1"/>
                <w:color w:val="auto"/>
              </w:rPr>
            </w:pPr>
          </w:p>
        </w:tc>
        <w:tc>
          <w:tcPr>
            <w:tcW w:w="800" w:type="dxa"/>
            <w:vAlign w:val="bottom"/>
            <w:gridSpan w:val="3"/>
            <w:vMerge w:val="restart"/>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50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14</w:t>
            </w:r>
          </w:p>
        </w:tc>
        <w:tc>
          <w:tcPr>
            <w:tcW w:w="1500" w:type="dxa"/>
            <w:vAlign w:val="bottom"/>
            <w:tcBorders>
              <w:bottom w:val="single" w:sz="8" w:color="0000FF"/>
            </w:tcBorders>
            <w:gridSpan w:val="11"/>
          </w:tcPr>
          <w:p>
            <w:pPr>
              <w:ind w:left="40"/>
              <w:spacing w:after="0" w:line="156" w:lineRule="exact"/>
              <w:rPr>
                <w:sz w:val="20"/>
                <w:szCs w:val="20"/>
                <w:color w:val="auto"/>
              </w:rPr>
            </w:pPr>
            <w:r>
              <w:rPr>
                <w:rFonts w:ascii="Arial" w:cs="Arial" w:eastAsia="Arial" w:hAnsi="Arial"/>
                <w:sz w:val="18"/>
                <w:szCs w:val="18"/>
                <w:color w:val="0000FF"/>
                <w:w w:val="92"/>
              </w:rPr>
              <w:t>Waiver of Jury Trial</w:t>
            </w:r>
          </w:p>
        </w:tc>
        <w:tc>
          <w:tcPr>
            <w:tcW w:w="1000" w:type="dxa"/>
            <w:vAlign w:val="bottom"/>
            <w:gridSpan w:val="10"/>
          </w:tcPr>
          <w:p>
            <w:pPr>
              <w:spacing w:after="0"/>
              <w:rPr>
                <w:sz w:val="13"/>
                <w:szCs w:val="13"/>
                <w:color w:val="auto"/>
              </w:rPr>
            </w:pPr>
          </w:p>
        </w:tc>
        <w:tc>
          <w:tcPr>
            <w:tcW w:w="500" w:type="dxa"/>
            <w:vAlign w:val="bottom"/>
            <w:gridSpan w:val="5"/>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5020" w:type="dxa"/>
            <w:vAlign w:val="bottom"/>
            <w:gridSpan w:val="4"/>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15</w:t>
            </w:r>
          </w:p>
        </w:tc>
        <w:tc>
          <w:tcPr>
            <w:tcW w:w="3000" w:type="dxa"/>
            <w:vAlign w:val="bottom"/>
            <w:tcBorders>
              <w:bottom w:val="single" w:sz="8" w:color="0000FF"/>
            </w:tcBorders>
            <w:gridSpan w:val="26"/>
          </w:tcPr>
          <w:p>
            <w:pPr>
              <w:ind w:left="40"/>
              <w:spacing w:after="0" w:line="156" w:lineRule="exact"/>
              <w:rPr>
                <w:sz w:val="20"/>
                <w:szCs w:val="20"/>
                <w:color w:val="auto"/>
              </w:rPr>
            </w:pPr>
            <w:r>
              <w:rPr>
                <w:rFonts w:ascii="Arial" w:cs="Arial" w:eastAsia="Arial" w:hAnsi="Arial"/>
                <w:sz w:val="18"/>
                <w:szCs w:val="18"/>
                <w:color w:val="0000FF"/>
                <w:w w:val="94"/>
              </w:rPr>
              <w:t>No Advisory or Fiduciary Responsibility</w:t>
            </w:r>
          </w:p>
        </w:tc>
        <w:tc>
          <w:tcPr>
            <w:tcW w:w="1920" w:type="dxa"/>
            <w:vAlign w:val="bottom"/>
            <w:gridSpan w:val="5"/>
          </w:tcPr>
          <w:p>
            <w:pPr>
              <w:spacing w:after="0"/>
              <w:rPr>
                <w:sz w:val="13"/>
                <w:szCs w:val="13"/>
                <w:color w:val="auto"/>
              </w:rPr>
            </w:pPr>
          </w:p>
        </w:tc>
        <w:tc>
          <w:tcPr>
            <w:tcW w:w="5020" w:type="dxa"/>
            <w:vAlign w:val="bottom"/>
            <w:gridSpan w:val="4"/>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0" w:type="dxa"/>
            <w:vAlign w:val="bottom"/>
            <w:gridSpan w:val="3"/>
            <w:vMerge w:val="restart"/>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50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16</w:t>
            </w:r>
          </w:p>
        </w:tc>
        <w:tc>
          <w:tcPr>
            <w:tcW w:w="2020" w:type="dxa"/>
            <w:vAlign w:val="bottom"/>
            <w:tcBorders>
              <w:bottom w:val="single" w:sz="8" w:color="0000FF"/>
            </w:tcBorders>
            <w:gridSpan w:val="20"/>
          </w:tcPr>
          <w:p>
            <w:pPr>
              <w:ind w:left="40"/>
              <w:spacing w:after="0" w:line="156" w:lineRule="exact"/>
              <w:rPr>
                <w:sz w:val="20"/>
                <w:szCs w:val="20"/>
                <w:color w:val="auto"/>
              </w:rPr>
            </w:pPr>
            <w:r>
              <w:rPr>
                <w:rFonts w:ascii="Arial" w:cs="Arial" w:eastAsia="Arial" w:hAnsi="Arial"/>
                <w:sz w:val="18"/>
                <w:szCs w:val="18"/>
                <w:color w:val="0000FF"/>
                <w:w w:val="94"/>
              </w:rPr>
              <w:t>USA PATRIOT Act Notice</w:t>
            </w:r>
          </w:p>
        </w:tc>
        <w:tc>
          <w:tcPr>
            <w:tcW w:w="980" w:type="dxa"/>
            <w:vAlign w:val="bottom"/>
            <w:gridSpan w:val="6"/>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5020" w:type="dxa"/>
            <w:vAlign w:val="bottom"/>
            <w:gridSpan w:val="4"/>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80" w:type="dxa"/>
            <w:vAlign w:val="bottom"/>
            <w:gridSpan w:val="9"/>
            <w:vMerge w:val="restart"/>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50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17</w:t>
            </w:r>
          </w:p>
        </w:tc>
        <w:tc>
          <w:tcPr>
            <w:tcW w:w="900" w:type="dxa"/>
            <w:vAlign w:val="bottom"/>
            <w:tcBorders>
              <w:bottom w:val="single" w:sz="8" w:color="0000FF"/>
            </w:tcBorders>
            <w:gridSpan w:val="4"/>
          </w:tcPr>
          <w:p>
            <w:pPr>
              <w:ind w:left="40"/>
              <w:spacing w:after="0" w:line="156" w:lineRule="exact"/>
              <w:rPr>
                <w:sz w:val="20"/>
                <w:szCs w:val="20"/>
                <w:color w:val="auto"/>
              </w:rPr>
            </w:pPr>
            <w:r>
              <w:rPr>
                <w:rFonts w:ascii="Arial" w:cs="Arial" w:eastAsia="Arial" w:hAnsi="Arial"/>
                <w:sz w:val="18"/>
                <w:szCs w:val="18"/>
                <w:color w:val="0000FF"/>
                <w:w w:val="91"/>
              </w:rPr>
              <w:t>[Reserved].</w:t>
            </w:r>
          </w:p>
        </w:tc>
        <w:tc>
          <w:tcPr>
            <w:tcW w:w="1100" w:type="dxa"/>
            <w:vAlign w:val="bottom"/>
            <w:gridSpan w:val="15"/>
          </w:tcPr>
          <w:p>
            <w:pPr>
              <w:spacing w:after="0"/>
              <w:rPr>
                <w:sz w:val="13"/>
                <w:szCs w:val="13"/>
                <w:color w:val="auto"/>
              </w:rPr>
            </w:pPr>
          </w:p>
        </w:tc>
        <w:tc>
          <w:tcPr>
            <w:tcW w:w="20" w:type="dxa"/>
            <w:vAlign w:val="bottom"/>
            <w:vMerge w:val="continue"/>
          </w:tcPr>
          <w:p>
            <w:pPr>
              <w:spacing w:after="0"/>
              <w:rPr>
                <w:sz w:val="13"/>
                <w:szCs w:val="13"/>
                <w:color w:val="auto"/>
              </w:rPr>
            </w:pPr>
          </w:p>
        </w:tc>
        <w:tc>
          <w:tcPr>
            <w:tcW w:w="1780" w:type="dxa"/>
            <w:vAlign w:val="bottom"/>
            <w:gridSpan w:val="9"/>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5020" w:type="dxa"/>
            <w:vAlign w:val="bottom"/>
            <w:gridSpan w:val="4"/>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gridSpan w:val="8"/>
            <w:vMerge w:val="restart"/>
          </w:tcPr>
          <w:p>
            <w:pPr>
              <w:ind w:left="20"/>
              <w:spacing w:after="0" w:line="196" w:lineRule="exact"/>
              <w:rPr>
                <w:sz w:val="20"/>
                <w:szCs w:val="20"/>
                <w:color w:val="auto"/>
              </w:rPr>
            </w:pPr>
            <w:r>
              <w:rPr>
                <w:rFonts w:ascii="Arial" w:cs="Arial" w:eastAsia="Arial" w:hAnsi="Arial"/>
                <w:sz w:val="18"/>
                <w:szCs w:val="18"/>
                <w:color w:val="0000FF"/>
                <w:w w:val="83"/>
              </w:rPr>
              <w:t>Essence</w:t>
            </w:r>
          </w:p>
        </w:tc>
        <w:tc>
          <w:tcPr>
            <w:tcW w:w="3400" w:type="dxa"/>
            <w:vAlign w:val="bottom"/>
            <w:gridSpan w:val="19"/>
            <w:vMerge w:val="restart"/>
          </w:tcPr>
          <w:p>
            <w:pPr>
              <w:spacing w:after="0" w:line="20" w:lineRule="exact"/>
              <w:rPr>
                <w:sz w:val="1"/>
                <w:szCs w:val="1"/>
                <w:color w:val="auto"/>
              </w:rPr>
            </w:pPr>
          </w:p>
        </w:tc>
        <w:tc>
          <w:tcPr>
            <w:tcW w:w="50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18</w:t>
            </w:r>
          </w:p>
        </w:tc>
        <w:tc>
          <w:tcPr>
            <w:tcW w:w="880" w:type="dxa"/>
            <w:vAlign w:val="bottom"/>
            <w:tcBorders>
              <w:bottom w:val="single" w:sz="8" w:color="0000FF"/>
            </w:tcBorders>
            <w:gridSpan w:val="3"/>
          </w:tcPr>
          <w:p>
            <w:pPr>
              <w:ind w:left="40"/>
              <w:spacing w:after="0" w:line="156" w:lineRule="exact"/>
              <w:rPr>
                <w:sz w:val="20"/>
                <w:szCs w:val="20"/>
                <w:color w:val="auto"/>
              </w:rPr>
            </w:pPr>
            <w:r>
              <w:rPr>
                <w:rFonts w:ascii="Arial" w:cs="Arial" w:eastAsia="Arial" w:hAnsi="Arial"/>
                <w:sz w:val="18"/>
                <w:szCs w:val="18"/>
                <w:color w:val="0000FF"/>
                <w:w w:val="91"/>
              </w:rPr>
              <w:t>Time of the</w:t>
            </w:r>
          </w:p>
        </w:tc>
        <w:tc>
          <w:tcPr>
            <w:tcW w:w="20" w:type="dxa"/>
            <w:vAlign w:val="bottom"/>
            <w:tcBorders>
              <w:bottom w:val="single" w:sz="8" w:color="0000FF"/>
            </w:tcBorders>
            <w:vMerge w:val="continue"/>
          </w:tcPr>
          <w:p>
            <w:pPr>
              <w:spacing w:after="0"/>
              <w:rPr>
                <w:sz w:val="13"/>
                <w:szCs w:val="13"/>
                <w:color w:val="auto"/>
              </w:rPr>
            </w:pPr>
          </w:p>
        </w:tc>
        <w:tc>
          <w:tcPr>
            <w:tcW w:w="620" w:type="dxa"/>
            <w:vAlign w:val="bottom"/>
            <w:tcBorders>
              <w:bottom w:val="single" w:sz="8" w:color="0000FF"/>
            </w:tcBorders>
            <w:gridSpan w:val="8"/>
            <w:vMerge w:val="continue"/>
          </w:tcPr>
          <w:p>
            <w:pPr>
              <w:spacing w:after="0"/>
              <w:rPr>
                <w:sz w:val="13"/>
                <w:szCs w:val="13"/>
                <w:color w:val="auto"/>
              </w:rPr>
            </w:pPr>
          </w:p>
        </w:tc>
        <w:tc>
          <w:tcPr>
            <w:tcW w:w="3400" w:type="dxa"/>
            <w:vAlign w:val="bottom"/>
            <w:gridSpan w:val="19"/>
            <w:vMerge w:val="continue"/>
          </w:tcPr>
          <w:p>
            <w:pPr>
              <w:spacing w:after="0"/>
              <w:rPr>
                <w:sz w:val="13"/>
                <w:szCs w:val="13"/>
                <w:color w:val="auto"/>
              </w:rPr>
            </w:pPr>
          </w:p>
        </w:tc>
        <w:tc>
          <w:tcPr>
            <w:tcW w:w="5020" w:type="dxa"/>
            <w:vAlign w:val="bottom"/>
            <w:gridSpan w:val="4"/>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4"/>
            <w:vMerge w:val="restart"/>
          </w:tcPr>
          <w:p>
            <w:pPr>
              <w:spacing w:after="0" w:line="20" w:lineRule="exact"/>
              <w:rPr>
                <w:sz w:val="1"/>
                <w:szCs w:val="1"/>
                <w:color w:val="auto"/>
              </w:rPr>
            </w:pPr>
          </w:p>
        </w:tc>
        <w:tc>
          <w:tcPr>
            <w:tcW w:w="2120" w:type="dxa"/>
            <w:vAlign w:val="bottom"/>
            <w:gridSpan w:val="13"/>
            <w:vMerge w:val="restart"/>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5040" w:type="dxa"/>
            <w:vAlign w:val="bottom"/>
            <w:gridSpan w:val="5"/>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19</w:t>
            </w:r>
          </w:p>
        </w:tc>
        <w:tc>
          <w:tcPr>
            <w:tcW w:w="1500" w:type="dxa"/>
            <w:vAlign w:val="bottom"/>
            <w:gridSpan w:val="11"/>
          </w:tcPr>
          <w:p>
            <w:pPr>
              <w:ind w:left="40"/>
              <w:spacing w:after="0" w:line="156" w:lineRule="exact"/>
              <w:rPr>
                <w:sz w:val="20"/>
                <w:szCs w:val="20"/>
                <w:color w:val="auto"/>
              </w:rPr>
            </w:pPr>
            <w:r>
              <w:rPr>
                <w:rFonts w:ascii="Arial" w:cs="Arial" w:eastAsia="Arial" w:hAnsi="Arial"/>
                <w:sz w:val="18"/>
                <w:szCs w:val="18"/>
                <w:color w:val="0000FF"/>
              </w:rPr>
              <w:t>Press Releases.</w:t>
            </w:r>
          </w:p>
        </w:tc>
        <w:tc>
          <w:tcPr>
            <w:tcW w:w="20" w:type="dxa"/>
            <w:vAlign w:val="bottom"/>
            <w:vMerge w:val="continue"/>
          </w:tcPr>
          <w:p>
            <w:pPr>
              <w:spacing w:after="0"/>
              <w:rPr>
                <w:sz w:val="13"/>
                <w:szCs w:val="13"/>
                <w:color w:val="auto"/>
              </w:rPr>
            </w:pPr>
          </w:p>
        </w:tc>
        <w:tc>
          <w:tcPr>
            <w:tcW w:w="160" w:type="dxa"/>
            <w:vAlign w:val="bottom"/>
            <w:gridSpan w:val="4"/>
            <w:vMerge w:val="continue"/>
          </w:tcPr>
          <w:p>
            <w:pPr>
              <w:spacing w:after="0"/>
              <w:rPr>
                <w:sz w:val="13"/>
                <w:szCs w:val="13"/>
                <w:color w:val="auto"/>
              </w:rPr>
            </w:pPr>
          </w:p>
        </w:tc>
        <w:tc>
          <w:tcPr>
            <w:tcW w:w="2120" w:type="dxa"/>
            <w:vAlign w:val="bottom"/>
            <w:gridSpan w:val="13"/>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5040" w:type="dxa"/>
            <w:vAlign w:val="bottom"/>
            <w:gridSpan w:val="5"/>
            <w:vMerge w:val="continue"/>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7"/>
                <w:szCs w:val="17"/>
                <w:color w:val="0000FF"/>
                <w:w w:val="70"/>
              </w:rPr>
              <w:t>118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20" w:type="dxa"/>
            <w:vAlign w:val="bottom"/>
            <w:gridSpan w:val="4"/>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20</w:t>
            </w:r>
          </w:p>
        </w:tc>
        <w:tc>
          <w:tcPr>
            <w:tcW w:w="4920" w:type="dxa"/>
            <w:vAlign w:val="bottom"/>
            <w:gridSpan w:val="31"/>
          </w:tcPr>
          <w:p>
            <w:pPr>
              <w:ind w:left="40"/>
              <w:spacing w:after="0" w:line="156" w:lineRule="exact"/>
              <w:rPr>
                <w:sz w:val="20"/>
                <w:szCs w:val="20"/>
                <w:color w:val="auto"/>
              </w:rPr>
            </w:pPr>
            <w:r>
              <w:rPr>
                <w:rFonts w:ascii="Arial" w:cs="Arial" w:eastAsia="Arial" w:hAnsi="Arial"/>
                <w:sz w:val="18"/>
                <w:szCs w:val="18"/>
                <w:color w:val="0000FF"/>
              </w:rPr>
              <w:t>Additional Waivers.</w:t>
            </w:r>
          </w:p>
        </w:tc>
        <w:tc>
          <w:tcPr>
            <w:tcW w:w="502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7"/>
                <w:szCs w:val="17"/>
                <w:color w:val="0000FF"/>
                <w:w w:val="70"/>
              </w:rPr>
              <w:t>118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gridSpan w:val="6"/>
            <w:vMerge w:val="restart"/>
          </w:tcPr>
          <w:p>
            <w:pPr>
              <w:spacing w:after="0" w:line="20" w:lineRule="exact"/>
              <w:rPr>
                <w:sz w:val="1"/>
                <w:szCs w:val="1"/>
                <w:color w:val="auto"/>
              </w:rPr>
            </w:pPr>
          </w:p>
        </w:tc>
        <w:tc>
          <w:tcPr>
            <w:tcW w:w="2120" w:type="dxa"/>
            <w:vAlign w:val="bottom"/>
            <w:gridSpan w:val="13"/>
            <w:vMerge w:val="restart"/>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500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21</w:t>
            </w:r>
          </w:p>
        </w:tc>
        <w:tc>
          <w:tcPr>
            <w:tcW w:w="1480" w:type="dxa"/>
            <w:vAlign w:val="bottom"/>
            <w:tcBorders>
              <w:bottom w:val="single" w:sz="8" w:color="0000FF"/>
            </w:tcBorders>
            <w:gridSpan w:val="10"/>
          </w:tcPr>
          <w:p>
            <w:pPr>
              <w:ind w:left="40"/>
              <w:spacing w:after="0" w:line="156" w:lineRule="exact"/>
              <w:rPr>
                <w:sz w:val="20"/>
                <w:szCs w:val="20"/>
                <w:color w:val="auto"/>
              </w:rPr>
            </w:pPr>
            <w:r>
              <w:rPr>
                <w:rFonts w:ascii="Arial" w:cs="Arial" w:eastAsia="Arial" w:hAnsi="Arial"/>
                <w:sz w:val="18"/>
                <w:szCs w:val="18"/>
                <w:color w:val="0000FF"/>
                <w:w w:val="81"/>
              </w:rPr>
              <w:t>No Strict Construction</w:t>
            </w:r>
          </w:p>
        </w:tc>
        <w:tc>
          <w:tcPr>
            <w:tcW w:w="200" w:type="dxa"/>
            <w:vAlign w:val="bottom"/>
            <w:tcBorders>
              <w:bottom w:val="single" w:sz="8" w:color="0000FF"/>
            </w:tcBorders>
            <w:gridSpan w:val="6"/>
            <w:vMerge w:val="continue"/>
          </w:tcPr>
          <w:p>
            <w:pPr>
              <w:spacing w:after="0"/>
              <w:rPr>
                <w:sz w:val="13"/>
                <w:szCs w:val="13"/>
                <w:color w:val="auto"/>
              </w:rPr>
            </w:pPr>
          </w:p>
        </w:tc>
        <w:tc>
          <w:tcPr>
            <w:tcW w:w="2120" w:type="dxa"/>
            <w:vAlign w:val="bottom"/>
            <w:gridSpan w:val="13"/>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500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120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120" w:type="dxa"/>
            <w:vAlign w:val="bottom"/>
            <w:gridSpan w:val="13"/>
            <w:vMerge w:val="restart"/>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4980" w:type="dxa"/>
            <w:vAlign w:val="bottom"/>
            <w:gridSpan w:val="2"/>
            <w:vMerge w:val="restart"/>
          </w:tcPr>
          <w:p>
            <w:pPr>
              <w:spacing w:after="0" w:line="20" w:lineRule="exact"/>
              <w:rPr>
                <w:sz w:val="1"/>
                <w:szCs w:val="1"/>
                <w:color w:val="auto"/>
              </w:rPr>
            </w:pPr>
          </w:p>
        </w:tc>
        <w:tc>
          <w:tcPr>
            <w:tcW w:w="280" w:type="dxa"/>
            <w:vAlign w:val="bottom"/>
            <w:tcBorders>
              <w:bottom w:val="single" w:sz="8" w:color="0000FF"/>
            </w:tcBorders>
            <w:gridSpan w:val="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22</w:t>
            </w:r>
          </w:p>
        </w:tc>
        <w:tc>
          <w:tcPr>
            <w:tcW w:w="1680" w:type="dxa"/>
            <w:vAlign w:val="bottom"/>
            <w:gridSpan w:val="16"/>
          </w:tcPr>
          <w:p>
            <w:pPr>
              <w:ind w:left="40"/>
              <w:spacing w:after="0" w:line="156" w:lineRule="exact"/>
              <w:rPr>
                <w:sz w:val="20"/>
                <w:szCs w:val="20"/>
                <w:color w:val="auto"/>
              </w:rPr>
            </w:pPr>
            <w:r>
              <w:rPr>
                <w:rFonts w:ascii="Arial" w:cs="Arial" w:eastAsia="Arial" w:hAnsi="Arial"/>
                <w:sz w:val="18"/>
                <w:szCs w:val="18"/>
                <w:color w:val="0000FF"/>
              </w:rPr>
              <w:t>Attachments</w:t>
            </w:r>
          </w:p>
        </w:tc>
        <w:tc>
          <w:tcPr>
            <w:tcW w:w="2120" w:type="dxa"/>
            <w:vAlign w:val="bottom"/>
            <w:gridSpan w:val="13"/>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280" w:type="dxa"/>
            <w:vAlign w:val="bottom"/>
            <w:gridSpan w:val="4"/>
          </w:tcPr>
          <w:p>
            <w:pPr>
              <w:jc w:val="right"/>
              <w:spacing w:after="0" w:line="156" w:lineRule="exact"/>
              <w:rPr>
                <w:sz w:val="20"/>
                <w:szCs w:val="20"/>
                <w:color w:val="auto"/>
              </w:rPr>
            </w:pPr>
            <w:r>
              <w:rPr>
                <w:rFonts w:ascii="Arial" w:cs="Arial" w:eastAsia="Arial" w:hAnsi="Arial"/>
                <w:sz w:val="18"/>
                <w:szCs w:val="18"/>
                <w:color w:val="0000FF"/>
                <w:w w:val="86"/>
              </w:rPr>
              <w:t>120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860" w:type="dxa"/>
            <w:vAlign w:val="bottom"/>
            <w:gridSpan w:val="23"/>
            <w:vMerge w:val="restart"/>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49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23</w:t>
            </w:r>
          </w:p>
        </w:tc>
        <w:tc>
          <w:tcPr>
            <w:tcW w:w="740" w:type="dxa"/>
            <w:vAlign w:val="bottom"/>
            <w:gridSpan w:val="2"/>
          </w:tcPr>
          <w:p>
            <w:pPr>
              <w:ind w:left="40"/>
              <w:spacing w:after="0" w:line="156" w:lineRule="exact"/>
              <w:rPr>
                <w:sz w:val="20"/>
                <w:szCs w:val="20"/>
                <w:color w:val="auto"/>
              </w:rPr>
            </w:pPr>
            <w:r>
              <w:rPr>
                <w:rFonts w:ascii="Arial" w:cs="Arial" w:eastAsia="Arial" w:hAnsi="Arial"/>
                <w:sz w:val="18"/>
                <w:szCs w:val="18"/>
                <w:color w:val="0000FF"/>
                <w:w w:val="93"/>
              </w:rPr>
              <w:t>Keepwell</w:t>
            </w:r>
          </w:p>
        </w:tc>
        <w:tc>
          <w:tcPr>
            <w:tcW w:w="200" w:type="dxa"/>
            <w:vAlign w:val="bottom"/>
            <w:gridSpan w:val="4"/>
          </w:tcPr>
          <w:p>
            <w:pPr>
              <w:spacing w:after="0"/>
              <w:rPr>
                <w:sz w:val="13"/>
                <w:szCs w:val="13"/>
                <w:color w:val="auto"/>
              </w:rPr>
            </w:pPr>
          </w:p>
        </w:tc>
        <w:tc>
          <w:tcPr>
            <w:tcW w:w="2860" w:type="dxa"/>
            <w:vAlign w:val="bottom"/>
            <w:gridSpan w:val="23"/>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280" w:type="dxa"/>
            <w:vAlign w:val="bottom"/>
            <w:gridSpan w:val="4"/>
          </w:tcPr>
          <w:p>
            <w:pPr>
              <w:jc w:val="right"/>
              <w:spacing w:after="0" w:line="156" w:lineRule="exact"/>
              <w:rPr>
                <w:sz w:val="20"/>
                <w:szCs w:val="20"/>
                <w:color w:val="auto"/>
              </w:rPr>
            </w:pPr>
            <w:r>
              <w:rPr>
                <w:rFonts w:ascii="Arial" w:cs="Arial" w:eastAsia="Arial" w:hAnsi="Arial"/>
                <w:sz w:val="18"/>
                <w:szCs w:val="18"/>
                <w:color w:val="0000FF"/>
                <w:w w:val="86"/>
              </w:rPr>
              <w:t>120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180" w:type="dxa"/>
            <w:vAlign w:val="bottom"/>
            <w:gridSpan w:val="29"/>
            <w:vMerge w:val="restart"/>
          </w:tcPr>
          <w:p>
            <w:pPr>
              <w:ind w:left="100"/>
              <w:spacing w:after="0" w:line="196" w:lineRule="exact"/>
              <w:rPr>
                <w:sz w:val="20"/>
                <w:szCs w:val="20"/>
                <w:color w:val="auto"/>
              </w:rPr>
            </w:pPr>
            <w:r>
              <w:rPr>
                <w:rFonts w:ascii="Arial" w:cs="Arial" w:eastAsia="Arial" w:hAnsi="Arial"/>
                <w:sz w:val="18"/>
                <w:szCs w:val="18"/>
                <w:color w:val="0000FF"/>
                <w:w w:val="89"/>
              </w:rPr>
              <w:t>Execution of Assignments and Certain Other Documents</w:t>
            </w:r>
          </w:p>
        </w:tc>
        <w:tc>
          <w:tcPr>
            <w:tcW w:w="49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24</w:t>
            </w:r>
          </w:p>
        </w:tc>
        <w:tc>
          <w:tcPr>
            <w:tcW w:w="740" w:type="dxa"/>
            <w:vAlign w:val="bottom"/>
            <w:gridSpan w:val="2"/>
          </w:tcPr>
          <w:p>
            <w:pPr>
              <w:ind w:left="40"/>
              <w:spacing w:after="0" w:line="156" w:lineRule="exact"/>
              <w:rPr>
                <w:sz w:val="20"/>
                <w:szCs w:val="20"/>
                <w:color w:val="auto"/>
              </w:rPr>
            </w:pPr>
            <w:r>
              <w:rPr>
                <w:rFonts w:ascii="Arial" w:cs="Arial" w:eastAsia="Arial" w:hAnsi="Arial"/>
                <w:sz w:val="18"/>
                <w:szCs w:val="18"/>
                <w:color w:val="0000FF"/>
                <w:w w:val="85"/>
              </w:rPr>
              <w:t>Electronic</w:t>
            </w:r>
          </w:p>
        </w:tc>
        <w:tc>
          <w:tcPr>
            <w:tcW w:w="4180" w:type="dxa"/>
            <w:vAlign w:val="bottom"/>
            <w:gridSpan w:val="29"/>
            <w:vMerge w:val="continue"/>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280" w:type="dxa"/>
            <w:vAlign w:val="bottom"/>
            <w:gridSpan w:val="4"/>
          </w:tcPr>
          <w:p>
            <w:pPr>
              <w:jc w:val="right"/>
              <w:spacing w:after="0" w:line="156" w:lineRule="exact"/>
              <w:rPr>
                <w:sz w:val="20"/>
                <w:szCs w:val="20"/>
                <w:color w:val="auto"/>
              </w:rPr>
            </w:pPr>
            <w:r>
              <w:rPr>
                <w:rFonts w:ascii="Arial" w:cs="Arial" w:eastAsia="Arial" w:hAnsi="Arial"/>
                <w:sz w:val="18"/>
                <w:szCs w:val="18"/>
                <w:color w:val="0000FF"/>
                <w:w w:val="86"/>
              </w:rPr>
              <w:t>120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100" w:type="dxa"/>
            <w:vAlign w:val="bottom"/>
            <w:tcBorders>
              <w:top w:val="single" w:sz="8" w:color="0000FF"/>
              <w:bottom w:val="single" w:sz="8" w:color="0000FF"/>
            </w:tcBorders>
          </w:tcPr>
          <w:p>
            <w:pPr>
              <w:spacing w:after="0" w:line="20" w:lineRule="exact"/>
              <w:rPr>
                <w:sz w:val="1"/>
                <w:szCs w:val="1"/>
                <w:color w:val="auto"/>
              </w:rPr>
            </w:pPr>
          </w:p>
        </w:tc>
        <w:tc>
          <w:tcPr>
            <w:tcW w:w="498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25</w:t>
            </w:r>
          </w:p>
        </w:tc>
        <w:tc>
          <w:tcPr>
            <w:tcW w:w="4920" w:type="dxa"/>
            <w:vAlign w:val="bottom"/>
            <w:gridSpan w:val="31"/>
          </w:tcPr>
          <w:p>
            <w:pPr>
              <w:ind w:left="40"/>
              <w:spacing w:after="0" w:line="156" w:lineRule="exact"/>
              <w:rPr>
                <w:sz w:val="20"/>
                <w:szCs w:val="20"/>
                <w:color w:val="auto"/>
              </w:rPr>
            </w:pPr>
            <w:r>
              <w:rPr>
                <w:rFonts w:ascii="Arial" w:cs="Arial" w:eastAsia="Arial" w:hAnsi="Arial"/>
                <w:sz w:val="18"/>
                <w:szCs w:val="18"/>
                <w:color w:val="0000FF"/>
              </w:rPr>
              <w:t>Acknowledgement Regarding Any Supported QFCs</w:t>
            </w:r>
          </w:p>
        </w:tc>
        <w:tc>
          <w:tcPr>
            <w:tcW w:w="4980" w:type="dxa"/>
            <w:vAlign w:val="bottom"/>
            <w:gridSpan w:val="2"/>
            <w:vMerge w:val="continue"/>
          </w:tcPr>
          <w:p>
            <w:pPr>
              <w:spacing w:after="0"/>
              <w:rPr>
                <w:sz w:val="13"/>
                <w:szCs w:val="13"/>
                <w:color w:val="auto"/>
              </w:rPr>
            </w:pPr>
          </w:p>
        </w:tc>
        <w:tc>
          <w:tcPr>
            <w:tcW w:w="280" w:type="dxa"/>
            <w:vAlign w:val="bottom"/>
            <w:gridSpan w:val="4"/>
          </w:tcPr>
          <w:p>
            <w:pPr>
              <w:jc w:val="right"/>
              <w:spacing w:after="0" w:line="156" w:lineRule="exact"/>
              <w:rPr>
                <w:sz w:val="20"/>
                <w:szCs w:val="20"/>
                <w:color w:val="auto"/>
              </w:rPr>
            </w:pPr>
            <w:r>
              <w:rPr>
                <w:rFonts w:ascii="Arial" w:cs="Arial" w:eastAsia="Arial" w:hAnsi="Arial"/>
                <w:sz w:val="18"/>
                <w:szCs w:val="18"/>
                <w:color w:val="0000FF"/>
                <w:w w:val="86"/>
              </w:rPr>
              <w:t>121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r>
        <w:rPr>
          <w:rFonts w:ascii="Arial" w:cs="Arial" w:eastAsia="Arial" w:hAnsi="Arial"/>
          <w:sz w:val="18"/>
          <w:szCs w:val="18"/>
          <w:color w:val="FF0000"/>
          <w:strike w:val="1"/>
        </w:rPr>
        <w:t>viii</w:t>
      </w: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6.02 — Financial and Collateral Reporting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9.02 — Lender's Office; Certain Addresses for Notices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Form of</w:t>
      </w:r>
    </w:p>
    <w:p>
      <w:pPr>
        <w:spacing w:after="0" w:line="211" w:lineRule="exact"/>
        <w:rPr>
          <w:sz w:val="20"/>
          <w:szCs w:val="20"/>
          <w:color w:val="auto"/>
        </w:rPr>
      </w:pPr>
    </w:p>
    <w:p>
      <w:pPr>
        <w:ind w:left="1640" w:hanging="660"/>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Revolving Note</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Compliance Certificate</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Assignment and Assumption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Borrowing Base Certificate</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0000FF"/>
        </w:rPr>
        <w:t>F</w:t>
      </w:r>
      <w:r>
        <w:rPr>
          <w:rFonts w:ascii="Arial" w:cs="Arial" w:eastAsia="Arial" w:hAnsi="Arial"/>
          <w:sz w:val="16"/>
          <w:szCs w:val="16"/>
          <w:b w:val="1"/>
          <w:bCs w:val="1"/>
          <w:color w:val="0000FF"/>
        </w:rPr>
        <w:t>Credit Card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-1905</wp:posOffset>
            </wp:positionV>
            <wp:extent cx="16116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-19050</wp:posOffset>
            </wp:positionV>
            <wp:extent cx="16122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2265" cy="8255"/>
                    </a:xfrm>
                    <a:prstGeom prst="rect">
                      <a:avLst/>
                    </a:prstGeom>
                    <a:noFill/>
                  </pic:spPr>
                </pic:pic>
              </a:graphicData>
            </a:graphic>
          </wp:anchor>
        </w:drawing>
      </w:r>
    </w:p>
    <w:p>
      <w:pPr>
        <w:spacing w:after="0" w:line="191"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FF0000"/>
          <w:strike w:val="1"/>
        </w:rPr>
        <w:t>ix</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4"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CREDIT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October 27, 2011, among CITI TRENDS,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Guarantors parties hereto, and BANK OF AMERICA, N.A., as Lender (the “</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(as amended by that certain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First Amendment to Credit Agreement dated as of August 18, 2015[ </w:t>
      </w:r>
      <w:r>
        <w:rPr>
          <w:rFonts w:ascii="Arial" w:cs="Arial" w:eastAsia="Arial" w:hAnsi="Arial"/>
          <w:sz w:val="17"/>
          <w:szCs w:val="17"/>
          <w:color w:val="FF0000"/>
        </w:rPr>
        <w:t>and that certain</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 (ii)</w:t>
      </w:r>
      <w:r>
        <w:rPr>
          <w:rFonts w:ascii="Arial" w:cs="Arial" w:eastAsia="Arial" w:hAnsi="Arial"/>
          <w:sz w:val="17"/>
          <w:szCs w:val="17"/>
          <w:color w:val="auto"/>
        </w:rPr>
        <w:t xml:space="preserve"> Second </w:t>
      </w:r>
      <w:r>
        <w:rPr>
          <w:rFonts w:ascii="Arial" w:cs="Arial" w:eastAsia="Arial" w:hAnsi="Arial"/>
          <w:sz w:val="17"/>
          <w:szCs w:val="17"/>
          <w:b w:val="1"/>
          <w:bCs w:val="1"/>
          <w:u w:val="single" w:color="auto"/>
          <w:color w:val="0000FF"/>
        </w:rPr>
        <w:t>Amendment</w:t>
      </w:r>
      <w:r>
        <w:rPr>
          <w:rFonts w:ascii="Arial" w:cs="Arial" w:eastAsia="Arial" w:hAnsi="Arial"/>
          <w:sz w:val="17"/>
          <w:szCs w:val="17"/>
          <w:color w:val="auto"/>
        </w:rPr>
        <w:t xml:space="preserve"> to Credit Agreement, dated as of May 12, 2020, </w:t>
      </w:r>
      <w:r>
        <w:rPr>
          <w:rFonts w:ascii="Arial" w:cs="Arial" w:eastAsia="Arial" w:hAnsi="Arial"/>
          <w:sz w:val="17"/>
          <w:szCs w:val="17"/>
          <w:b w:val="1"/>
          <w:bCs w:val="1"/>
          <w:u w:val="single" w:color="auto"/>
          <w:color w:val="0000FF"/>
        </w:rPr>
        <w:t>(iii) Third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Amendment to Credit Agreement and First Amendment to Security Agreement, dated as of April 15, 2021,</w:t>
      </w:r>
      <w:r>
        <w:rPr>
          <w:rFonts w:ascii="Arial" w:cs="Arial" w:eastAsia="Arial" w:hAnsi="Arial"/>
          <w:sz w:val="17"/>
          <w:szCs w:val="17"/>
          <w:b w:val="1"/>
          <w:bCs w:val="1"/>
          <w:color w:val="0000FF"/>
        </w:rPr>
        <w:t xml:space="preserve"> </w:t>
      </w:r>
      <w:r>
        <w:rPr>
          <w:rFonts w:ascii="Arial" w:cs="Arial" w:eastAsia="Arial" w:hAnsi="Arial"/>
          <w:sz w:val="17"/>
          <w:szCs w:val="17"/>
          <w:color w:val="000000"/>
        </w:rPr>
        <w:t>and</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(iv)</w:t>
      </w:r>
      <w:r>
        <w:rPr>
          <w:rFonts w:ascii="Arial" w:cs="Arial" w:eastAsia="Arial" w:hAnsi="Arial"/>
          <w:sz w:val="17"/>
          <w:szCs w:val="17"/>
          <w:b w:val="1"/>
          <w:bCs w:val="1"/>
          <w:color w:val="0000FF"/>
        </w:rPr>
        <w:t xml:space="preserve"> </w:t>
      </w:r>
      <w:r>
        <w:rPr>
          <w:rFonts w:ascii="Arial" w:cs="Arial" w:eastAsia="Arial" w:hAnsi="Arial"/>
          <w:sz w:val="17"/>
          <w:szCs w:val="17"/>
          <w:color w:val="000000"/>
        </w:rPr>
        <w:t>as may be further amended,</w:t>
      </w:r>
      <w:r>
        <w:rPr>
          <w:rFonts w:ascii="Arial" w:cs="Arial" w:eastAsia="Arial" w:hAnsi="Arial"/>
          <w:sz w:val="17"/>
          <w:szCs w:val="17"/>
          <w:b w:val="1"/>
          <w:bCs w:val="1"/>
          <w:color w:val="0000FF"/>
        </w:rPr>
        <w:t xml:space="preserve"> </w:t>
      </w:r>
      <w:r>
        <w:rPr>
          <w:rFonts w:ascii="Arial" w:cs="Arial" w:eastAsia="Arial" w:hAnsi="Arial"/>
          <w:sz w:val="17"/>
          <w:szCs w:val="17"/>
          <w:color w:val="000000"/>
        </w:rPr>
        <w:t>restated, amended and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-358775</wp:posOffset>
            </wp:positionV>
            <wp:extent cx="7499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 has requested that the Lender provide a revolving credit facility, and the Lender has indicated its willingness to lend and the L/C Issuer has indicated its willingness to issue Letters of Credit, in each case on the terms and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ACCOUNTING TERMS</w:t>
      </w:r>
    </w:p>
    <w:p>
      <w:pPr>
        <w:spacing w:after="0" w:line="20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 xml:space="preserve">Defined Terms. </w:t>
      </w:r>
      <w:r>
        <w:rPr>
          <w:rFonts w:ascii="Arial" w:cs="Arial" w:eastAsia="Arial" w:hAnsi="Arial"/>
          <w:sz w:val="16"/>
          <w:szCs w:val="16"/>
          <w:color w:val="auto"/>
        </w:rPr>
        <w:t>As used in this Agreement, the following terms shall have the meanings set forth below:</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“Accelerated Borrowing Base Delivery Event” means either ([</w:t>
      </w:r>
      <w:r>
        <w:rPr>
          <w:rFonts w:ascii="Arial" w:cs="Arial" w:eastAsia="Arial" w:hAnsi="Arial"/>
          <w:sz w:val="17"/>
          <w:szCs w:val="17"/>
          <w:color w:val="FF0000"/>
          <w:strike w:val="1"/>
        </w:rPr>
        <w:t>i</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the occurrence and continuance of any Event of Default, or ([</w:t>
      </w:r>
      <w:r>
        <w:rPr>
          <w:rFonts w:ascii="Arial" w:cs="Arial" w:eastAsia="Arial" w:hAnsi="Arial"/>
          <w:sz w:val="17"/>
          <w:szCs w:val="17"/>
          <w:color w:val="FF0000"/>
          <w:strike w:val="1"/>
        </w:rPr>
        <w:t>ii</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b</w:t>
      </w:r>
      <w:r>
        <w:rPr>
          <w:rFonts w:ascii="Arial" w:cs="Arial" w:eastAsia="Arial" w:hAnsi="Arial"/>
          <w:sz w:val="17"/>
          <w:szCs w:val="17"/>
          <w:color w:val="auto"/>
        </w:rPr>
        <w:t xml:space="preserve">) the failure of the Borrower to maintain Availability at least equal to </w:t>
      </w:r>
      <w:r>
        <w:rPr>
          <w:rFonts w:ascii="Arial" w:cs="Arial" w:eastAsia="Arial" w:hAnsi="Arial"/>
          <w:sz w:val="17"/>
          <w:szCs w:val="17"/>
          <w:b w:val="1"/>
          <w:bCs w:val="1"/>
          <w:u w:val="single" w:color="auto"/>
          <w:color w:val="0000FF"/>
        </w:rPr>
        <w:t>the greater of (i)</w:t>
      </w:r>
      <w:r>
        <w:rPr>
          <w:rFonts w:ascii="Arial" w:cs="Arial" w:eastAsia="Arial" w:hAnsi="Arial"/>
          <w:sz w:val="17"/>
          <w:szCs w:val="17"/>
          <w:color w:val="auto"/>
        </w:rPr>
        <w:t xml:space="preserve"> twenty percent (20%) of the Loan Cap </w:t>
      </w:r>
      <w:r>
        <w:rPr>
          <w:rFonts w:ascii="Arial" w:cs="Arial" w:eastAsia="Arial" w:hAnsi="Arial"/>
          <w:sz w:val="17"/>
          <w:szCs w:val="17"/>
          <w:b w:val="1"/>
          <w:bCs w:val="1"/>
          <w:u w:val="single" w:color="auto"/>
          <w:color w:val="0000FF"/>
        </w:rPr>
        <w:t>and (ii) $11,250,000, in the case of each of</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clauses (i) and (ii), for three (3) consecutive Business Days</w:t>
      </w:r>
      <w:r>
        <w:rPr>
          <w:rFonts w:ascii="Arial" w:cs="Arial" w:eastAsia="Arial" w:hAnsi="Arial"/>
          <w:sz w:val="17"/>
          <w:szCs w:val="17"/>
          <w:color w:val="000000"/>
        </w:rPr>
        <w:t>. For purposes of this Agreement, the occurrence of an Accelerated Borrowing Base Delivery</w:t>
      </w:r>
      <w:r>
        <w:rPr>
          <w:rFonts w:ascii="Arial" w:cs="Arial" w:eastAsia="Arial" w:hAnsi="Arial"/>
          <w:sz w:val="17"/>
          <w:szCs w:val="17"/>
          <w:b w:val="1"/>
          <w:bCs w:val="1"/>
          <w:color w:val="0000FF"/>
        </w:rPr>
        <w:t xml:space="preserve"> </w:t>
      </w:r>
      <w:r>
        <w:rPr>
          <w:rFonts w:ascii="Arial" w:cs="Arial" w:eastAsia="Arial" w:hAnsi="Arial"/>
          <w:sz w:val="17"/>
          <w:szCs w:val="17"/>
          <w:color w:val="000000"/>
        </w:rPr>
        <w:t>Event shall be deemed continuing (i) so long as such Event of Default [</w:t>
      </w:r>
      <w:r>
        <w:rPr>
          <w:rFonts w:ascii="Arial" w:cs="Arial" w:eastAsia="Arial" w:hAnsi="Arial"/>
          <w:sz w:val="17"/>
          <w:szCs w:val="17"/>
          <w:color w:val="FF0000"/>
          <w:strike w:val="1"/>
        </w:rPr>
        <w:t>has not been waived</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is continuing</w:t>
      </w:r>
      <w:r>
        <w:rPr>
          <w:rFonts w:ascii="Arial" w:cs="Arial" w:eastAsia="Arial" w:hAnsi="Arial"/>
          <w:sz w:val="17"/>
          <w:szCs w:val="17"/>
          <w:color w:val="000000"/>
        </w:rPr>
        <w:t>, and/or (ii) if the Accelerated Borrowing Base Delivery Event arises as a result of the Borrower’s failure to [</w:t>
      </w:r>
      <w:r>
        <w:rPr>
          <w:rFonts w:ascii="Arial" w:cs="Arial" w:eastAsia="Arial" w:hAnsi="Arial"/>
          <w:sz w:val="17"/>
          <w:szCs w:val="17"/>
          <w:color w:val="FF0000"/>
          <w:strike w:val="1"/>
        </w:rPr>
        <w:t>achieve</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maintain</w:t>
      </w:r>
      <w:r>
        <w:rPr>
          <w:rFonts w:ascii="Arial" w:cs="Arial" w:eastAsia="Arial" w:hAnsi="Arial"/>
          <w:sz w:val="17"/>
          <w:szCs w:val="17"/>
          <w:color w:val="000000"/>
        </w:rPr>
        <w:t xml:space="preserve"> Availability [</w:t>
      </w:r>
      <w:r>
        <w:rPr>
          <w:rFonts w:ascii="Arial" w:cs="Arial" w:eastAsia="Arial" w:hAnsi="Arial"/>
          <w:sz w:val="17"/>
          <w:szCs w:val="17"/>
          <w:color w:val="FF0000"/>
          <w:strike w:val="1"/>
        </w:rPr>
        <w:t>as required hereunder</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under clause (b) of this definition</w:t>
      </w:r>
      <w:r>
        <w:rPr>
          <w:rFonts w:ascii="Arial" w:cs="Arial" w:eastAsia="Arial" w:hAnsi="Arial"/>
          <w:sz w:val="17"/>
          <w:szCs w:val="17"/>
          <w:color w:val="000000"/>
        </w:rPr>
        <w:t>, until Availability has exceeded twenty percent (20%) of the Loan Cap for [</w:t>
      </w:r>
      <w:r>
        <w:rPr>
          <w:rFonts w:ascii="Arial" w:cs="Arial" w:eastAsia="Arial" w:hAnsi="Arial"/>
          <w:sz w:val="17"/>
          <w:szCs w:val="17"/>
          <w:color w:val="FF0000"/>
          <w:strike w:val="1"/>
        </w:rPr>
        <w:t>sixty</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thirty</w:t>
      </w:r>
      <w:r>
        <w:rPr>
          <w:rFonts w:ascii="Arial" w:cs="Arial" w:eastAsia="Arial" w:hAnsi="Arial"/>
          <w:sz w:val="17"/>
          <w:szCs w:val="17"/>
          <w:color w:val="000000"/>
        </w:rPr>
        <w:t xml:space="preserve"> ([</w:t>
      </w:r>
      <w:r>
        <w:rPr>
          <w:rFonts w:ascii="Arial" w:cs="Arial" w:eastAsia="Arial" w:hAnsi="Arial"/>
          <w:sz w:val="17"/>
          <w:szCs w:val="17"/>
          <w:color w:val="FF0000"/>
          <w:strike w:val="1"/>
        </w:rPr>
        <w:t>60</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30</w:t>
      </w:r>
      <w:r>
        <w:rPr>
          <w:rFonts w:ascii="Arial" w:cs="Arial" w:eastAsia="Arial" w:hAnsi="Arial"/>
          <w:sz w:val="17"/>
          <w:szCs w:val="17"/>
          <w:color w:val="000000"/>
        </w:rPr>
        <w:t>) consecutive calendar days, in which case an Accelerated Borrowing Base Delivery Event shall no longer be deemed to be continuing for purposes of this Agreement. The termination of an Accelerated Borrowing Base Delivery Event as provided herein shall in no way limit, waive or delay the occurrence of a subsequent Accelerated Borrowing Base Delivery Event in the event that the conditions set forth in this definition again arise.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“Acceptable Credit Card Issuer” means any major credit or debit card issuer approved by the Lender (including, but not limited to, Visa, MasterCard, Discover and American Express).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“ACH” means automated clearing house transfers. “Accommodation Payment” as defined in </w:t>
      </w:r>
      <w:r>
        <w:rPr>
          <w:rFonts w:ascii="Arial" w:cs="Arial" w:eastAsia="Arial" w:hAnsi="Arial"/>
          <w:sz w:val="18"/>
          <w:szCs w:val="18"/>
          <w:u w:val="single" w:color="auto"/>
          <w:color w:val="auto"/>
        </w:rPr>
        <w:t>Section 9.20(d)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“Account” means “accounts” as defined in the UCC, and also means a right to payment of a monetary obligation, whether or not earned by performance, (a) for property that has been or is to be sold, leased, licensed, assigned, or otherwise disposed of, (b) for services rendered or to be rendered, or (c) arising out of the use of a credit or charge card or information contained on or for use with the card.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w:t>
      </w:r>
      <w:r>
        <w:rPr>
          <w:rFonts w:ascii="Arial" w:cs="Arial" w:eastAsia="Arial" w:hAnsi="Arial"/>
          <w:sz w:val="18"/>
          <w:szCs w:val="18"/>
          <w:color w:val="auto"/>
        </w:rPr>
        <w:t>][</w:t>
      </w:r>
      <w:r>
        <w:rPr>
          <w:rFonts w:ascii="Arial" w:cs="Arial" w:eastAsia="Arial" w:hAnsi="Arial"/>
          <w:sz w:val="18"/>
          <w:szCs w:val="18"/>
          <w:color w:val="FF0000"/>
          <w:strike w:val="1"/>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“Acquisition” means, with respect to any Person (a) a purchase of a Controlling interest in, the Equity Interests of any other Person, (b) a purchase or other acquisition of all or substantially all of the assets or properties of, another Person or of any business unit of another Person, (c) any merger or consolidation of such Person with any other Person or other transaction or series of transactions resulting in the acquisition of all or substantially all of the assets, or a Controlling interest in the Equity Interests, of such other Person, or (d) any acquisition of any </w:t>
      </w:r>
      <w:r>
        <w:rPr>
          <w:rFonts w:ascii="Arial" w:cs="Arial" w:eastAsia="Arial" w:hAnsi="Arial"/>
          <w:sz w:val="17"/>
          <w:szCs w:val="17"/>
          <w:b w:val="1"/>
          <w:bCs w:val="1"/>
          <w:u w:val="single" w:color="auto"/>
          <w:color w:val="0000FF"/>
        </w:rPr>
        <w:t>material portion of the</w:t>
      </w:r>
      <w:r>
        <w:rPr>
          <w:rFonts w:ascii="Arial" w:cs="Arial" w:eastAsia="Arial" w:hAnsi="Arial"/>
          <w:sz w:val="17"/>
          <w:szCs w:val="17"/>
          <w:color w:val="auto"/>
        </w:rPr>
        <w:t xml:space="preserve"> Store locations of any Person, in each case in any transaction or group of transactions which are part of a common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“Act” shall have the meaning provided in </w:t>
      </w:r>
      <w:r>
        <w:rPr>
          <w:rFonts w:ascii="Arial" w:cs="Arial" w:eastAsia="Arial" w:hAnsi="Arial"/>
          <w:sz w:val="18"/>
          <w:szCs w:val="18"/>
          <w:u w:val="single" w:color="auto"/>
          <w:color w:val="auto"/>
        </w:rPr>
        <w:t>Section 9.16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“Adjustment Date” means the first day of each Fiscal Quarter, commencing November 1, 2015.</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“Affiliate” means, with respect to any Person, [</w:t>
      </w:r>
      <w:r>
        <w:rPr>
          <w:rFonts w:ascii="Arial" w:cs="Arial" w:eastAsia="Arial" w:hAnsi="Arial"/>
          <w:sz w:val="17"/>
          <w:szCs w:val="17"/>
          <w:color w:val="FF0000"/>
          <w:strike w:val="1"/>
        </w:rPr>
        <w:t>(i)</w:t>
      </w:r>
      <w:r>
        <w:rPr>
          <w:rFonts w:ascii="Arial" w:cs="Arial" w:eastAsia="Arial" w:hAnsi="Arial"/>
          <w:sz w:val="17"/>
          <w:szCs w:val="17"/>
          <w:color w:val="auto"/>
        </w:rPr>
        <w:t xml:space="preserve"> ]another Person that directly, or indirectly through one or more intermediaries, Controls or is Controlled by or is under common Control with the Person specified[</w:t>
      </w:r>
      <w:r>
        <w:rPr>
          <w:rFonts w:ascii="Arial" w:cs="Arial" w:eastAsia="Arial" w:hAnsi="Arial"/>
          <w:sz w:val="17"/>
          <w:szCs w:val="17"/>
          <w:color w:val="FF0000"/>
          <w:strike w:val="1"/>
        </w:rPr>
        <w:t>, (ii) any director, officer, managing member, partner, trustee, or beneficiary of that</w:t>
      </w:r>
      <w:r>
        <w:rPr>
          <w:rFonts w:ascii="Arial" w:cs="Arial" w:eastAsia="Arial" w:hAnsi="Arial"/>
          <w:sz w:val="17"/>
          <w:szCs w:val="17"/>
          <w:color w:val="auto"/>
        </w:rPr>
        <w:t xml:space="preserve"> </w:t>
      </w:r>
      <w:r>
        <w:rPr>
          <w:rFonts w:ascii="Arial" w:cs="Arial" w:eastAsia="Arial" w:hAnsi="Arial"/>
          <w:sz w:val="17"/>
          <w:szCs w:val="17"/>
          <w:color w:val="FF0000"/>
          <w:strike w:val="1"/>
        </w:rPr>
        <w:t>Person, (iii) any other Person directly or indirectly holding ten percent (10%) or more of any class of the Equity Interests of that Person, and (iv) any other Person ten percent (10%) or more of any class of whose Equity Interests is held directly or indirectly by that Person</w:t>
      </w:r>
      <w:r>
        <w:rPr>
          <w:rFonts w:ascii="Arial" w:cs="Arial" w:eastAsia="Arial" w:hAnsi="Arial"/>
          <w:sz w:val="17"/>
          <w:szCs w:val="17"/>
          <w:color w:val="000000"/>
          <w:strike w:val="1"/>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means this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“Allocable Amount” has the meaning specified in </w:t>
      </w:r>
      <w:r>
        <w:rPr>
          <w:rFonts w:ascii="Arial" w:cs="Arial" w:eastAsia="Arial" w:hAnsi="Arial"/>
          <w:sz w:val="18"/>
          <w:szCs w:val="18"/>
          <w:u w:val="single" w:color="auto"/>
          <w:color w:val="auto"/>
        </w:rPr>
        <w:t>Section 9.20(d)</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“Anti-Corruption Laws” has the meaning specified in Section 5.27.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“Applicable Margin” means</w:t>
      </w:r>
    </w:p>
    <w:p>
      <w:pPr>
        <w:spacing w:after="0" w:line="221" w:lineRule="exact"/>
        <w:rPr>
          <w:sz w:val="20"/>
          <w:szCs w:val="20"/>
          <w:color w:val="auto"/>
        </w:rPr>
      </w:pPr>
    </w:p>
    <w:p>
      <w:pPr>
        <w:ind w:left="1180" w:hanging="524"/>
        <w:spacing w:after="0"/>
        <w:tabs>
          <w:tab w:leader="none" w:pos="1180" w:val="left"/>
        </w:tabs>
        <w:numPr>
          <w:ilvl w:val="0"/>
          <w:numId w:val="10"/>
        </w:numPr>
        <w:rPr>
          <w:rFonts w:ascii="Arial" w:cs="Arial" w:eastAsia="Arial" w:hAnsi="Arial"/>
          <w:sz w:val="16"/>
          <w:szCs w:val="16"/>
          <w:color w:val="FF0000"/>
        </w:rPr>
      </w:pPr>
      <w:r>
        <w:rPr>
          <w:rFonts w:ascii="Arial" w:cs="Arial" w:eastAsia="Arial" w:hAnsi="Arial"/>
          <w:sz w:val="16"/>
          <w:szCs w:val="16"/>
          <w:color w:val="auto"/>
        </w:rPr>
        <w:t>[</w:t>
      </w:r>
      <w:r>
        <w:rPr>
          <w:rFonts w:ascii="Arial" w:cs="Arial" w:eastAsia="Arial" w:hAnsi="Arial"/>
          <w:sz w:val="16"/>
          <w:szCs w:val="16"/>
          <w:color w:val="FF0000"/>
          <w:strike w:val="1"/>
        </w:rPr>
        <w:t>From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from</w:t>
      </w:r>
      <w:r>
        <w:rPr>
          <w:rFonts w:ascii="Arial" w:cs="Arial" w:eastAsia="Arial" w:hAnsi="Arial"/>
          <w:sz w:val="16"/>
          <w:szCs w:val="16"/>
          <w:color w:val="auto"/>
        </w:rPr>
        <w:t xml:space="preserve"> and after the [</w:t>
      </w:r>
      <w:r>
        <w:rPr>
          <w:rFonts w:ascii="Arial" w:cs="Arial" w:eastAsia="Arial" w:hAnsi="Arial"/>
          <w:sz w:val="16"/>
          <w:szCs w:val="16"/>
          <w:color w:val="FF0000"/>
          <w:strike w:val="1"/>
        </w:rPr>
        <w:t>Closing Date until the first Adjustment Date, the percentages set forth in Level I of the pricing grid below; and</w:t>
      </w:r>
      <w:r>
        <w:rPr>
          <w:rFonts w:ascii="Arial" w:cs="Arial" w:eastAsia="Arial" w:hAnsi="Arial"/>
          <w:sz w:val="16"/>
          <w:szCs w:val="16"/>
          <w:color w:val="auto"/>
        </w:rPr>
        <w:t>]</w:t>
      </w:r>
    </w:p>
    <w:p>
      <w:pPr>
        <w:spacing w:after="0" w:line="248" w:lineRule="exact"/>
        <w:rPr>
          <w:rFonts w:ascii="Arial" w:cs="Arial" w:eastAsia="Arial" w:hAnsi="Arial"/>
          <w:sz w:val="16"/>
          <w:szCs w:val="16"/>
          <w:color w:val="FF0000"/>
        </w:rPr>
      </w:pPr>
    </w:p>
    <w:p>
      <w:pPr>
        <w:jc w:val="both"/>
        <w:ind w:firstLine="656"/>
        <w:spacing w:after="0" w:line="271" w:lineRule="auto"/>
        <w:tabs>
          <w:tab w:leader="none" w:pos="1227" w:val="left"/>
        </w:tabs>
        <w:numPr>
          <w:ilvl w:val="0"/>
          <w:numId w:val="10"/>
        </w:numPr>
        <w:rPr>
          <w:rFonts w:ascii="Arial" w:cs="Arial" w:eastAsia="Arial" w:hAnsi="Arial"/>
          <w:sz w:val="17"/>
          <w:szCs w:val="17"/>
          <w:color w:val="FF0000"/>
        </w:rPr>
      </w:pPr>
      <w:r>
        <w:rPr>
          <w:rFonts w:ascii="Arial" w:cs="Arial" w:eastAsia="Arial" w:hAnsi="Arial"/>
          <w:sz w:val="17"/>
          <w:szCs w:val="17"/>
          <w:color w:val="auto"/>
        </w:rPr>
        <w:t>[</w:t>
      </w:r>
      <w:r>
        <w:rPr>
          <w:rFonts w:ascii="Arial" w:cs="Arial" w:eastAsia="Arial" w:hAnsi="Arial"/>
          <w:sz w:val="17"/>
          <w:szCs w:val="17"/>
          <w:color w:val="FF0000"/>
          <w:strike w:val="1"/>
        </w:rPr>
        <w:t>From and after the first Adjustment</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Third Amendment Effective</w:t>
      </w:r>
      <w:r>
        <w:rPr>
          <w:rFonts w:ascii="Arial" w:cs="Arial" w:eastAsia="Arial" w:hAnsi="Arial"/>
          <w:sz w:val="17"/>
          <w:szCs w:val="17"/>
          <w:color w:val="auto"/>
        </w:rPr>
        <w:t xml:space="preserve"> Date and on each Adjustment Date thereafter, the Applicable Margin shall be determined from the following pricing grid based upon the Average Daily Availability for the Fiscal Quarter most recently ended immediately preceding such Adjustment Date; provided [</w:t>
      </w:r>
      <w:r>
        <w:rPr>
          <w:rFonts w:ascii="Arial" w:cs="Arial" w:eastAsia="Arial" w:hAnsi="Arial"/>
          <w:sz w:val="17"/>
          <w:szCs w:val="17"/>
          <w:color w:val="FF0000"/>
          <w:strike w:val="1"/>
        </w:rPr>
        <w:t>that notwithstanding anything to the contrary set forth herein, upon the occurrence of an Event of Default, the</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Lender may immediately increase the Applicable Margin to that set forth in Level II (even if the Average Daily Availability requirements for a different Level have been met) and interest shall accrue at the Default Rate; provided </w:t>
      </w:r>
      <w:r>
        <w:rPr>
          <w:rFonts w:ascii="Arial" w:cs="Arial" w:eastAsia="Arial" w:hAnsi="Arial"/>
          <w:sz w:val="17"/>
          <w:szCs w:val="17"/>
          <w:color w:val="000000"/>
          <w:strike w:val="1"/>
        </w:rPr>
        <w:t>]further if any Borrowing Base Certificates are at any time restated or</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otherwise revised (including as a result of an audit) or if the information set forth in such financial statements or any Borrowing Base Certificates otherwise proves to be false or incorrect such that the Applicable Margin would have been higher than was otherwise in effect during any period, without constituting a waiver of any Default or Event of Default arising as a result thereof, interest due under this Agreement shall be immediately recalculated at such higher rate for any applicable periods and shall be due and payable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-1454785</wp:posOffset>
            </wp:positionV>
            <wp:extent cx="3263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63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-1180465</wp:posOffset>
            </wp:positionV>
            <wp:extent cx="3676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7665"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From the Closing Date to but excluding the Second Amendment Effective Date:</w:t>
      </w:r>
      <w:r>
        <w:rPr>
          <w:rFonts w:ascii="Arial" w:cs="Arial" w:eastAsia="Arial" w:hAnsi="Arial"/>
          <w:sz w:val="18"/>
          <w:szCs w:val="18"/>
          <w:color w:val="auto"/>
        </w:rPr>
        <w:t>]</w:t>
      </w:r>
    </w:p>
    <w:p>
      <w:pPr>
        <w:spacing w:after="0" w:line="219" w:lineRule="exact"/>
        <w:rPr>
          <w:sz w:val="20"/>
          <w:szCs w:val="20"/>
          <w:color w:val="auto"/>
        </w:rPr>
      </w:pPr>
    </w:p>
    <w:tbl>
      <w:tblPr>
        <w:tblLayout w:type="fixed"/>
        <w:tblInd w:w="292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15"/>
          </w:tcPr>
          <w:p>
            <w:pPr>
              <w:jc w:val="center"/>
              <w:ind w:right="940"/>
              <w:spacing w:after="0"/>
              <w:rPr>
                <w:sz w:val="20"/>
                <w:szCs w:val="20"/>
                <w:color w:val="auto"/>
              </w:rPr>
            </w:pPr>
            <w:r>
              <w:rPr>
                <w:rFonts w:ascii="Arial" w:cs="Arial" w:eastAsia="Arial" w:hAnsi="Arial"/>
                <w:sz w:val="18"/>
                <w:szCs w:val="18"/>
                <w:b w:val="1"/>
                <w:bCs w:val="1"/>
                <w:i w:val="1"/>
                <w:iCs w:val="1"/>
                <w:color w:val="auto"/>
                <w:w w:val="84"/>
              </w:rPr>
              <w:t>Average</w:t>
            </w:r>
          </w:p>
        </w:tc>
        <w:tc>
          <w:tcPr>
            <w:tcW w:w="40" w:type="dxa"/>
            <w:vAlign w:val="bottom"/>
            <w:tcBorders>
              <w:top w:val="single" w:sz="8" w:color="auto"/>
              <w:left w:val="single" w:sz="8" w:color="auto"/>
            </w:tcBorders>
          </w:tcPr>
          <w:p>
            <w:pPr>
              <w:spacing w:after="0"/>
              <w:rPr>
                <w:sz w:val="18"/>
                <w:szCs w:val="18"/>
                <w:color w:val="auto"/>
              </w:rPr>
            </w:pPr>
          </w:p>
        </w:tc>
        <w:tc>
          <w:tcPr>
            <w:tcW w:w="920" w:type="dxa"/>
            <w:vAlign w:val="bottom"/>
            <w:tcBorders>
              <w:top w:val="single" w:sz="8" w:color="auto"/>
              <w:right w:val="single" w:sz="8" w:color="auto"/>
            </w:tcBorders>
            <w:gridSpan w:val="8"/>
            <w:vMerge w:val="restart"/>
          </w:tcPr>
          <w:p>
            <w:pPr>
              <w:jc w:val="center"/>
              <w:spacing w:after="0"/>
              <w:rPr>
                <w:sz w:val="20"/>
                <w:szCs w:val="20"/>
                <w:color w:val="auto"/>
              </w:rPr>
            </w:pPr>
            <w:r>
              <w:rPr>
                <w:rFonts w:ascii="Arial" w:cs="Arial" w:eastAsia="Arial" w:hAnsi="Arial"/>
                <w:sz w:val="18"/>
                <w:szCs w:val="18"/>
                <w:b w:val="1"/>
                <w:bCs w:val="1"/>
                <w:color w:val="auto"/>
                <w:w w:val="93"/>
              </w:rPr>
              <w:t>Eurodollar</w:t>
            </w:r>
          </w:p>
        </w:tc>
        <w:tc>
          <w:tcPr>
            <w:tcW w:w="860" w:type="dxa"/>
            <w:vAlign w:val="bottom"/>
            <w:tcBorders>
              <w:top w:val="single" w:sz="8" w:color="auto"/>
              <w:right w:val="single" w:sz="8" w:color="auto"/>
            </w:tcBorders>
            <w:gridSpan w:val="9"/>
            <w:vMerge w:val="restart"/>
          </w:tcPr>
          <w:p>
            <w:pPr>
              <w:jc w:val="right"/>
              <w:spacing w:after="0"/>
              <w:rPr>
                <w:sz w:val="20"/>
                <w:szCs w:val="20"/>
                <w:color w:val="auto"/>
              </w:rPr>
            </w:pPr>
            <w:r>
              <w:rPr>
                <w:rFonts w:ascii="Arial" w:cs="Arial" w:eastAsia="Arial" w:hAnsi="Arial"/>
                <w:sz w:val="18"/>
                <w:szCs w:val="18"/>
                <w:b w:val="1"/>
                <w:bCs w:val="1"/>
                <w:color w:val="auto"/>
                <w:w w:val="89"/>
              </w:rPr>
              <w:t>Base Rate</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right w:val="single" w:sz="8" w:color="auto"/>
            </w:tcBorders>
            <w:gridSpan w:val="7"/>
            <w:vMerge w:val="restart"/>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14"/>
          </w:tcPr>
          <w:p>
            <w:pPr>
              <w:jc w:val="center"/>
              <w:ind w:right="1040"/>
              <w:spacing w:after="0"/>
              <w:rPr>
                <w:sz w:val="20"/>
                <w:szCs w:val="20"/>
                <w:color w:val="auto"/>
              </w:rPr>
            </w:pPr>
            <w:r>
              <w:rPr>
                <w:rFonts w:ascii="Arial" w:cs="Arial" w:eastAsia="Arial" w:hAnsi="Arial"/>
                <w:sz w:val="18"/>
                <w:szCs w:val="18"/>
                <w:b w:val="1"/>
                <w:bCs w:val="1"/>
                <w:i w:val="1"/>
                <w:iCs w:val="1"/>
                <w:color w:val="auto"/>
                <w:w w:val="92"/>
              </w:rPr>
              <w:t>Daily</w:t>
            </w:r>
          </w:p>
        </w:tc>
        <w:tc>
          <w:tcPr>
            <w:tcW w:w="4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gridSpan w:val="8"/>
            <w:vMerge w:val="continue"/>
          </w:tcPr>
          <w:p>
            <w:pPr>
              <w:spacing w:after="0"/>
              <w:rPr>
                <w:sz w:val="18"/>
                <w:szCs w:val="18"/>
                <w:color w:val="auto"/>
              </w:rPr>
            </w:pPr>
          </w:p>
        </w:tc>
        <w:tc>
          <w:tcPr>
            <w:tcW w:w="860" w:type="dxa"/>
            <w:vAlign w:val="bottom"/>
            <w:tcBorders>
              <w:right w:val="single" w:sz="8" w:color="auto"/>
            </w:tcBorders>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right w:val="single" w:sz="8" w:color="auto"/>
            </w:tcBorders>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17"/>
            <w:vMerge w:val="restart"/>
          </w:tcPr>
          <w:p>
            <w:pPr>
              <w:jc w:val="center"/>
              <w:ind w:right="820"/>
              <w:spacing w:after="0"/>
              <w:rPr>
                <w:sz w:val="20"/>
                <w:szCs w:val="20"/>
                <w:color w:val="auto"/>
              </w:rPr>
            </w:pPr>
            <w:r>
              <w:rPr>
                <w:rFonts w:ascii="Arial" w:cs="Arial" w:eastAsia="Arial" w:hAnsi="Arial"/>
                <w:sz w:val="18"/>
                <w:szCs w:val="18"/>
                <w:b w:val="1"/>
                <w:bCs w:val="1"/>
                <w:i w:val="1"/>
                <w:iCs w:val="1"/>
                <w:color w:val="auto"/>
                <w:w w:val="88"/>
              </w:rPr>
              <w:t>Availability</w:t>
            </w:r>
          </w:p>
        </w:tc>
        <w:tc>
          <w:tcPr>
            <w:tcW w:w="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right w:val="single" w:sz="8" w:color="auto"/>
            </w:tcBorders>
            <w:gridSpan w:val="7"/>
            <w:vMerge w:val="restart"/>
          </w:tcPr>
          <w:p>
            <w:pPr>
              <w:jc w:val="center"/>
              <w:ind w:right="101"/>
              <w:spacing w:after="0"/>
              <w:rPr>
                <w:sz w:val="20"/>
                <w:szCs w:val="20"/>
                <w:color w:val="auto"/>
              </w:rPr>
            </w:pPr>
            <w:r>
              <w:rPr>
                <w:rFonts w:ascii="Arial" w:cs="Arial" w:eastAsia="Arial" w:hAnsi="Arial"/>
                <w:sz w:val="18"/>
                <w:szCs w:val="18"/>
                <w:b w:val="1"/>
                <w:bCs w:val="1"/>
                <w:color w:val="auto"/>
                <w:w w:val="98"/>
              </w:rPr>
              <w:t>Margin</w:t>
            </w:r>
          </w:p>
        </w:tc>
        <w:tc>
          <w:tcPr>
            <w:tcW w:w="860" w:type="dxa"/>
            <w:vAlign w:val="bottom"/>
            <w:tcBorders>
              <w:right w:val="single" w:sz="8" w:color="auto"/>
            </w:tcBorders>
            <w:gridSpan w:val="9"/>
            <w:vMerge w:val="restart"/>
          </w:tcPr>
          <w:p>
            <w:pPr>
              <w:ind w:left="120"/>
              <w:spacing w:after="0"/>
              <w:rPr>
                <w:sz w:val="20"/>
                <w:szCs w:val="20"/>
                <w:color w:val="auto"/>
              </w:rPr>
            </w:pPr>
            <w:r>
              <w:rPr>
                <w:rFonts w:ascii="Arial" w:cs="Arial" w:eastAsia="Arial" w:hAnsi="Arial"/>
                <w:sz w:val="18"/>
                <w:szCs w:val="18"/>
                <w:b w:val="1"/>
                <w:bCs w:val="1"/>
                <w:color w:val="auto"/>
              </w:rPr>
              <w:t>Margin</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gridSpan w:val="17"/>
            <w:vMerge w:val="continue"/>
          </w:tcPr>
          <w:p>
            <w:pPr>
              <w:spacing w:after="0"/>
              <w:rPr>
                <w:sz w:val="9"/>
                <w:szCs w:val="9"/>
                <w:color w:val="auto"/>
              </w:rPr>
            </w:pPr>
          </w:p>
        </w:tc>
        <w:tc>
          <w:tcPr>
            <w:tcW w:w="4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right w:val="single" w:sz="8" w:color="auto"/>
            </w:tcBorders>
            <w:gridSpan w:val="7"/>
            <w:vMerge w:val="continue"/>
          </w:tcPr>
          <w:p>
            <w:pPr>
              <w:spacing w:after="0"/>
              <w:rPr>
                <w:sz w:val="9"/>
                <w:szCs w:val="9"/>
                <w:color w:val="auto"/>
              </w:rPr>
            </w:pPr>
          </w:p>
        </w:tc>
        <w:tc>
          <w:tcPr>
            <w:tcW w:w="860" w:type="dxa"/>
            <w:vAlign w:val="bottom"/>
            <w:tcBorders>
              <w:right w:val="single" w:sz="8" w:color="auto"/>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21"/>
          </w:tcPr>
          <w:p>
            <w:pPr>
              <w:jc w:val="center"/>
              <w:ind w:right="200"/>
              <w:spacing w:after="0" w:line="195" w:lineRule="exact"/>
              <w:rPr>
                <w:sz w:val="20"/>
                <w:szCs w:val="20"/>
                <w:color w:val="auto"/>
              </w:rPr>
            </w:pPr>
            <w:r>
              <w:rPr>
                <w:rFonts w:ascii="Arial" w:cs="Arial" w:eastAsia="Arial" w:hAnsi="Arial"/>
                <w:sz w:val="18"/>
                <w:szCs w:val="18"/>
                <w:i w:val="1"/>
                <w:iCs w:val="1"/>
                <w:color w:val="auto"/>
                <w:w w:val="92"/>
              </w:rPr>
              <w:t>Greater than or equal to</w:t>
            </w:r>
          </w:p>
        </w:tc>
        <w:tc>
          <w:tcPr>
            <w:tcW w:w="4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Borders>
              <w:right w:val="single" w:sz="8" w:color="auto"/>
            </w:tcBorders>
            <w:gridSpan w:val="5"/>
          </w:tcPr>
          <w:p>
            <w:pPr>
              <w:jc w:val="center"/>
              <w:ind w:right="300"/>
              <w:spacing w:after="0" w:line="190" w:lineRule="exact"/>
              <w:rPr>
                <w:sz w:val="20"/>
                <w:szCs w:val="20"/>
                <w:color w:val="auto"/>
              </w:rPr>
            </w:pPr>
            <w:r>
              <w:rPr>
                <w:rFonts w:ascii="Arial" w:cs="Arial" w:eastAsia="Arial" w:hAnsi="Arial"/>
                <w:sz w:val="18"/>
                <w:szCs w:val="18"/>
                <w:color w:val="auto"/>
              </w:rPr>
              <w:t>I</w:t>
            </w:r>
          </w:p>
        </w:tc>
        <w:tc>
          <w:tcPr>
            <w:tcW w:w="180" w:type="dxa"/>
            <w:vAlign w:val="bottom"/>
            <w:gridSpan w:val="3"/>
          </w:tcPr>
          <w:p>
            <w:pPr>
              <w:ind w:left="100"/>
              <w:spacing w:after="0" w:line="190" w:lineRule="exact"/>
              <w:rPr>
                <w:sz w:val="20"/>
                <w:szCs w:val="20"/>
                <w:color w:val="auto"/>
              </w:rPr>
            </w:pPr>
            <w:r>
              <w:rPr>
                <w:rFonts w:ascii="Arial" w:cs="Arial" w:eastAsia="Arial" w:hAnsi="Arial"/>
                <w:sz w:val="18"/>
                <w:szCs w:val="18"/>
                <w:i w:val="1"/>
                <w:iCs w:val="1"/>
                <w:color w:val="auto"/>
              </w:rPr>
              <w:t>[</w:t>
            </w:r>
          </w:p>
        </w:tc>
        <w:tc>
          <w:tcPr>
            <w:tcW w:w="900" w:type="dxa"/>
            <w:vAlign w:val="bottom"/>
            <w:gridSpan w:val="8"/>
          </w:tcPr>
          <w:p>
            <w:pPr>
              <w:jc w:val="right"/>
              <w:spacing w:after="0" w:line="190" w:lineRule="exact"/>
              <w:rPr>
                <w:sz w:val="20"/>
                <w:szCs w:val="20"/>
                <w:color w:val="auto"/>
              </w:rPr>
            </w:pPr>
            <w:r>
              <w:rPr>
                <w:rFonts w:ascii="Arial" w:cs="Arial" w:eastAsia="Arial" w:hAnsi="Arial"/>
                <w:sz w:val="18"/>
                <w:szCs w:val="18"/>
                <w:i w:val="1"/>
                <w:iCs w:val="1"/>
                <w:color w:val="FF0000"/>
                <w:strike w:val="1"/>
                <w:w w:val="87"/>
              </w:rPr>
              <w:t>$25,000,000</w:t>
            </w:r>
          </w:p>
        </w:tc>
        <w:tc>
          <w:tcPr>
            <w:tcW w:w="1420" w:type="dxa"/>
            <w:vAlign w:val="bottom"/>
            <w:gridSpan w:val="13"/>
          </w:tcPr>
          <w:p>
            <w:pPr>
              <w:spacing w:after="0" w:line="190" w:lineRule="exact"/>
              <w:rPr>
                <w:sz w:val="20"/>
                <w:szCs w:val="20"/>
                <w:color w:val="auto"/>
              </w:rPr>
            </w:pPr>
            <w:r>
              <w:rPr>
                <w:rFonts w:ascii="Arial" w:cs="Arial" w:eastAsia="Arial" w:hAnsi="Arial"/>
                <w:sz w:val="18"/>
                <w:szCs w:val="18"/>
                <w:i w:val="1"/>
                <w:iCs w:val="1"/>
                <w:color w:val="auto"/>
                <w:w w:val="96"/>
              </w:rPr>
              <w:t>]</w:t>
            </w:r>
            <w:r>
              <w:rPr>
                <w:rFonts w:ascii="Arial" w:cs="Arial" w:eastAsia="Arial" w:hAnsi="Arial"/>
                <w:sz w:val="18"/>
                <w:szCs w:val="18"/>
                <w:b w:val="1"/>
                <w:bCs w:val="1"/>
                <w:i w:val="1"/>
                <w:iCs w:val="1"/>
                <w:color w:val="0000FF"/>
                <w:w w:val="96"/>
              </w:rPr>
              <w:t>50% of the Loan</w:t>
            </w:r>
          </w:p>
        </w:tc>
        <w:tc>
          <w:tcPr>
            <w:tcW w:w="720" w:type="dxa"/>
            <w:vAlign w:val="bottom"/>
            <w:tcBorders>
              <w:left w:val="single" w:sz="8" w:color="auto"/>
            </w:tcBorders>
            <w:gridSpan w:val="6"/>
          </w:tcPr>
          <w:p>
            <w:pPr>
              <w:ind w:left="240"/>
              <w:spacing w:after="0" w:line="190" w:lineRule="exact"/>
              <w:rPr>
                <w:sz w:val="20"/>
                <w:szCs w:val="20"/>
                <w:color w:val="auto"/>
              </w:rPr>
            </w:pPr>
            <w:r>
              <w:rPr>
                <w:rFonts w:ascii="Arial" w:cs="Arial" w:eastAsia="Arial" w:hAnsi="Arial"/>
                <w:sz w:val="18"/>
                <w:szCs w:val="18"/>
                <w:color w:val="auto"/>
                <w:w w:val="90"/>
              </w:rPr>
              <w:t>1.25%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60" w:type="dxa"/>
            <w:vAlign w:val="bottom"/>
            <w:gridSpan w:val="7"/>
          </w:tcPr>
          <w:p>
            <w:pPr>
              <w:jc w:val="center"/>
              <w:ind w:left="70"/>
              <w:spacing w:after="0" w:line="190" w:lineRule="exact"/>
              <w:rPr>
                <w:sz w:val="20"/>
                <w:szCs w:val="20"/>
                <w:color w:val="auto"/>
              </w:rPr>
            </w:pPr>
            <w:r>
              <w:rPr>
                <w:rFonts w:ascii="Arial" w:cs="Arial" w:eastAsia="Arial" w:hAnsi="Arial"/>
                <w:sz w:val="18"/>
                <w:szCs w:val="18"/>
                <w:color w:val="auto"/>
                <w:w w:val="90"/>
              </w:rPr>
              <w:t>0.25%</w:t>
            </w:r>
          </w:p>
        </w:tc>
        <w:tc>
          <w:tcPr>
            <w:tcW w:w="4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20" w:type="dxa"/>
            <w:vAlign w:val="bottom"/>
            <w:gridSpan w:val="8"/>
          </w:tcPr>
          <w:p>
            <w:pPr>
              <w:jc w:val="center"/>
              <w:ind w:right="890"/>
              <w:spacing w:after="0" w:line="156" w:lineRule="exact"/>
              <w:rPr>
                <w:sz w:val="20"/>
                <w:szCs w:val="20"/>
                <w:color w:val="auto"/>
              </w:rPr>
            </w:pPr>
            <w:r>
              <w:rPr>
                <w:rFonts w:ascii="Arial" w:cs="Arial" w:eastAsia="Arial" w:hAnsi="Arial"/>
                <w:sz w:val="18"/>
                <w:szCs w:val="18"/>
                <w:b w:val="1"/>
                <w:bCs w:val="1"/>
                <w:i w:val="1"/>
                <w:iCs w:val="1"/>
                <w:color w:val="0000FF"/>
                <w:w w:val="70"/>
              </w:rPr>
              <w:t>Cap</w:t>
            </w: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6"/>
          </w:tcPr>
          <w:p>
            <w:pPr>
              <w:ind w:left="20"/>
              <w:spacing w:after="0" w:line="170" w:lineRule="exact"/>
              <w:rPr>
                <w:sz w:val="20"/>
                <w:szCs w:val="20"/>
                <w:color w:val="auto"/>
              </w:rPr>
            </w:pPr>
            <w:r>
              <w:rPr>
                <w:rFonts w:ascii="Arial" w:cs="Arial" w:eastAsia="Arial" w:hAnsi="Arial"/>
                <w:sz w:val="18"/>
                <w:szCs w:val="18"/>
                <w:i w:val="1"/>
                <w:iCs w:val="1"/>
                <w:color w:val="auto"/>
                <w:w w:val="88"/>
              </w:rPr>
              <w:t>Less than [</w:t>
            </w:r>
          </w:p>
        </w:tc>
        <w:tc>
          <w:tcPr>
            <w:tcW w:w="900" w:type="dxa"/>
            <w:vAlign w:val="bottom"/>
            <w:gridSpan w:val="11"/>
          </w:tcPr>
          <w:p>
            <w:pPr>
              <w:jc w:val="right"/>
              <w:spacing w:after="0" w:line="170" w:lineRule="exact"/>
              <w:rPr>
                <w:sz w:val="20"/>
                <w:szCs w:val="20"/>
                <w:color w:val="auto"/>
              </w:rPr>
            </w:pPr>
            <w:r>
              <w:rPr>
                <w:rFonts w:ascii="Arial" w:cs="Arial" w:eastAsia="Arial" w:hAnsi="Arial"/>
                <w:sz w:val="18"/>
                <w:szCs w:val="18"/>
                <w:i w:val="1"/>
                <w:iCs w:val="1"/>
                <w:color w:val="FF0000"/>
                <w:strike w:val="1"/>
                <w:w w:val="87"/>
              </w:rPr>
              <w:t>$25,000,000</w:t>
            </w:r>
          </w:p>
        </w:tc>
        <w:tc>
          <w:tcPr>
            <w:tcW w:w="700" w:type="dxa"/>
            <w:vAlign w:val="bottom"/>
            <w:gridSpan w:val="5"/>
          </w:tcPr>
          <w:p>
            <w:pPr>
              <w:spacing w:after="0" w:line="170" w:lineRule="exact"/>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0000FF"/>
              </w:rPr>
              <w:t>50% of</w:t>
            </w:r>
          </w:p>
        </w:tc>
        <w:tc>
          <w:tcPr>
            <w:tcW w:w="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40" w:type="dxa"/>
            <w:vAlign w:val="bottom"/>
            <w:tcBorders>
              <w:right w:val="single" w:sz="8" w:color="auto"/>
            </w:tcBorders>
            <w:gridSpan w:val="5"/>
            <w:vMerge w:val="restart"/>
          </w:tcPr>
          <w:p>
            <w:pPr>
              <w:jc w:val="center"/>
              <w:ind w:right="320"/>
              <w:spacing w:after="0" w:line="196" w:lineRule="exact"/>
              <w:rPr>
                <w:sz w:val="20"/>
                <w:szCs w:val="20"/>
                <w:color w:val="auto"/>
              </w:rPr>
            </w:pPr>
            <w:r>
              <w:rPr>
                <w:rFonts w:ascii="Arial" w:cs="Arial" w:eastAsia="Arial" w:hAnsi="Arial"/>
                <w:sz w:val="18"/>
                <w:szCs w:val="18"/>
                <w:color w:val="auto"/>
              </w:rPr>
              <w:t>II</w:t>
            </w:r>
          </w:p>
        </w:tc>
        <w:tc>
          <w:tcPr>
            <w:tcW w:w="1860" w:type="dxa"/>
            <w:vAlign w:val="bottom"/>
            <w:gridSpan w:val="20"/>
            <w:vMerge w:val="restart"/>
          </w:tcPr>
          <w:p>
            <w:pPr>
              <w:jc w:val="center"/>
              <w:spacing w:after="0" w:line="196" w:lineRule="exact"/>
              <w:rPr>
                <w:sz w:val="20"/>
                <w:szCs w:val="20"/>
                <w:color w:val="auto"/>
              </w:rPr>
            </w:pPr>
            <w:r>
              <w:rPr>
                <w:rFonts w:ascii="Arial" w:cs="Arial" w:eastAsia="Arial" w:hAnsi="Arial"/>
                <w:sz w:val="18"/>
                <w:szCs w:val="18"/>
                <w:b w:val="1"/>
                <w:bCs w:val="1"/>
                <w:i w:val="1"/>
                <w:iCs w:val="1"/>
                <w:color w:val="0000FF"/>
                <w:w w:val="86"/>
              </w:rPr>
              <w:t>the Loan Cap but greater</w:t>
            </w: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left w:val="single" w:sz="8" w:color="auto"/>
            </w:tcBorders>
            <w:gridSpan w:val="6"/>
            <w:vMerge w:val="restart"/>
          </w:tcPr>
          <w:p>
            <w:pPr>
              <w:ind w:left="240"/>
              <w:spacing w:after="0" w:line="196" w:lineRule="exact"/>
              <w:rPr>
                <w:sz w:val="20"/>
                <w:szCs w:val="20"/>
                <w:color w:val="auto"/>
              </w:rPr>
            </w:pPr>
            <w:r>
              <w:rPr>
                <w:rFonts w:ascii="Arial" w:cs="Arial" w:eastAsia="Arial" w:hAnsi="Arial"/>
                <w:sz w:val="18"/>
                <w:szCs w:val="18"/>
                <w:color w:val="auto"/>
                <w:w w:val="90"/>
              </w:rPr>
              <w:t>1.50%</w:t>
            </w: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right w:val="single" w:sz="8" w:color="auto"/>
            </w:tcBorders>
            <w:vMerge w:val="restart"/>
          </w:tcPr>
          <w:p>
            <w:pPr>
              <w:spacing w:after="0" w:line="20" w:lineRule="exact"/>
              <w:rPr>
                <w:sz w:val="1"/>
                <w:szCs w:val="1"/>
                <w:color w:val="auto"/>
              </w:rPr>
            </w:pPr>
          </w:p>
        </w:tc>
        <w:tc>
          <w:tcPr>
            <w:tcW w:w="660" w:type="dxa"/>
            <w:vAlign w:val="bottom"/>
            <w:gridSpan w:val="7"/>
            <w:vMerge w:val="restart"/>
          </w:tcPr>
          <w:p>
            <w:pPr>
              <w:jc w:val="center"/>
              <w:ind w:left="70"/>
              <w:spacing w:after="0" w:line="196" w:lineRule="exact"/>
              <w:rPr>
                <w:sz w:val="20"/>
                <w:szCs w:val="20"/>
                <w:color w:val="auto"/>
              </w:rPr>
            </w:pPr>
            <w:r>
              <w:rPr>
                <w:rFonts w:ascii="Arial" w:cs="Arial" w:eastAsia="Arial" w:hAnsi="Arial"/>
                <w:sz w:val="18"/>
                <w:szCs w:val="18"/>
                <w:color w:val="auto"/>
                <w:w w:val="90"/>
              </w:rPr>
              <w:t>0.50%</w:t>
            </w: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440" w:type="dxa"/>
            <w:vAlign w:val="bottom"/>
            <w:tcBorders>
              <w:right w:val="single" w:sz="8" w:color="auto"/>
            </w:tcBorders>
            <w:gridSpan w:val="5"/>
            <w:vMerge w:val="continue"/>
          </w:tcPr>
          <w:p>
            <w:pPr>
              <w:spacing w:after="0"/>
              <w:rPr>
                <w:sz w:val="13"/>
                <w:szCs w:val="13"/>
                <w:color w:val="auto"/>
              </w:rPr>
            </w:pPr>
          </w:p>
        </w:tc>
        <w:tc>
          <w:tcPr>
            <w:tcW w:w="1860" w:type="dxa"/>
            <w:vAlign w:val="bottom"/>
            <w:gridSpan w:val="20"/>
            <w:vMerge w:val="continue"/>
          </w:tcPr>
          <w:p>
            <w:pPr>
              <w:spacing w:after="0"/>
              <w:rPr>
                <w:sz w:val="13"/>
                <w:szCs w:val="13"/>
                <w:color w:val="auto"/>
              </w:rPr>
            </w:pPr>
          </w:p>
        </w:tc>
        <w:tc>
          <w:tcPr>
            <w:tcW w:w="640" w:type="dxa"/>
            <w:vAlign w:val="bottom"/>
            <w:gridSpan w:val="4"/>
          </w:tcPr>
          <w:p>
            <w:pPr>
              <w:ind w:left="60"/>
              <w:spacing w:after="0" w:line="156" w:lineRule="exact"/>
              <w:rPr>
                <w:sz w:val="20"/>
                <w:szCs w:val="20"/>
                <w:color w:val="auto"/>
              </w:rPr>
            </w:pPr>
            <w:r>
              <w:rPr>
                <w:rFonts w:ascii="Arial" w:cs="Arial" w:eastAsia="Arial" w:hAnsi="Arial"/>
                <w:sz w:val="18"/>
                <w:szCs w:val="18"/>
                <w:b w:val="1"/>
                <w:bCs w:val="1"/>
                <w:i w:val="1"/>
                <w:iCs w:val="1"/>
                <w:color w:val="0000FF"/>
                <w:w w:val="88"/>
              </w:rPr>
              <w:t>than or</w:t>
            </w:r>
          </w:p>
        </w:tc>
        <w:tc>
          <w:tcPr>
            <w:tcW w:w="720" w:type="dxa"/>
            <w:vAlign w:val="bottom"/>
            <w:tcBorders>
              <w:left w:val="single" w:sz="8" w:color="auto"/>
            </w:tcBorders>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0" w:type="dxa"/>
            <w:vAlign w:val="bottom"/>
            <w:tcBorders>
              <w:right w:val="single" w:sz="8" w:color="auto"/>
            </w:tcBorders>
            <w:vMerge w:val="continue"/>
          </w:tcPr>
          <w:p>
            <w:pPr>
              <w:spacing w:after="0"/>
              <w:rPr>
                <w:sz w:val="13"/>
                <w:szCs w:val="13"/>
                <w:color w:val="auto"/>
              </w:rPr>
            </w:pPr>
          </w:p>
        </w:tc>
        <w:tc>
          <w:tcPr>
            <w:tcW w:w="660" w:type="dxa"/>
            <w:vAlign w:val="bottom"/>
            <w:gridSpan w:val="7"/>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20" w:type="dxa"/>
            <w:vAlign w:val="bottom"/>
            <w:gridSpan w:val="22"/>
          </w:tcPr>
          <w:p>
            <w:pPr>
              <w:jc w:val="center"/>
              <w:ind w:right="200"/>
              <w:spacing w:after="0" w:line="156" w:lineRule="exact"/>
              <w:rPr>
                <w:sz w:val="20"/>
                <w:szCs w:val="20"/>
                <w:color w:val="auto"/>
              </w:rPr>
            </w:pPr>
            <w:r>
              <w:rPr>
                <w:rFonts w:ascii="Arial" w:cs="Arial" w:eastAsia="Arial" w:hAnsi="Arial"/>
                <w:sz w:val="18"/>
                <w:szCs w:val="18"/>
                <w:b w:val="1"/>
                <w:bCs w:val="1"/>
                <w:i w:val="1"/>
                <w:iCs w:val="1"/>
                <w:color w:val="0000FF"/>
                <w:w w:val="88"/>
              </w:rPr>
              <w:t>equal to 25% of the Loan Cap</w:t>
            </w:r>
          </w:p>
        </w:tc>
        <w:tc>
          <w:tcPr>
            <w:tcW w:w="4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shd w:val="clear" w:color="auto" w:fill="CCCCFF"/>
          </w:tcPr>
          <w:p>
            <w:pPr>
              <w:spacing w:after="0"/>
              <w:rPr>
                <w:sz w:val="18"/>
                <w:szCs w:val="18"/>
                <w:color w:val="auto"/>
              </w:rPr>
            </w:pPr>
          </w:p>
        </w:tc>
        <w:tc>
          <w:tcPr>
            <w:tcW w:w="120" w:type="dxa"/>
            <w:vAlign w:val="bottom"/>
            <w:tcBorders>
              <w:bottom w:val="single" w:sz="8" w:color="auto"/>
            </w:tcBorders>
            <w:shd w:val="clear" w:color="auto" w:fill="CCCCFF"/>
          </w:tcPr>
          <w:p>
            <w:pPr>
              <w:spacing w:after="0"/>
              <w:rPr>
                <w:sz w:val="18"/>
                <w:szCs w:val="18"/>
                <w:color w:val="auto"/>
              </w:rPr>
            </w:pPr>
          </w:p>
        </w:tc>
        <w:tc>
          <w:tcPr>
            <w:tcW w:w="480" w:type="dxa"/>
            <w:vAlign w:val="bottom"/>
            <w:tcBorders>
              <w:bottom w:val="single" w:sz="8" w:color="auto"/>
              <w:right w:val="single" w:sz="8" w:color="auto"/>
            </w:tcBorders>
            <w:gridSpan w:val="6"/>
            <w:shd w:val="clear" w:color="auto" w:fill="CCCCFF"/>
          </w:tcPr>
          <w:p>
            <w:pPr>
              <w:jc w:val="center"/>
              <w:ind w:right="280"/>
              <w:spacing w:after="0" w:line="170" w:lineRule="exact"/>
              <w:rPr>
                <w:sz w:val="20"/>
                <w:szCs w:val="20"/>
                <w:color w:val="auto"/>
              </w:rPr>
            </w:pPr>
            <w:r>
              <w:rPr>
                <w:rFonts w:ascii="Arial" w:cs="Arial" w:eastAsia="Arial" w:hAnsi="Arial"/>
                <w:sz w:val="18"/>
                <w:szCs w:val="18"/>
                <w:b w:val="1"/>
                <w:bCs w:val="1"/>
                <w:color w:val="0000FF"/>
              </w:rPr>
              <w:t>III</w:t>
            </w:r>
          </w:p>
        </w:tc>
        <w:tc>
          <w:tcPr>
            <w:tcW w:w="20" w:type="dxa"/>
            <w:vAlign w:val="bottom"/>
            <w:tcBorders>
              <w:bottom w:val="single" w:sz="8" w:color="auto"/>
            </w:tcBorders>
            <w:shd w:val="clear" w:color="auto" w:fill="CCCCFF"/>
          </w:tcPr>
          <w:p>
            <w:pPr>
              <w:spacing w:after="0"/>
              <w:rPr>
                <w:sz w:val="18"/>
                <w:szCs w:val="18"/>
                <w:color w:val="auto"/>
              </w:rPr>
            </w:pPr>
          </w:p>
        </w:tc>
        <w:tc>
          <w:tcPr>
            <w:tcW w:w="60" w:type="dxa"/>
            <w:vAlign w:val="bottom"/>
            <w:tcBorders>
              <w:bottom w:val="single" w:sz="8" w:color="auto"/>
            </w:tcBorders>
            <w:shd w:val="clear" w:color="auto" w:fill="CCCCFF"/>
          </w:tcPr>
          <w:p>
            <w:pPr>
              <w:spacing w:after="0"/>
              <w:rPr>
                <w:sz w:val="18"/>
                <w:szCs w:val="18"/>
                <w:color w:val="auto"/>
              </w:rPr>
            </w:pPr>
          </w:p>
        </w:tc>
        <w:tc>
          <w:tcPr>
            <w:tcW w:w="2420" w:type="dxa"/>
            <w:vAlign w:val="bottom"/>
            <w:tcBorders>
              <w:bottom w:val="single" w:sz="8" w:color="auto"/>
              <w:right w:val="single" w:sz="8" w:color="CCCCFF"/>
            </w:tcBorders>
            <w:gridSpan w:val="22"/>
            <w:shd w:val="clear" w:color="auto" w:fill="CCCCFF"/>
          </w:tcPr>
          <w:p>
            <w:pPr>
              <w:jc w:val="center"/>
              <w:ind w:right="80"/>
              <w:spacing w:after="0" w:line="170" w:lineRule="exact"/>
              <w:rPr>
                <w:sz w:val="20"/>
                <w:szCs w:val="20"/>
                <w:color w:val="auto"/>
              </w:rPr>
            </w:pPr>
            <w:r>
              <w:rPr>
                <w:rFonts w:ascii="Arial" w:cs="Arial" w:eastAsia="Arial" w:hAnsi="Arial"/>
                <w:sz w:val="18"/>
                <w:szCs w:val="18"/>
                <w:b w:val="1"/>
                <w:bCs w:val="1"/>
                <w:i w:val="1"/>
                <w:iCs w:val="1"/>
                <w:color w:val="0000FF"/>
                <w:w w:val="87"/>
              </w:rPr>
              <w:t>Less than 25% of the Loan Cap</w:t>
            </w:r>
          </w:p>
        </w:tc>
        <w:tc>
          <w:tcPr>
            <w:tcW w:w="720" w:type="dxa"/>
            <w:vAlign w:val="bottom"/>
            <w:tcBorders>
              <w:left w:val="single" w:sz="8" w:color="auto"/>
              <w:bottom w:val="single" w:sz="8" w:color="auto"/>
            </w:tcBorders>
            <w:gridSpan w:val="6"/>
            <w:shd w:val="clear" w:color="auto" w:fill="CCCCFF"/>
          </w:tcPr>
          <w:p>
            <w:pPr>
              <w:jc w:val="center"/>
              <w:ind w:left="158"/>
              <w:spacing w:after="0" w:line="170" w:lineRule="exact"/>
              <w:rPr>
                <w:sz w:val="20"/>
                <w:szCs w:val="20"/>
                <w:color w:val="auto"/>
              </w:rPr>
            </w:pPr>
            <w:r>
              <w:rPr>
                <w:rFonts w:ascii="Arial" w:cs="Arial" w:eastAsia="Arial" w:hAnsi="Arial"/>
                <w:sz w:val="18"/>
                <w:szCs w:val="18"/>
                <w:b w:val="1"/>
                <w:bCs w:val="1"/>
                <w:color w:val="0000FF"/>
                <w:w w:val="93"/>
              </w:rPr>
              <w:t>1.75%</w:t>
            </w:r>
          </w:p>
        </w:tc>
        <w:tc>
          <w:tcPr>
            <w:tcW w:w="20" w:type="dxa"/>
            <w:vAlign w:val="bottom"/>
            <w:tcBorders>
              <w:bottom w:val="single" w:sz="8" w:color="auto"/>
            </w:tcBorders>
            <w:shd w:val="clear" w:color="auto" w:fill="CCCCFF"/>
          </w:tcPr>
          <w:p>
            <w:pPr>
              <w:spacing w:after="0"/>
              <w:rPr>
                <w:sz w:val="18"/>
                <w:szCs w:val="18"/>
                <w:color w:val="auto"/>
              </w:rPr>
            </w:pPr>
          </w:p>
        </w:tc>
        <w:tc>
          <w:tcPr>
            <w:tcW w:w="140" w:type="dxa"/>
            <w:vAlign w:val="bottom"/>
            <w:tcBorders>
              <w:bottom w:val="single" w:sz="8" w:color="auto"/>
            </w:tcBorders>
            <w:shd w:val="clear" w:color="auto" w:fill="CCCCFF"/>
          </w:tcPr>
          <w:p>
            <w:pPr>
              <w:spacing w:after="0"/>
              <w:rPr>
                <w:sz w:val="18"/>
                <w:szCs w:val="18"/>
                <w:color w:val="auto"/>
              </w:rPr>
            </w:pPr>
          </w:p>
        </w:tc>
        <w:tc>
          <w:tcPr>
            <w:tcW w:w="80" w:type="dxa"/>
            <w:vAlign w:val="bottom"/>
            <w:tcBorders>
              <w:bottom w:val="single" w:sz="8" w:color="auto"/>
              <w:right w:val="single" w:sz="8" w:color="auto"/>
            </w:tcBorders>
            <w:shd w:val="clear" w:color="auto" w:fill="CCCCFF"/>
          </w:tcPr>
          <w:p>
            <w:pPr>
              <w:spacing w:after="0"/>
              <w:rPr>
                <w:sz w:val="18"/>
                <w:szCs w:val="18"/>
                <w:color w:val="auto"/>
              </w:rPr>
            </w:pPr>
          </w:p>
        </w:tc>
        <w:tc>
          <w:tcPr>
            <w:tcW w:w="700" w:type="dxa"/>
            <w:vAlign w:val="bottom"/>
            <w:tcBorders>
              <w:bottom w:val="single" w:sz="8" w:color="auto"/>
            </w:tcBorders>
            <w:gridSpan w:val="8"/>
            <w:shd w:val="clear" w:color="auto" w:fill="CCCCFF"/>
          </w:tcPr>
          <w:p>
            <w:pPr>
              <w:jc w:val="center"/>
              <w:ind w:left="30"/>
              <w:spacing w:after="0" w:line="170" w:lineRule="exact"/>
              <w:rPr>
                <w:sz w:val="20"/>
                <w:szCs w:val="20"/>
                <w:color w:val="auto"/>
              </w:rPr>
            </w:pPr>
            <w:r>
              <w:rPr>
                <w:rFonts w:ascii="Arial" w:cs="Arial" w:eastAsia="Arial" w:hAnsi="Arial"/>
                <w:sz w:val="18"/>
                <w:szCs w:val="18"/>
                <w:b w:val="1"/>
                <w:bCs w:val="1"/>
                <w:color w:val="0000FF"/>
                <w:w w:val="97"/>
              </w:rPr>
              <w:t>0.75%</w:t>
            </w:r>
          </w:p>
        </w:tc>
        <w:tc>
          <w:tcPr>
            <w:tcW w:w="160" w:type="dxa"/>
            <w:vAlign w:val="bottom"/>
            <w:tcBorders>
              <w:bottom w:val="single" w:sz="8" w:color="auto"/>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600" w:type="dxa"/>
            <w:vAlign w:val="bottom"/>
            <w:gridSpan w:val="37"/>
          </w:tcPr>
          <w:p>
            <w:pPr>
              <w:jc w:val="center"/>
              <w:spacing w:after="0"/>
              <w:rPr>
                <w:sz w:val="20"/>
                <w:szCs w:val="20"/>
                <w:color w:val="auto"/>
              </w:rPr>
            </w:pPr>
            <w:r>
              <w:rPr>
                <w:rFonts w:ascii="Arial" w:cs="Arial" w:eastAsia="Arial" w:hAnsi="Arial"/>
                <w:sz w:val="18"/>
                <w:szCs w:val="18"/>
                <w:color w:val="FF0000"/>
                <w:strike w:val="1"/>
                <w:w w:val="91"/>
              </w:rPr>
              <w:t>From and after the Second Amendment Effective:</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shd w:val="clear" w:color="auto" w:fill="FFCCCC"/>
          </w:tcPr>
          <w:p>
            <w:pPr>
              <w:spacing w:after="0"/>
              <w:rPr>
                <w:sz w:val="18"/>
                <w:szCs w:val="18"/>
                <w:color w:val="auto"/>
              </w:rPr>
            </w:pPr>
          </w:p>
        </w:tc>
        <w:tc>
          <w:tcPr>
            <w:tcW w:w="120" w:type="dxa"/>
            <w:vAlign w:val="bottom"/>
            <w:shd w:val="clear" w:color="auto" w:fill="FFCCCC"/>
          </w:tcPr>
          <w:p>
            <w:pPr>
              <w:spacing w:after="0"/>
              <w:rPr>
                <w:sz w:val="18"/>
                <w:szCs w:val="18"/>
                <w:color w:val="auto"/>
              </w:rPr>
            </w:pPr>
          </w:p>
        </w:tc>
        <w:tc>
          <w:tcPr>
            <w:tcW w:w="40" w:type="dxa"/>
            <w:vAlign w:val="bottom"/>
            <w:shd w:val="clear" w:color="auto" w:fill="FFCCCC"/>
          </w:tcPr>
          <w:p>
            <w:pPr>
              <w:spacing w:after="0"/>
              <w:rPr>
                <w:sz w:val="18"/>
                <w:szCs w:val="18"/>
                <w:color w:val="auto"/>
              </w:rPr>
            </w:pPr>
          </w:p>
        </w:tc>
        <w:tc>
          <w:tcPr>
            <w:tcW w:w="120" w:type="dxa"/>
            <w:vAlign w:val="bottom"/>
            <w:shd w:val="clear" w:color="auto" w:fill="FFCCCC"/>
          </w:tcPr>
          <w:p>
            <w:pPr>
              <w:spacing w:after="0"/>
              <w:rPr>
                <w:sz w:val="18"/>
                <w:szCs w:val="18"/>
                <w:color w:val="auto"/>
              </w:rPr>
            </w:pPr>
          </w:p>
        </w:tc>
        <w:tc>
          <w:tcPr>
            <w:tcW w:w="40" w:type="dxa"/>
            <w:vAlign w:val="bottom"/>
            <w:shd w:val="clear" w:color="auto" w:fill="FFCCCC"/>
          </w:tcPr>
          <w:p>
            <w:pPr>
              <w:spacing w:after="0"/>
              <w:rPr>
                <w:sz w:val="18"/>
                <w:szCs w:val="18"/>
                <w:color w:val="auto"/>
              </w:rPr>
            </w:pPr>
          </w:p>
        </w:tc>
        <w:tc>
          <w:tcPr>
            <w:tcW w:w="100" w:type="dxa"/>
            <w:vAlign w:val="bottom"/>
            <w:shd w:val="clear" w:color="auto" w:fill="FFCCCC"/>
          </w:tcPr>
          <w:p>
            <w:pPr>
              <w:spacing w:after="0"/>
              <w:rPr>
                <w:sz w:val="18"/>
                <w:szCs w:val="18"/>
                <w:color w:val="auto"/>
              </w:rPr>
            </w:pPr>
          </w:p>
        </w:tc>
        <w:tc>
          <w:tcPr>
            <w:tcW w:w="140" w:type="dxa"/>
            <w:vAlign w:val="bottom"/>
            <w:tcBorders>
              <w:right w:val="single" w:sz="8" w:color="auto"/>
            </w:tcBorders>
            <w:shd w:val="clear" w:color="auto" w:fill="FFCCCC"/>
          </w:tcPr>
          <w:p>
            <w:pPr>
              <w:spacing w:after="0"/>
              <w:rPr>
                <w:sz w:val="18"/>
                <w:szCs w:val="18"/>
                <w:color w:val="auto"/>
              </w:rPr>
            </w:pPr>
          </w:p>
        </w:tc>
        <w:tc>
          <w:tcPr>
            <w:tcW w:w="40" w:type="dxa"/>
            <w:vAlign w:val="bottom"/>
            <w:tcBorders>
              <w:right w:val="single" w:sz="8" w:color="FFCCCC"/>
            </w:tcBorders>
            <w:shd w:val="clear" w:color="auto" w:fill="FFCCCC"/>
          </w:tcPr>
          <w:p>
            <w:pPr>
              <w:spacing w:after="0"/>
              <w:rPr>
                <w:sz w:val="18"/>
                <w:szCs w:val="18"/>
                <w:color w:val="auto"/>
              </w:rPr>
            </w:pPr>
          </w:p>
        </w:tc>
        <w:tc>
          <w:tcPr>
            <w:tcW w:w="20" w:type="dxa"/>
            <w:vAlign w:val="bottom"/>
            <w:shd w:val="clear" w:color="auto" w:fill="FFCCCC"/>
          </w:tcPr>
          <w:p>
            <w:pPr>
              <w:spacing w:after="0"/>
              <w:rPr>
                <w:sz w:val="18"/>
                <w:szCs w:val="18"/>
                <w:color w:val="auto"/>
              </w:rPr>
            </w:pPr>
          </w:p>
        </w:tc>
        <w:tc>
          <w:tcPr>
            <w:tcW w:w="60" w:type="dxa"/>
            <w:vAlign w:val="bottom"/>
            <w:shd w:val="clear" w:color="auto" w:fill="FFCCCC"/>
          </w:tcPr>
          <w:p>
            <w:pPr>
              <w:spacing w:after="0"/>
              <w:rPr>
                <w:sz w:val="18"/>
                <w:szCs w:val="18"/>
                <w:color w:val="auto"/>
              </w:rPr>
            </w:pPr>
          </w:p>
        </w:tc>
        <w:tc>
          <w:tcPr>
            <w:tcW w:w="100" w:type="dxa"/>
            <w:vAlign w:val="bottom"/>
            <w:shd w:val="clear" w:color="auto" w:fill="FFCCCC"/>
          </w:tcPr>
          <w:p>
            <w:pPr>
              <w:spacing w:after="0"/>
              <w:rPr>
                <w:sz w:val="18"/>
                <w:szCs w:val="18"/>
                <w:color w:val="auto"/>
              </w:rPr>
            </w:pPr>
          </w:p>
        </w:tc>
        <w:tc>
          <w:tcPr>
            <w:tcW w:w="740" w:type="dxa"/>
            <w:vAlign w:val="bottom"/>
            <w:gridSpan w:val="6"/>
            <w:shd w:val="clear" w:color="auto" w:fill="FFCCCC"/>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580" w:type="dxa"/>
            <w:vAlign w:val="bottom"/>
            <w:gridSpan w:val="8"/>
            <w:shd w:val="clear" w:color="auto" w:fill="FFCCCC"/>
          </w:tcPr>
          <w:p>
            <w:pPr>
              <w:jc w:val="center"/>
              <w:spacing w:after="0"/>
              <w:rPr>
                <w:sz w:val="20"/>
                <w:szCs w:val="20"/>
                <w:color w:val="auto"/>
              </w:rPr>
            </w:pPr>
            <w:r>
              <w:rPr>
                <w:rFonts w:ascii="Arial" w:cs="Arial" w:eastAsia="Arial" w:hAnsi="Arial"/>
                <w:sz w:val="18"/>
                <w:szCs w:val="18"/>
                <w:b w:val="1"/>
                <w:bCs w:val="1"/>
                <w:i w:val="1"/>
                <w:iCs w:val="1"/>
                <w:color w:val="FF0000"/>
                <w:strike w:val="1"/>
                <w:w w:val="81"/>
              </w:rPr>
              <w:t>Average</w:t>
            </w:r>
          </w:p>
        </w:tc>
        <w:tc>
          <w:tcPr>
            <w:tcW w:w="120" w:type="dxa"/>
            <w:vAlign w:val="bottom"/>
            <w:shd w:val="clear" w:color="auto" w:fill="FFCCCC"/>
          </w:tcPr>
          <w:p>
            <w:pPr>
              <w:jc w:val="right"/>
              <w:spacing w:after="0"/>
              <w:rPr>
                <w:sz w:val="20"/>
                <w:szCs w:val="20"/>
                <w:color w:val="auto"/>
              </w:rPr>
            </w:pPr>
            <w:r>
              <w:rPr>
                <w:rFonts w:ascii="Arial" w:cs="Arial" w:eastAsia="Arial" w:hAnsi="Arial"/>
                <w:sz w:val="16"/>
                <w:szCs w:val="16"/>
                <w:b w:val="1"/>
                <w:bCs w:val="1"/>
                <w:i w:val="1"/>
                <w:iCs w:val="1"/>
                <w:color w:val="auto"/>
                <w:w w:val="74"/>
              </w:rPr>
              <w:t>]</w:t>
            </w:r>
          </w:p>
        </w:tc>
        <w:tc>
          <w:tcPr>
            <w:tcW w:w="180" w:type="dxa"/>
            <w:vAlign w:val="bottom"/>
            <w:shd w:val="clear" w:color="auto" w:fill="FFCCCC"/>
          </w:tcPr>
          <w:p>
            <w:pPr>
              <w:spacing w:after="0"/>
              <w:rPr>
                <w:sz w:val="18"/>
                <w:szCs w:val="18"/>
                <w:color w:val="auto"/>
              </w:rPr>
            </w:pPr>
          </w:p>
        </w:tc>
        <w:tc>
          <w:tcPr>
            <w:tcW w:w="220" w:type="dxa"/>
            <w:vAlign w:val="bottom"/>
            <w:gridSpan w:val="2"/>
            <w:shd w:val="clear" w:color="auto" w:fill="FFCCCC"/>
          </w:tcPr>
          <w:p>
            <w:pPr>
              <w:spacing w:after="0"/>
              <w:rPr>
                <w:sz w:val="18"/>
                <w:szCs w:val="18"/>
                <w:color w:val="auto"/>
              </w:rPr>
            </w:pPr>
          </w:p>
        </w:tc>
        <w:tc>
          <w:tcPr>
            <w:tcW w:w="360" w:type="dxa"/>
            <w:vAlign w:val="bottom"/>
            <w:shd w:val="clear" w:color="auto" w:fill="FFCCCC"/>
          </w:tcPr>
          <w:p>
            <w:pPr>
              <w:spacing w:after="0"/>
              <w:rPr>
                <w:sz w:val="18"/>
                <w:szCs w:val="18"/>
                <w:color w:val="auto"/>
              </w:rPr>
            </w:pPr>
          </w:p>
        </w:tc>
        <w:tc>
          <w:tcPr>
            <w:tcW w:w="120" w:type="dxa"/>
            <w:vAlign w:val="bottom"/>
            <w:tcBorders>
              <w:right w:val="single" w:sz="8" w:color="auto"/>
            </w:tcBorders>
            <w:gridSpan w:val="2"/>
            <w:shd w:val="clear" w:color="auto" w:fill="FFCCCC"/>
          </w:tcPr>
          <w:p>
            <w:pPr>
              <w:spacing w:after="0"/>
              <w:rPr>
                <w:sz w:val="18"/>
                <w:szCs w:val="18"/>
                <w:color w:val="auto"/>
              </w:rPr>
            </w:pPr>
          </w:p>
        </w:tc>
        <w:tc>
          <w:tcPr>
            <w:tcW w:w="40" w:type="dxa"/>
            <w:vAlign w:val="bottom"/>
            <w:tcBorders>
              <w:left w:val="single" w:sz="8" w:color="FFCCCC"/>
            </w:tcBorders>
            <w:vMerge w:val="restart"/>
            <w:shd w:val="clear" w:color="auto" w:fill="FFCCCC"/>
          </w:tcPr>
          <w:p>
            <w:pPr>
              <w:jc w:val="right"/>
              <w:spacing w:after="0"/>
              <w:rPr>
                <w:sz w:val="20"/>
                <w:szCs w:val="20"/>
                <w:color w:val="auto"/>
              </w:rPr>
            </w:pPr>
            <w:r>
              <w:rPr>
                <w:rFonts w:ascii="Arial" w:cs="Arial" w:eastAsia="Arial" w:hAnsi="Arial"/>
                <w:sz w:val="8"/>
                <w:szCs w:val="8"/>
                <w:b w:val="1"/>
                <w:bCs w:val="1"/>
                <w:color w:val="auto"/>
                <w:w w:val="73"/>
              </w:rPr>
              <w:t>[</w:t>
            </w:r>
          </w:p>
        </w:tc>
        <w:tc>
          <w:tcPr>
            <w:tcW w:w="840" w:type="dxa"/>
            <w:vAlign w:val="bottom"/>
            <w:gridSpan w:val="7"/>
            <w:vMerge w:val="restart"/>
            <w:shd w:val="clear" w:color="auto" w:fill="FFCCCC"/>
          </w:tcPr>
          <w:p>
            <w:pPr>
              <w:jc w:val="center"/>
              <w:spacing w:after="0"/>
              <w:rPr>
                <w:sz w:val="20"/>
                <w:szCs w:val="20"/>
                <w:color w:val="auto"/>
              </w:rPr>
            </w:pPr>
            <w:r>
              <w:rPr>
                <w:rFonts w:ascii="Arial" w:cs="Arial" w:eastAsia="Arial" w:hAnsi="Arial"/>
                <w:sz w:val="18"/>
                <w:szCs w:val="18"/>
                <w:b w:val="1"/>
                <w:bCs w:val="1"/>
                <w:color w:val="FF0000"/>
                <w:strike w:val="1"/>
                <w:w w:val="93"/>
              </w:rPr>
              <w:t>Eurodollar</w:t>
            </w:r>
          </w:p>
        </w:tc>
        <w:tc>
          <w:tcPr>
            <w:tcW w:w="80" w:type="dxa"/>
            <w:vAlign w:val="bottom"/>
            <w:tcBorders>
              <w:right w:val="single" w:sz="8" w:color="auto"/>
            </w:tcBorders>
            <w:vMerge w:val="restart"/>
            <w:shd w:val="clear" w:color="auto" w:fill="FFCCCC"/>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shd w:val="clear" w:color="auto" w:fill="FFCCCC"/>
          </w:tcPr>
          <w:p>
            <w:pPr>
              <w:spacing w:after="0"/>
              <w:rPr>
                <w:sz w:val="18"/>
                <w:szCs w:val="18"/>
                <w:color w:val="auto"/>
              </w:rPr>
            </w:pPr>
          </w:p>
        </w:tc>
        <w:tc>
          <w:tcPr>
            <w:tcW w:w="40" w:type="dxa"/>
            <w:vAlign w:val="bottom"/>
            <w:shd w:val="clear" w:color="auto" w:fill="FFCCCC"/>
          </w:tcPr>
          <w:p>
            <w:pPr>
              <w:spacing w:after="0"/>
              <w:rPr>
                <w:sz w:val="18"/>
                <w:szCs w:val="18"/>
                <w:color w:val="auto"/>
              </w:rPr>
            </w:pPr>
          </w:p>
        </w:tc>
        <w:tc>
          <w:tcPr>
            <w:tcW w:w="100" w:type="dxa"/>
            <w:vAlign w:val="bottom"/>
            <w:gridSpan w:val="2"/>
            <w:vMerge w:val="restart"/>
            <w:shd w:val="clear" w:color="auto" w:fill="FFCCCC"/>
          </w:tcPr>
          <w:p>
            <w:pPr>
              <w:ind w:left="40"/>
              <w:spacing w:after="0"/>
              <w:rPr>
                <w:sz w:val="20"/>
                <w:szCs w:val="20"/>
                <w:color w:val="auto"/>
              </w:rPr>
            </w:pPr>
            <w:r>
              <w:rPr>
                <w:rFonts w:ascii="Arial" w:cs="Arial" w:eastAsia="Arial" w:hAnsi="Arial"/>
                <w:sz w:val="16"/>
                <w:szCs w:val="16"/>
                <w:b w:val="1"/>
                <w:bCs w:val="1"/>
                <w:color w:val="auto"/>
                <w:w w:val="74"/>
              </w:rPr>
              <w:t>[</w:t>
            </w:r>
          </w:p>
        </w:tc>
        <w:tc>
          <w:tcPr>
            <w:tcW w:w="380" w:type="dxa"/>
            <w:vAlign w:val="bottom"/>
            <w:gridSpan w:val="2"/>
            <w:vMerge w:val="restart"/>
            <w:shd w:val="clear" w:color="auto" w:fill="FFCCCC"/>
          </w:tcPr>
          <w:p>
            <w:pPr>
              <w:jc w:val="right"/>
              <w:spacing w:after="0"/>
              <w:rPr>
                <w:sz w:val="20"/>
                <w:szCs w:val="20"/>
                <w:color w:val="auto"/>
              </w:rPr>
            </w:pPr>
            <w:r>
              <w:rPr>
                <w:rFonts w:ascii="Arial" w:cs="Arial" w:eastAsia="Arial" w:hAnsi="Arial"/>
                <w:sz w:val="18"/>
                <w:szCs w:val="18"/>
                <w:b w:val="1"/>
                <w:bCs w:val="1"/>
                <w:color w:val="FF0000"/>
                <w:strike w:val="1"/>
                <w:w w:val="78"/>
              </w:rPr>
              <w:t>Base</w:t>
            </w:r>
          </w:p>
        </w:tc>
        <w:tc>
          <w:tcPr>
            <w:tcW w:w="20" w:type="dxa"/>
            <w:vAlign w:val="bottom"/>
            <w:shd w:val="clear" w:color="auto" w:fill="FFCCCC"/>
          </w:tcPr>
          <w:p>
            <w:pPr>
              <w:spacing w:after="0"/>
              <w:rPr>
                <w:sz w:val="18"/>
                <w:szCs w:val="18"/>
                <w:color w:val="auto"/>
              </w:rPr>
            </w:pPr>
          </w:p>
        </w:tc>
        <w:tc>
          <w:tcPr>
            <w:tcW w:w="40" w:type="dxa"/>
            <w:vAlign w:val="bottom"/>
            <w:shd w:val="clear" w:color="auto" w:fill="FFCCCC"/>
          </w:tcPr>
          <w:p>
            <w:pPr>
              <w:spacing w:after="0"/>
              <w:rPr>
                <w:sz w:val="18"/>
                <w:szCs w:val="18"/>
                <w:color w:val="auto"/>
              </w:rPr>
            </w:pPr>
          </w:p>
        </w:tc>
        <w:tc>
          <w:tcPr>
            <w:tcW w:w="160" w:type="dxa"/>
            <w:vAlign w:val="bottom"/>
            <w:tcBorders>
              <w:right w:val="single" w:sz="8" w:color="auto"/>
            </w:tcBorders>
            <w:shd w:val="clear" w:color="auto" w:fill="FFCCCC"/>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shd w:val="clear" w:color="auto" w:fill="FFCCCC"/>
          </w:tcPr>
          <w:p>
            <w:pPr>
              <w:spacing w:after="0"/>
              <w:rPr>
                <w:sz w:val="9"/>
                <w:szCs w:val="9"/>
                <w:color w:val="auto"/>
              </w:rPr>
            </w:pPr>
          </w:p>
        </w:tc>
        <w:tc>
          <w:tcPr>
            <w:tcW w:w="120" w:type="dxa"/>
            <w:vAlign w:val="bottom"/>
            <w:shd w:val="clear" w:color="auto" w:fill="FFCCCC"/>
          </w:tcPr>
          <w:p>
            <w:pPr>
              <w:spacing w:after="0"/>
              <w:rPr>
                <w:sz w:val="9"/>
                <w:szCs w:val="9"/>
                <w:color w:val="auto"/>
              </w:rPr>
            </w:pPr>
          </w:p>
        </w:tc>
        <w:tc>
          <w:tcPr>
            <w:tcW w:w="40" w:type="dxa"/>
            <w:vAlign w:val="bottom"/>
            <w:shd w:val="clear" w:color="auto" w:fill="FFCCCC"/>
          </w:tcPr>
          <w:p>
            <w:pPr>
              <w:spacing w:after="0"/>
              <w:rPr>
                <w:sz w:val="9"/>
                <w:szCs w:val="9"/>
                <w:color w:val="auto"/>
              </w:rPr>
            </w:pPr>
          </w:p>
        </w:tc>
        <w:tc>
          <w:tcPr>
            <w:tcW w:w="120" w:type="dxa"/>
            <w:vAlign w:val="bottom"/>
            <w:shd w:val="clear" w:color="auto" w:fill="FFCCCC"/>
          </w:tcPr>
          <w:p>
            <w:pPr>
              <w:spacing w:after="0"/>
              <w:rPr>
                <w:sz w:val="9"/>
                <w:szCs w:val="9"/>
                <w:color w:val="auto"/>
              </w:rPr>
            </w:pPr>
          </w:p>
        </w:tc>
        <w:tc>
          <w:tcPr>
            <w:tcW w:w="40" w:type="dxa"/>
            <w:vAlign w:val="bottom"/>
            <w:shd w:val="clear" w:color="auto" w:fill="FFCCCC"/>
          </w:tcPr>
          <w:p>
            <w:pPr>
              <w:spacing w:after="0"/>
              <w:rPr>
                <w:sz w:val="9"/>
                <w:szCs w:val="9"/>
                <w:color w:val="auto"/>
              </w:rPr>
            </w:pPr>
          </w:p>
        </w:tc>
        <w:tc>
          <w:tcPr>
            <w:tcW w:w="100" w:type="dxa"/>
            <w:vAlign w:val="bottom"/>
            <w:shd w:val="clear" w:color="auto" w:fill="FFCCCC"/>
          </w:tcPr>
          <w:p>
            <w:pPr>
              <w:spacing w:after="0"/>
              <w:rPr>
                <w:sz w:val="9"/>
                <w:szCs w:val="9"/>
                <w:color w:val="auto"/>
              </w:rPr>
            </w:pPr>
          </w:p>
        </w:tc>
        <w:tc>
          <w:tcPr>
            <w:tcW w:w="140" w:type="dxa"/>
            <w:vAlign w:val="bottom"/>
            <w:tcBorders>
              <w:right w:val="single" w:sz="8" w:color="auto"/>
            </w:tcBorders>
            <w:shd w:val="clear" w:color="auto" w:fill="FFCCCC"/>
          </w:tcPr>
          <w:p>
            <w:pPr>
              <w:spacing w:after="0"/>
              <w:rPr>
                <w:sz w:val="9"/>
                <w:szCs w:val="9"/>
                <w:color w:val="auto"/>
              </w:rPr>
            </w:pPr>
          </w:p>
        </w:tc>
        <w:tc>
          <w:tcPr>
            <w:tcW w:w="40" w:type="dxa"/>
            <w:vAlign w:val="bottom"/>
            <w:tcBorders>
              <w:right w:val="single" w:sz="8" w:color="FFCCCC"/>
            </w:tcBorders>
            <w:shd w:val="clear" w:color="auto" w:fill="FFCCCC"/>
          </w:tcPr>
          <w:p>
            <w:pPr>
              <w:spacing w:after="0"/>
              <w:rPr>
                <w:sz w:val="9"/>
                <w:szCs w:val="9"/>
                <w:color w:val="auto"/>
              </w:rPr>
            </w:pPr>
          </w:p>
        </w:tc>
        <w:tc>
          <w:tcPr>
            <w:tcW w:w="20" w:type="dxa"/>
            <w:vAlign w:val="bottom"/>
            <w:shd w:val="clear" w:color="auto" w:fill="FFCCCC"/>
          </w:tcPr>
          <w:p>
            <w:pPr>
              <w:spacing w:after="0"/>
              <w:rPr>
                <w:sz w:val="9"/>
                <w:szCs w:val="9"/>
                <w:color w:val="auto"/>
              </w:rPr>
            </w:pPr>
          </w:p>
        </w:tc>
        <w:tc>
          <w:tcPr>
            <w:tcW w:w="60" w:type="dxa"/>
            <w:vAlign w:val="bottom"/>
            <w:shd w:val="clear" w:color="auto" w:fill="FFCCCC"/>
          </w:tcPr>
          <w:p>
            <w:pPr>
              <w:spacing w:after="0"/>
              <w:rPr>
                <w:sz w:val="9"/>
                <w:szCs w:val="9"/>
                <w:color w:val="auto"/>
              </w:rPr>
            </w:pPr>
          </w:p>
        </w:tc>
        <w:tc>
          <w:tcPr>
            <w:tcW w:w="100" w:type="dxa"/>
            <w:vAlign w:val="bottom"/>
            <w:shd w:val="clear" w:color="auto" w:fill="FFCCCC"/>
          </w:tcPr>
          <w:p>
            <w:pPr>
              <w:spacing w:after="0"/>
              <w:rPr>
                <w:sz w:val="9"/>
                <w:szCs w:val="9"/>
                <w:color w:val="auto"/>
              </w:rPr>
            </w:pPr>
          </w:p>
        </w:tc>
        <w:tc>
          <w:tcPr>
            <w:tcW w:w="180" w:type="dxa"/>
            <w:vAlign w:val="bottom"/>
            <w:shd w:val="clear" w:color="auto" w:fill="FFCCCC"/>
          </w:tcPr>
          <w:p>
            <w:pPr>
              <w:spacing w:after="0"/>
              <w:rPr>
                <w:sz w:val="9"/>
                <w:szCs w:val="9"/>
                <w:color w:val="auto"/>
              </w:rPr>
            </w:pPr>
          </w:p>
        </w:tc>
        <w:tc>
          <w:tcPr>
            <w:tcW w:w="40" w:type="dxa"/>
            <w:vAlign w:val="bottom"/>
            <w:shd w:val="clear" w:color="auto" w:fill="FFCCCC"/>
          </w:tcPr>
          <w:p>
            <w:pPr>
              <w:spacing w:after="0"/>
              <w:rPr>
                <w:sz w:val="9"/>
                <w:szCs w:val="9"/>
                <w:color w:val="auto"/>
              </w:rPr>
            </w:pPr>
          </w:p>
        </w:tc>
        <w:tc>
          <w:tcPr>
            <w:tcW w:w="320" w:type="dxa"/>
            <w:vAlign w:val="bottom"/>
            <w:shd w:val="clear" w:color="auto" w:fill="FFCCCC"/>
          </w:tcPr>
          <w:p>
            <w:pPr>
              <w:spacing w:after="0"/>
              <w:rPr>
                <w:sz w:val="9"/>
                <w:szCs w:val="9"/>
                <w:color w:val="auto"/>
              </w:rPr>
            </w:pPr>
          </w:p>
        </w:tc>
        <w:tc>
          <w:tcPr>
            <w:tcW w:w="80" w:type="dxa"/>
            <w:vAlign w:val="bottom"/>
            <w:shd w:val="clear" w:color="auto" w:fill="FFCCCC"/>
          </w:tcPr>
          <w:p>
            <w:pPr>
              <w:spacing w:after="0"/>
              <w:rPr>
                <w:sz w:val="9"/>
                <w:szCs w:val="9"/>
                <w:color w:val="auto"/>
              </w:rPr>
            </w:pPr>
          </w:p>
        </w:tc>
        <w:tc>
          <w:tcPr>
            <w:tcW w:w="100" w:type="dxa"/>
            <w:vAlign w:val="bottom"/>
            <w:shd w:val="clear" w:color="auto" w:fill="FFCCCC"/>
          </w:tcPr>
          <w:p>
            <w:pPr>
              <w:spacing w:after="0"/>
              <w:rPr>
                <w:sz w:val="9"/>
                <w:szCs w:val="9"/>
                <w:color w:val="auto"/>
              </w:rPr>
            </w:pPr>
          </w:p>
        </w:tc>
        <w:tc>
          <w:tcPr>
            <w:tcW w:w="20" w:type="dxa"/>
            <w:vAlign w:val="bottom"/>
            <w:shd w:val="clear" w:color="auto" w:fill="FFCCCC"/>
          </w:tcPr>
          <w:p>
            <w:pPr>
              <w:spacing w:after="0"/>
              <w:rPr>
                <w:sz w:val="9"/>
                <w:szCs w:val="9"/>
                <w:color w:val="auto"/>
              </w:rPr>
            </w:pPr>
          </w:p>
        </w:tc>
        <w:tc>
          <w:tcPr>
            <w:tcW w:w="100" w:type="dxa"/>
            <w:vAlign w:val="bottom"/>
            <w:vMerge w:val="restart"/>
            <w:shd w:val="clear" w:color="auto" w:fill="FFCCCC"/>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400" w:type="dxa"/>
            <w:vAlign w:val="bottom"/>
            <w:gridSpan w:val="6"/>
            <w:vMerge w:val="restart"/>
            <w:shd w:val="clear" w:color="auto" w:fill="FFCCCC"/>
          </w:tcPr>
          <w:p>
            <w:pPr>
              <w:jc w:val="center"/>
              <w:spacing w:after="0"/>
              <w:rPr>
                <w:sz w:val="20"/>
                <w:szCs w:val="20"/>
                <w:color w:val="auto"/>
              </w:rPr>
            </w:pPr>
            <w:r>
              <w:rPr>
                <w:rFonts w:ascii="Arial" w:cs="Arial" w:eastAsia="Arial" w:hAnsi="Arial"/>
                <w:sz w:val="18"/>
                <w:szCs w:val="18"/>
                <w:b w:val="1"/>
                <w:bCs w:val="1"/>
                <w:i w:val="1"/>
                <w:iCs w:val="1"/>
                <w:color w:val="FF0000"/>
                <w:strike w:val="1"/>
                <w:w w:val="92"/>
              </w:rPr>
              <w:t>Daily</w:t>
            </w:r>
          </w:p>
        </w:tc>
        <w:tc>
          <w:tcPr>
            <w:tcW w:w="200" w:type="dxa"/>
            <w:vAlign w:val="bottom"/>
            <w:gridSpan w:val="2"/>
            <w:vMerge w:val="restart"/>
            <w:shd w:val="clear" w:color="auto" w:fill="FFCCCC"/>
          </w:tcPr>
          <w:p>
            <w:pPr>
              <w:jc w:val="right"/>
              <w:ind w:right="61"/>
              <w:spacing w:after="0"/>
              <w:rPr>
                <w:sz w:val="20"/>
                <w:szCs w:val="20"/>
                <w:color w:val="auto"/>
              </w:rPr>
            </w:pPr>
            <w:r>
              <w:rPr>
                <w:rFonts w:ascii="Arial" w:cs="Arial" w:eastAsia="Arial" w:hAnsi="Arial"/>
                <w:sz w:val="16"/>
                <w:szCs w:val="16"/>
                <w:b w:val="1"/>
                <w:bCs w:val="1"/>
                <w:i w:val="1"/>
                <w:iCs w:val="1"/>
                <w:color w:val="auto"/>
                <w:w w:val="74"/>
              </w:rPr>
              <w:t>]</w:t>
            </w:r>
          </w:p>
        </w:tc>
        <w:tc>
          <w:tcPr>
            <w:tcW w:w="180" w:type="dxa"/>
            <w:vAlign w:val="bottom"/>
            <w:shd w:val="clear" w:color="auto" w:fill="FFCCCC"/>
          </w:tcPr>
          <w:p>
            <w:pPr>
              <w:spacing w:after="0"/>
              <w:rPr>
                <w:sz w:val="9"/>
                <w:szCs w:val="9"/>
                <w:color w:val="auto"/>
              </w:rPr>
            </w:pPr>
          </w:p>
        </w:tc>
        <w:tc>
          <w:tcPr>
            <w:tcW w:w="60" w:type="dxa"/>
            <w:vAlign w:val="bottom"/>
            <w:shd w:val="clear" w:color="auto" w:fill="FFCCCC"/>
          </w:tcPr>
          <w:p>
            <w:pPr>
              <w:spacing w:after="0"/>
              <w:rPr>
                <w:sz w:val="9"/>
                <w:szCs w:val="9"/>
                <w:color w:val="auto"/>
              </w:rPr>
            </w:pPr>
          </w:p>
        </w:tc>
        <w:tc>
          <w:tcPr>
            <w:tcW w:w="160" w:type="dxa"/>
            <w:vAlign w:val="bottom"/>
            <w:shd w:val="clear" w:color="auto" w:fill="FFCCCC"/>
          </w:tcPr>
          <w:p>
            <w:pPr>
              <w:spacing w:after="0"/>
              <w:rPr>
                <w:sz w:val="9"/>
                <w:szCs w:val="9"/>
                <w:color w:val="auto"/>
              </w:rPr>
            </w:pPr>
          </w:p>
        </w:tc>
        <w:tc>
          <w:tcPr>
            <w:tcW w:w="360" w:type="dxa"/>
            <w:vAlign w:val="bottom"/>
            <w:shd w:val="clear" w:color="auto" w:fill="FFCCCC"/>
          </w:tcPr>
          <w:p>
            <w:pPr>
              <w:spacing w:after="0"/>
              <w:rPr>
                <w:sz w:val="9"/>
                <w:szCs w:val="9"/>
                <w:color w:val="auto"/>
              </w:rPr>
            </w:pPr>
          </w:p>
        </w:tc>
        <w:tc>
          <w:tcPr>
            <w:tcW w:w="20" w:type="dxa"/>
            <w:vAlign w:val="bottom"/>
            <w:shd w:val="clear" w:color="auto" w:fill="FFCCCC"/>
          </w:tcPr>
          <w:p>
            <w:pPr>
              <w:spacing w:after="0"/>
              <w:rPr>
                <w:sz w:val="9"/>
                <w:szCs w:val="9"/>
                <w:color w:val="auto"/>
              </w:rPr>
            </w:pPr>
          </w:p>
        </w:tc>
        <w:tc>
          <w:tcPr>
            <w:tcW w:w="100" w:type="dxa"/>
            <w:vAlign w:val="bottom"/>
            <w:tcBorders>
              <w:right w:val="single" w:sz="8" w:color="auto"/>
            </w:tcBorders>
            <w:shd w:val="clear" w:color="auto" w:fill="FFCCCC"/>
          </w:tcPr>
          <w:p>
            <w:pPr>
              <w:spacing w:after="0"/>
              <w:rPr>
                <w:sz w:val="9"/>
                <w:szCs w:val="9"/>
                <w:color w:val="auto"/>
              </w:rPr>
            </w:pPr>
          </w:p>
        </w:tc>
        <w:tc>
          <w:tcPr>
            <w:tcW w:w="40" w:type="dxa"/>
            <w:vAlign w:val="bottom"/>
            <w:tcBorders>
              <w:left w:val="single" w:sz="8" w:color="FFCCCC"/>
            </w:tcBorders>
            <w:vMerge w:val="continue"/>
            <w:shd w:val="clear" w:color="auto" w:fill="FFCCCC"/>
          </w:tcPr>
          <w:p>
            <w:pPr>
              <w:spacing w:after="0"/>
              <w:rPr>
                <w:sz w:val="9"/>
                <w:szCs w:val="9"/>
                <w:color w:val="auto"/>
              </w:rPr>
            </w:pPr>
          </w:p>
        </w:tc>
        <w:tc>
          <w:tcPr>
            <w:tcW w:w="840" w:type="dxa"/>
            <w:vAlign w:val="bottom"/>
            <w:gridSpan w:val="7"/>
            <w:vMerge w:val="continue"/>
            <w:shd w:val="clear" w:color="auto" w:fill="FFCCCC"/>
          </w:tcPr>
          <w:p>
            <w:pPr>
              <w:spacing w:after="0"/>
              <w:rPr>
                <w:sz w:val="9"/>
                <w:szCs w:val="9"/>
                <w:color w:val="auto"/>
              </w:rPr>
            </w:pPr>
          </w:p>
        </w:tc>
        <w:tc>
          <w:tcPr>
            <w:tcW w:w="80" w:type="dxa"/>
            <w:vAlign w:val="bottom"/>
            <w:tcBorders>
              <w:right w:val="single" w:sz="8" w:color="auto"/>
            </w:tcBorders>
            <w:vMerge w:val="continue"/>
            <w:shd w:val="clear" w:color="auto" w:fill="FFCCCC"/>
          </w:tcPr>
          <w:p>
            <w:pPr>
              <w:spacing w:after="0"/>
              <w:rPr>
                <w:sz w:val="9"/>
                <w:szCs w:val="9"/>
                <w:color w:val="auto"/>
              </w:rPr>
            </w:pPr>
          </w:p>
        </w:tc>
        <w:tc>
          <w:tcPr>
            <w:tcW w:w="120" w:type="dxa"/>
            <w:vAlign w:val="bottom"/>
            <w:shd w:val="clear" w:color="auto" w:fill="FFCCCC"/>
          </w:tcPr>
          <w:p>
            <w:pPr>
              <w:spacing w:after="0"/>
              <w:rPr>
                <w:sz w:val="9"/>
                <w:szCs w:val="9"/>
                <w:color w:val="auto"/>
              </w:rPr>
            </w:pPr>
          </w:p>
        </w:tc>
        <w:tc>
          <w:tcPr>
            <w:tcW w:w="40" w:type="dxa"/>
            <w:vAlign w:val="bottom"/>
            <w:shd w:val="clear" w:color="auto" w:fill="FFCCCC"/>
          </w:tcPr>
          <w:p>
            <w:pPr>
              <w:spacing w:after="0"/>
              <w:rPr>
                <w:sz w:val="9"/>
                <w:szCs w:val="9"/>
                <w:color w:val="auto"/>
              </w:rPr>
            </w:pPr>
          </w:p>
        </w:tc>
        <w:tc>
          <w:tcPr>
            <w:tcW w:w="100" w:type="dxa"/>
            <w:vAlign w:val="bottom"/>
            <w:gridSpan w:val="2"/>
            <w:vMerge w:val="continue"/>
            <w:shd w:val="clear" w:color="auto" w:fill="FFCCCC"/>
          </w:tcPr>
          <w:p>
            <w:pPr>
              <w:spacing w:after="0"/>
              <w:rPr>
                <w:sz w:val="9"/>
                <w:szCs w:val="9"/>
                <w:color w:val="auto"/>
              </w:rPr>
            </w:pPr>
          </w:p>
        </w:tc>
        <w:tc>
          <w:tcPr>
            <w:tcW w:w="380" w:type="dxa"/>
            <w:vAlign w:val="bottom"/>
            <w:gridSpan w:val="2"/>
            <w:vMerge w:val="continue"/>
            <w:shd w:val="clear" w:color="auto" w:fill="FFCCCC"/>
          </w:tcPr>
          <w:p>
            <w:pPr>
              <w:spacing w:after="0"/>
              <w:rPr>
                <w:sz w:val="9"/>
                <w:szCs w:val="9"/>
                <w:color w:val="auto"/>
              </w:rPr>
            </w:pPr>
          </w:p>
        </w:tc>
        <w:tc>
          <w:tcPr>
            <w:tcW w:w="60" w:type="dxa"/>
            <w:vAlign w:val="bottom"/>
            <w:gridSpan w:val="2"/>
            <w:shd w:val="clear" w:color="auto" w:fill="FFCCCC"/>
          </w:tcPr>
          <w:p>
            <w:pPr>
              <w:spacing w:after="0"/>
              <w:rPr>
                <w:sz w:val="9"/>
                <w:szCs w:val="9"/>
                <w:color w:val="auto"/>
              </w:rPr>
            </w:pPr>
          </w:p>
        </w:tc>
        <w:tc>
          <w:tcPr>
            <w:tcW w:w="160" w:type="dxa"/>
            <w:vAlign w:val="bottom"/>
            <w:tcBorders>
              <w:right w:val="single" w:sz="8" w:color="auto"/>
            </w:tcBorders>
            <w:shd w:val="clear" w:color="auto" w:fill="FFCCC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vMerge w:val="restart"/>
            <w:shd w:val="clear" w:color="auto" w:fill="FFCCCC"/>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5"/>
            <w:vMerge w:val="restart"/>
            <w:shd w:val="clear" w:color="auto" w:fill="FFCCCC"/>
          </w:tcPr>
          <w:p>
            <w:pPr>
              <w:jc w:val="center"/>
              <w:spacing w:after="0"/>
              <w:rPr>
                <w:sz w:val="20"/>
                <w:szCs w:val="20"/>
                <w:color w:val="auto"/>
              </w:rPr>
            </w:pPr>
            <w:r>
              <w:rPr>
                <w:rFonts w:ascii="Arial" w:cs="Arial" w:eastAsia="Arial" w:hAnsi="Arial"/>
                <w:sz w:val="18"/>
                <w:szCs w:val="18"/>
                <w:b w:val="1"/>
                <w:bCs w:val="1"/>
                <w:color w:val="FF0000"/>
                <w:strike w:val="1"/>
                <w:w w:val="91"/>
              </w:rPr>
              <w:t>Level</w:t>
            </w:r>
          </w:p>
        </w:tc>
        <w:tc>
          <w:tcPr>
            <w:tcW w:w="140" w:type="dxa"/>
            <w:vAlign w:val="bottom"/>
            <w:tcBorders>
              <w:right w:val="single" w:sz="8" w:color="auto"/>
            </w:tcBorders>
            <w:vMerge w:val="restart"/>
            <w:shd w:val="clear" w:color="auto" w:fill="FFCCC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right w:val="single" w:sz="8" w:color="FFCCCC"/>
            </w:tcBorders>
            <w:shd w:val="clear" w:color="auto" w:fill="FFCCCC"/>
          </w:tcPr>
          <w:p>
            <w:pPr>
              <w:spacing w:after="0"/>
              <w:rPr>
                <w:sz w:val="9"/>
                <w:szCs w:val="9"/>
                <w:color w:val="auto"/>
              </w:rPr>
            </w:pPr>
          </w:p>
        </w:tc>
        <w:tc>
          <w:tcPr>
            <w:tcW w:w="20" w:type="dxa"/>
            <w:vAlign w:val="bottom"/>
            <w:shd w:val="clear" w:color="auto" w:fill="FFCCCC"/>
          </w:tcPr>
          <w:p>
            <w:pPr>
              <w:spacing w:after="0"/>
              <w:rPr>
                <w:sz w:val="9"/>
                <w:szCs w:val="9"/>
                <w:color w:val="auto"/>
              </w:rPr>
            </w:pPr>
          </w:p>
        </w:tc>
        <w:tc>
          <w:tcPr>
            <w:tcW w:w="60" w:type="dxa"/>
            <w:vAlign w:val="bottom"/>
            <w:shd w:val="clear" w:color="auto" w:fill="FFCCCC"/>
          </w:tcPr>
          <w:p>
            <w:pPr>
              <w:spacing w:after="0"/>
              <w:rPr>
                <w:sz w:val="9"/>
                <w:szCs w:val="9"/>
                <w:color w:val="auto"/>
              </w:rPr>
            </w:pPr>
          </w:p>
        </w:tc>
        <w:tc>
          <w:tcPr>
            <w:tcW w:w="100" w:type="dxa"/>
            <w:vAlign w:val="bottom"/>
            <w:shd w:val="clear" w:color="auto" w:fill="FFCCCC"/>
          </w:tcPr>
          <w:p>
            <w:pPr>
              <w:spacing w:after="0"/>
              <w:rPr>
                <w:sz w:val="9"/>
                <w:szCs w:val="9"/>
                <w:color w:val="auto"/>
              </w:rPr>
            </w:pPr>
          </w:p>
        </w:tc>
        <w:tc>
          <w:tcPr>
            <w:tcW w:w="180" w:type="dxa"/>
            <w:vAlign w:val="bottom"/>
            <w:shd w:val="clear" w:color="auto" w:fill="FFCCCC"/>
          </w:tcPr>
          <w:p>
            <w:pPr>
              <w:spacing w:after="0"/>
              <w:rPr>
                <w:sz w:val="9"/>
                <w:szCs w:val="9"/>
                <w:color w:val="auto"/>
              </w:rPr>
            </w:pPr>
          </w:p>
        </w:tc>
        <w:tc>
          <w:tcPr>
            <w:tcW w:w="40" w:type="dxa"/>
            <w:vAlign w:val="bottom"/>
            <w:shd w:val="clear" w:color="auto" w:fill="FFCCCC"/>
          </w:tcPr>
          <w:p>
            <w:pPr>
              <w:spacing w:after="0"/>
              <w:rPr>
                <w:sz w:val="9"/>
                <w:szCs w:val="9"/>
                <w:color w:val="auto"/>
              </w:rPr>
            </w:pPr>
          </w:p>
        </w:tc>
        <w:tc>
          <w:tcPr>
            <w:tcW w:w="320" w:type="dxa"/>
            <w:vAlign w:val="bottom"/>
            <w:shd w:val="clear" w:color="auto" w:fill="FFCCCC"/>
          </w:tcPr>
          <w:p>
            <w:pPr>
              <w:spacing w:after="0"/>
              <w:rPr>
                <w:sz w:val="9"/>
                <w:szCs w:val="9"/>
                <w:color w:val="auto"/>
              </w:rPr>
            </w:pPr>
          </w:p>
        </w:tc>
        <w:tc>
          <w:tcPr>
            <w:tcW w:w="80" w:type="dxa"/>
            <w:vAlign w:val="bottom"/>
            <w:shd w:val="clear" w:color="auto" w:fill="FFCCCC"/>
          </w:tcPr>
          <w:p>
            <w:pPr>
              <w:spacing w:after="0"/>
              <w:rPr>
                <w:sz w:val="9"/>
                <w:szCs w:val="9"/>
                <w:color w:val="auto"/>
              </w:rPr>
            </w:pPr>
          </w:p>
        </w:tc>
        <w:tc>
          <w:tcPr>
            <w:tcW w:w="100" w:type="dxa"/>
            <w:vAlign w:val="bottom"/>
            <w:shd w:val="clear" w:color="auto" w:fill="FFCCCC"/>
          </w:tcPr>
          <w:p>
            <w:pPr>
              <w:spacing w:after="0"/>
              <w:rPr>
                <w:sz w:val="9"/>
                <w:szCs w:val="9"/>
                <w:color w:val="auto"/>
              </w:rPr>
            </w:pPr>
          </w:p>
        </w:tc>
        <w:tc>
          <w:tcPr>
            <w:tcW w:w="20" w:type="dxa"/>
            <w:vAlign w:val="bottom"/>
            <w:shd w:val="clear" w:color="auto" w:fill="FFCCCC"/>
          </w:tcPr>
          <w:p>
            <w:pPr>
              <w:spacing w:after="0"/>
              <w:rPr>
                <w:sz w:val="9"/>
                <w:szCs w:val="9"/>
                <w:color w:val="auto"/>
              </w:rPr>
            </w:pPr>
          </w:p>
        </w:tc>
        <w:tc>
          <w:tcPr>
            <w:tcW w:w="100" w:type="dxa"/>
            <w:vAlign w:val="bottom"/>
            <w:vMerge w:val="continue"/>
            <w:shd w:val="clear" w:color="auto" w:fill="FFCCCC"/>
          </w:tcPr>
          <w:p>
            <w:pPr>
              <w:spacing w:after="0"/>
              <w:rPr>
                <w:sz w:val="9"/>
                <w:szCs w:val="9"/>
                <w:color w:val="auto"/>
              </w:rPr>
            </w:pPr>
          </w:p>
        </w:tc>
        <w:tc>
          <w:tcPr>
            <w:tcW w:w="400" w:type="dxa"/>
            <w:vAlign w:val="bottom"/>
            <w:gridSpan w:val="6"/>
            <w:vMerge w:val="continue"/>
            <w:shd w:val="clear" w:color="auto" w:fill="FFCCCC"/>
          </w:tcPr>
          <w:p>
            <w:pPr>
              <w:spacing w:after="0"/>
              <w:rPr>
                <w:sz w:val="9"/>
                <w:szCs w:val="9"/>
                <w:color w:val="auto"/>
              </w:rPr>
            </w:pPr>
          </w:p>
        </w:tc>
        <w:tc>
          <w:tcPr>
            <w:tcW w:w="200" w:type="dxa"/>
            <w:vAlign w:val="bottom"/>
            <w:gridSpan w:val="2"/>
            <w:vMerge w:val="continue"/>
            <w:shd w:val="clear" w:color="auto" w:fill="FFCCCC"/>
          </w:tcPr>
          <w:p>
            <w:pPr>
              <w:spacing w:after="0"/>
              <w:rPr>
                <w:sz w:val="9"/>
                <w:szCs w:val="9"/>
                <w:color w:val="auto"/>
              </w:rPr>
            </w:pPr>
          </w:p>
        </w:tc>
        <w:tc>
          <w:tcPr>
            <w:tcW w:w="180" w:type="dxa"/>
            <w:vAlign w:val="bottom"/>
            <w:shd w:val="clear" w:color="auto" w:fill="FFCCCC"/>
          </w:tcPr>
          <w:p>
            <w:pPr>
              <w:spacing w:after="0"/>
              <w:rPr>
                <w:sz w:val="9"/>
                <w:szCs w:val="9"/>
                <w:color w:val="auto"/>
              </w:rPr>
            </w:pPr>
          </w:p>
        </w:tc>
        <w:tc>
          <w:tcPr>
            <w:tcW w:w="220" w:type="dxa"/>
            <w:vAlign w:val="bottom"/>
            <w:gridSpan w:val="2"/>
            <w:shd w:val="clear" w:color="auto" w:fill="FFCCCC"/>
          </w:tcPr>
          <w:p>
            <w:pPr>
              <w:spacing w:after="0"/>
              <w:rPr>
                <w:sz w:val="9"/>
                <w:szCs w:val="9"/>
                <w:color w:val="auto"/>
              </w:rPr>
            </w:pPr>
          </w:p>
        </w:tc>
        <w:tc>
          <w:tcPr>
            <w:tcW w:w="360" w:type="dxa"/>
            <w:vAlign w:val="bottom"/>
            <w:shd w:val="clear" w:color="auto" w:fill="FFCCCC"/>
          </w:tcPr>
          <w:p>
            <w:pPr>
              <w:spacing w:after="0"/>
              <w:rPr>
                <w:sz w:val="9"/>
                <w:szCs w:val="9"/>
                <w:color w:val="auto"/>
              </w:rPr>
            </w:pPr>
          </w:p>
        </w:tc>
        <w:tc>
          <w:tcPr>
            <w:tcW w:w="120" w:type="dxa"/>
            <w:vAlign w:val="bottom"/>
            <w:tcBorders>
              <w:right w:val="single" w:sz="8" w:color="auto"/>
            </w:tcBorders>
            <w:gridSpan w:val="2"/>
            <w:shd w:val="clear" w:color="auto" w:fill="FFCCCC"/>
          </w:tcPr>
          <w:p>
            <w:pPr>
              <w:spacing w:after="0"/>
              <w:rPr>
                <w:sz w:val="9"/>
                <w:szCs w:val="9"/>
                <w:color w:val="auto"/>
              </w:rPr>
            </w:pPr>
          </w:p>
        </w:tc>
        <w:tc>
          <w:tcPr>
            <w:tcW w:w="40" w:type="dxa"/>
            <w:vAlign w:val="bottom"/>
            <w:tcBorders>
              <w:left w:val="single" w:sz="8" w:color="FFCCCC"/>
            </w:tcBorders>
            <w:vMerge w:val="continue"/>
            <w:shd w:val="clear" w:color="auto" w:fill="FFCCCC"/>
          </w:tcPr>
          <w:p>
            <w:pPr>
              <w:spacing w:after="0"/>
              <w:rPr>
                <w:sz w:val="9"/>
                <w:szCs w:val="9"/>
                <w:color w:val="auto"/>
              </w:rPr>
            </w:pPr>
          </w:p>
        </w:tc>
        <w:tc>
          <w:tcPr>
            <w:tcW w:w="840" w:type="dxa"/>
            <w:vAlign w:val="bottom"/>
            <w:gridSpan w:val="7"/>
            <w:vMerge w:val="continue"/>
            <w:shd w:val="clear" w:color="auto" w:fill="FFCCCC"/>
          </w:tcPr>
          <w:p>
            <w:pPr>
              <w:spacing w:after="0"/>
              <w:rPr>
                <w:sz w:val="9"/>
                <w:szCs w:val="9"/>
                <w:color w:val="auto"/>
              </w:rPr>
            </w:pPr>
          </w:p>
        </w:tc>
        <w:tc>
          <w:tcPr>
            <w:tcW w:w="80" w:type="dxa"/>
            <w:vAlign w:val="bottom"/>
            <w:tcBorders>
              <w:right w:val="single" w:sz="8" w:color="auto"/>
            </w:tcBorders>
            <w:vMerge w:val="continue"/>
            <w:shd w:val="clear" w:color="auto" w:fill="FFCCCC"/>
          </w:tcPr>
          <w:p>
            <w:pPr>
              <w:spacing w:after="0"/>
              <w:rPr>
                <w:sz w:val="9"/>
                <w:szCs w:val="9"/>
                <w:color w:val="auto"/>
              </w:rPr>
            </w:pPr>
          </w:p>
        </w:tc>
        <w:tc>
          <w:tcPr>
            <w:tcW w:w="120" w:type="dxa"/>
            <w:vAlign w:val="bottom"/>
            <w:shd w:val="clear" w:color="auto" w:fill="FFCCCC"/>
          </w:tcPr>
          <w:p>
            <w:pPr>
              <w:spacing w:after="0"/>
              <w:rPr>
                <w:sz w:val="9"/>
                <w:szCs w:val="9"/>
                <w:color w:val="auto"/>
              </w:rPr>
            </w:pPr>
          </w:p>
        </w:tc>
        <w:tc>
          <w:tcPr>
            <w:tcW w:w="40" w:type="dxa"/>
            <w:vAlign w:val="bottom"/>
            <w:shd w:val="clear" w:color="auto" w:fill="FFCCCC"/>
          </w:tcPr>
          <w:p>
            <w:pPr>
              <w:spacing w:after="0"/>
              <w:rPr>
                <w:sz w:val="9"/>
                <w:szCs w:val="9"/>
                <w:color w:val="auto"/>
              </w:rPr>
            </w:pPr>
          </w:p>
        </w:tc>
        <w:tc>
          <w:tcPr>
            <w:tcW w:w="20" w:type="dxa"/>
            <w:vAlign w:val="bottom"/>
            <w:shd w:val="clear" w:color="auto" w:fill="FFCCCC"/>
          </w:tcPr>
          <w:p>
            <w:pPr>
              <w:spacing w:after="0"/>
              <w:rPr>
                <w:sz w:val="9"/>
                <w:szCs w:val="9"/>
                <w:color w:val="auto"/>
              </w:rPr>
            </w:pPr>
          </w:p>
        </w:tc>
        <w:tc>
          <w:tcPr>
            <w:tcW w:w="380" w:type="dxa"/>
            <w:vAlign w:val="bottom"/>
            <w:gridSpan w:val="2"/>
            <w:vMerge w:val="restart"/>
            <w:shd w:val="clear" w:color="auto" w:fill="FFCCCC"/>
          </w:tcPr>
          <w:p>
            <w:pPr>
              <w:ind w:left="20"/>
              <w:spacing w:after="0"/>
              <w:rPr>
                <w:sz w:val="20"/>
                <w:szCs w:val="20"/>
                <w:color w:val="auto"/>
              </w:rPr>
            </w:pPr>
            <w:r>
              <w:rPr>
                <w:rFonts w:ascii="Arial" w:cs="Arial" w:eastAsia="Arial" w:hAnsi="Arial"/>
                <w:sz w:val="18"/>
                <w:szCs w:val="18"/>
                <w:b w:val="1"/>
                <w:bCs w:val="1"/>
                <w:color w:val="FF0000"/>
                <w:strike w:val="1"/>
                <w:w w:val="87"/>
              </w:rPr>
              <w:t>Rate</w:t>
            </w:r>
          </w:p>
        </w:tc>
        <w:tc>
          <w:tcPr>
            <w:tcW w:w="80" w:type="dxa"/>
            <w:vAlign w:val="bottom"/>
            <w:vMerge w:val="restart"/>
            <w:shd w:val="clear" w:color="auto" w:fill="FFCCCC"/>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shd w:val="clear" w:color="auto" w:fill="FFCCCC"/>
          </w:tcPr>
          <w:p>
            <w:pPr>
              <w:spacing w:after="0"/>
              <w:rPr>
                <w:sz w:val="9"/>
                <w:szCs w:val="9"/>
                <w:color w:val="auto"/>
              </w:rPr>
            </w:pPr>
          </w:p>
        </w:tc>
        <w:tc>
          <w:tcPr>
            <w:tcW w:w="40" w:type="dxa"/>
            <w:vAlign w:val="bottom"/>
            <w:shd w:val="clear" w:color="auto" w:fill="FFCCCC"/>
          </w:tcPr>
          <w:p>
            <w:pPr>
              <w:spacing w:after="0"/>
              <w:rPr>
                <w:sz w:val="9"/>
                <w:szCs w:val="9"/>
                <w:color w:val="auto"/>
              </w:rPr>
            </w:pPr>
          </w:p>
        </w:tc>
        <w:tc>
          <w:tcPr>
            <w:tcW w:w="160" w:type="dxa"/>
            <w:vAlign w:val="bottom"/>
            <w:tcBorders>
              <w:right w:val="single" w:sz="8" w:color="auto"/>
            </w:tcBorders>
            <w:shd w:val="clear" w:color="auto" w:fill="FFCCC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vMerge w:val="continue"/>
            <w:shd w:val="clear" w:color="auto" w:fill="FFCCCC"/>
          </w:tcPr>
          <w:p>
            <w:pPr>
              <w:spacing w:after="0"/>
              <w:rPr>
                <w:sz w:val="9"/>
                <w:szCs w:val="9"/>
                <w:color w:val="auto"/>
              </w:rPr>
            </w:pPr>
          </w:p>
        </w:tc>
        <w:tc>
          <w:tcPr>
            <w:tcW w:w="420" w:type="dxa"/>
            <w:vAlign w:val="bottom"/>
            <w:gridSpan w:val="5"/>
            <w:vMerge w:val="continue"/>
            <w:shd w:val="clear" w:color="auto" w:fill="FFCCCC"/>
          </w:tcPr>
          <w:p>
            <w:pPr>
              <w:spacing w:after="0"/>
              <w:rPr>
                <w:sz w:val="9"/>
                <w:szCs w:val="9"/>
                <w:color w:val="auto"/>
              </w:rPr>
            </w:pPr>
          </w:p>
        </w:tc>
        <w:tc>
          <w:tcPr>
            <w:tcW w:w="140" w:type="dxa"/>
            <w:vAlign w:val="bottom"/>
            <w:tcBorders>
              <w:right w:val="single" w:sz="8" w:color="auto"/>
            </w:tcBorders>
            <w:vMerge w:val="continue"/>
            <w:shd w:val="clear" w:color="auto" w:fill="FFCCCC"/>
          </w:tcPr>
          <w:p>
            <w:pPr>
              <w:spacing w:after="0"/>
              <w:rPr>
                <w:sz w:val="9"/>
                <w:szCs w:val="9"/>
                <w:color w:val="auto"/>
              </w:rPr>
            </w:pPr>
          </w:p>
        </w:tc>
        <w:tc>
          <w:tcPr>
            <w:tcW w:w="40" w:type="dxa"/>
            <w:vAlign w:val="bottom"/>
            <w:tcBorders>
              <w:right w:val="single" w:sz="8" w:color="FFCCCC"/>
            </w:tcBorders>
            <w:shd w:val="clear" w:color="auto" w:fill="FFCCCC"/>
          </w:tcPr>
          <w:p>
            <w:pPr>
              <w:spacing w:after="0"/>
              <w:rPr>
                <w:sz w:val="9"/>
                <w:szCs w:val="9"/>
                <w:color w:val="auto"/>
              </w:rPr>
            </w:pPr>
          </w:p>
        </w:tc>
        <w:tc>
          <w:tcPr>
            <w:tcW w:w="20" w:type="dxa"/>
            <w:vAlign w:val="bottom"/>
            <w:shd w:val="clear" w:color="auto" w:fill="FFCCCC"/>
          </w:tcPr>
          <w:p>
            <w:pPr>
              <w:spacing w:after="0"/>
              <w:rPr>
                <w:sz w:val="9"/>
                <w:szCs w:val="9"/>
                <w:color w:val="auto"/>
              </w:rPr>
            </w:pPr>
          </w:p>
        </w:tc>
        <w:tc>
          <w:tcPr>
            <w:tcW w:w="60" w:type="dxa"/>
            <w:vAlign w:val="bottom"/>
            <w:shd w:val="clear" w:color="auto" w:fill="FFCCCC"/>
          </w:tcPr>
          <w:p>
            <w:pPr>
              <w:spacing w:after="0"/>
              <w:rPr>
                <w:sz w:val="9"/>
                <w:szCs w:val="9"/>
                <w:color w:val="auto"/>
              </w:rPr>
            </w:pPr>
          </w:p>
        </w:tc>
        <w:tc>
          <w:tcPr>
            <w:tcW w:w="100" w:type="dxa"/>
            <w:vAlign w:val="bottom"/>
            <w:shd w:val="clear" w:color="auto" w:fill="FFCCCC"/>
          </w:tcPr>
          <w:p>
            <w:pPr>
              <w:spacing w:after="0"/>
              <w:rPr>
                <w:sz w:val="9"/>
                <w:szCs w:val="9"/>
                <w:color w:val="auto"/>
              </w:rPr>
            </w:pPr>
          </w:p>
        </w:tc>
        <w:tc>
          <w:tcPr>
            <w:tcW w:w="620" w:type="dxa"/>
            <w:vAlign w:val="bottom"/>
            <w:gridSpan w:val="4"/>
            <w:vMerge w:val="restart"/>
            <w:shd w:val="clear" w:color="auto" w:fill="FFCCCC"/>
          </w:tcPr>
          <w:p>
            <w:pPr>
              <w:ind w:left="560"/>
              <w:spacing w:after="0"/>
              <w:rPr>
                <w:sz w:val="20"/>
                <w:szCs w:val="20"/>
                <w:color w:val="auto"/>
              </w:rPr>
            </w:pPr>
            <w:r>
              <w:rPr>
                <w:rFonts w:ascii="Arial" w:cs="Arial" w:eastAsia="Arial" w:hAnsi="Arial"/>
                <w:sz w:val="16"/>
                <w:szCs w:val="16"/>
                <w:b w:val="1"/>
                <w:bCs w:val="1"/>
                <w:i w:val="1"/>
                <w:iCs w:val="1"/>
                <w:color w:val="auto"/>
                <w:w w:val="74"/>
              </w:rPr>
              <w:t>[</w:t>
            </w:r>
          </w:p>
        </w:tc>
        <w:tc>
          <w:tcPr>
            <w:tcW w:w="820" w:type="dxa"/>
            <w:vAlign w:val="bottom"/>
            <w:gridSpan w:val="11"/>
            <w:vMerge w:val="restart"/>
            <w:shd w:val="clear" w:color="auto" w:fill="FFCCCC"/>
          </w:tcPr>
          <w:p>
            <w:pPr>
              <w:jc w:val="center"/>
              <w:spacing w:after="0"/>
              <w:rPr>
                <w:sz w:val="20"/>
                <w:szCs w:val="20"/>
                <w:color w:val="auto"/>
              </w:rPr>
            </w:pPr>
            <w:r>
              <w:rPr>
                <w:rFonts w:ascii="Arial" w:cs="Arial" w:eastAsia="Arial" w:hAnsi="Arial"/>
                <w:sz w:val="18"/>
                <w:szCs w:val="18"/>
                <w:b w:val="1"/>
                <w:bCs w:val="1"/>
                <w:i w:val="1"/>
                <w:iCs w:val="1"/>
                <w:color w:val="FF0000"/>
                <w:strike w:val="1"/>
                <w:w w:val="86"/>
              </w:rPr>
              <w:t>Availability</w:t>
            </w:r>
          </w:p>
        </w:tc>
        <w:tc>
          <w:tcPr>
            <w:tcW w:w="180" w:type="dxa"/>
            <w:vAlign w:val="bottom"/>
            <w:vMerge w:val="restart"/>
            <w:shd w:val="clear" w:color="auto" w:fill="FFCCCC"/>
          </w:tcPr>
          <w:p>
            <w:pPr>
              <w:spacing w:after="0"/>
              <w:rPr>
                <w:sz w:val="20"/>
                <w:szCs w:val="20"/>
                <w:color w:val="auto"/>
              </w:rPr>
            </w:pPr>
            <w:r>
              <w:rPr>
                <w:rFonts w:ascii="Arial" w:cs="Arial" w:eastAsia="Arial" w:hAnsi="Arial"/>
                <w:sz w:val="18"/>
                <w:szCs w:val="18"/>
                <w:b w:val="1"/>
                <w:bCs w:val="1"/>
                <w:i w:val="1"/>
                <w:iCs w:val="1"/>
                <w:color w:val="auto"/>
              </w:rPr>
              <w:t>]</w:t>
            </w:r>
          </w:p>
        </w:tc>
        <w:tc>
          <w:tcPr>
            <w:tcW w:w="60" w:type="dxa"/>
            <w:vAlign w:val="bottom"/>
            <w:shd w:val="clear" w:color="auto" w:fill="FFCCCC"/>
          </w:tcPr>
          <w:p>
            <w:pPr>
              <w:spacing w:after="0"/>
              <w:rPr>
                <w:sz w:val="9"/>
                <w:szCs w:val="9"/>
                <w:color w:val="auto"/>
              </w:rPr>
            </w:pPr>
          </w:p>
        </w:tc>
        <w:tc>
          <w:tcPr>
            <w:tcW w:w="160" w:type="dxa"/>
            <w:vAlign w:val="bottom"/>
            <w:shd w:val="clear" w:color="auto" w:fill="FFCCCC"/>
          </w:tcPr>
          <w:p>
            <w:pPr>
              <w:spacing w:after="0"/>
              <w:rPr>
                <w:sz w:val="9"/>
                <w:szCs w:val="9"/>
                <w:color w:val="auto"/>
              </w:rPr>
            </w:pPr>
          </w:p>
        </w:tc>
        <w:tc>
          <w:tcPr>
            <w:tcW w:w="360" w:type="dxa"/>
            <w:vAlign w:val="bottom"/>
            <w:shd w:val="clear" w:color="auto" w:fill="FFCCCC"/>
          </w:tcPr>
          <w:p>
            <w:pPr>
              <w:spacing w:after="0"/>
              <w:rPr>
                <w:sz w:val="9"/>
                <w:szCs w:val="9"/>
                <w:color w:val="auto"/>
              </w:rPr>
            </w:pPr>
          </w:p>
        </w:tc>
        <w:tc>
          <w:tcPr>
            <w:tcW w:w="20" w:type="dxa"/>
            <w:vAlign w:val="bottom"/>
            <w:shd w:val="clear" w:color="auto" w:fill="FFCCCC"/>
          </w:tcPr>
          <w:p>
            <w:pPr>
              <w:spacing w:after="0"/>
              <w:rPr>
                <w:sz w:val="9"/>
                <w:szCs w:val="9"/>
                <w:color w:val="auto"/>
              </w:rPr>
            </w:pPr>
          </w:p>
        </w:tc>
        <w:tc>
          <w:tcPr>
            <w:tcW w:w="100" w:type="dxa"/>
            <w:vAlign w:val="bottom"/>
            <w:tcBorders>
              <w:right w:val="single" w:sz="8" w:color="auto"/>
            </w:tcBorders>
            <w:shd w:val="clear" w:color="auto" w:fill="FFCCCC"/>
          </w:tcPr>
          <w:p>
            <w:pPr>
              <w:spacing w:after="0"/>
              <w:rPr>
                <w:sz w:val="9"/>
                <w:szCs w:val="9"/>
                <w:color w:val="auto"/>
              </w:rPr>
            </w:pPr>
          </w:p>
        </w:tc>
        <w:tc>
          <w:tcPr>
            <w:tcW w:w="40" w:type="dxa"/>
            <w:vAlign w:val="bottom"/>
            <w:tcBorders>
              <w:left w:val="single" w:sz="8" w:color="FFCCCC"/>
            </w:tcBorders>
            <w:shd w:val="clear" w:color="auto" w:fill="FFCCCC"/>
          </w:tcPr>
          <w:p>
            <w:pPr>
              <w:spacing w:after="0"/>
              <w:rPr>
                <w:sz w:val="9"/>
                <w:szCs w:val="9"/>
                <w:color w:val="auto"/>
              </w:rPr>
            </w:pPr>
          </w:p>
        </w:tc>
        <w:tc>
          <w:tcPr>
            <w:tcW w:w="120" w:type="dxa"/>
            <w:vAlign w:val="bottom"/>
            <w:vMerge w:val="restart"/>
            <w:shd w:val="clear" w:color="auto" w:fill="FFCCCC"/>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5"/>
            <w:vMerge w:val="restart"/>
            <w:shd w:val="clear" w:color="auto" w:fill="FFCCCC"/>
          </w:tcPr>
          <w:p>
            <w:pPr>
              <w:spacing w:after="0"/>
              <w:rPr>
                <w:sz w:val="20"/>
                <w:szCs w:val="20"/>
                <w:color w:val="auto"/>
              </w:rPr>
            </w:pPr>
            <w:r>
              <w:rPr>
                <w:rFonts w:ascii="Arial" w:cs="Arial" w:eastAsia="Arial" w:hAnsi="Arial"/>
                <w:sz w:val="18"/>
                <w:szCs w:val="18"/>
                <w:b w:val="1"/>
                <w:bCs w:val="1"/>
                <w:color w:val="FF0000"/>
                <w:strike w:val="1"/>
                <w:w w:val="94"/>
              </w:rPr>
              <w:t>Margin</w:t>
            </w:r>
          </w:p>
        </w:tc>
        <w:tc>
          <w:tcPr>
            <w:tcW w:w="220" w:type="dxa"/>
            <w:vAlign w:val="bottom"/>
            <w:tcBorders>
              <w:right w:val="single" w:sz="8" w:color="auto"/>
            </w:tcBorders>
            <w:gridSpan w:val="2"/>
            <w:vMerge w:val="restart"/>
            <w:shd w:val="clear" w:color="auto" w:fill="FFCCC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shd w:val="clear" w:color="auto" w:fill="FFCCCC"/>
          </w:tcPr>
          <w:p>
            <w:pPr>
              <w:spacing w:after="0"/>
              <w:rPr>
                <w:sz w:val="9"/>
                <w:szCs w:val="9"/>
                <w:color w:val="auto"/>
              </w:rPr>
            </w:pPr>
          </w:p>
        </w:tc>
        <w:tc>
          <w:tcPr>
            <w:tcW w:w="40" w:type="dxa"/>
            <w:vAlign w:val="bottom"/>
            <w:shd w:val="clear" w:color="auto" w:fill="FFCCCC"/>
          </w:tcPr>
          <w:p>
            <w:pPr>
              <w:spacing w:after="0"/>
              <w:rPr>
                <w:sz w:val="9"/>
                <w:szCs w:val="9"/>
                <w:color w:val="auto"/>
              </w:rPr>
            </w:pPr>
          </w:p>
        </w:tc>
        <w:tc>
          <w:tcPr>
            <w:tcW w:w="20" w:type="dxa"/>
            <w:vAlign w:val="bottom"/>
            <w:shd w:val="clear" w:color="auto" w:fill="FFCCCC"/>
          </w:tcPr>
          <w:p>
            <w:pPr>
              <w:spacing w:after="0"/>
              <w:rPr>
                <w:sz w:val="9"/>
                <w:szCs w:val="9"/>
                <w:color w:val="auto"/>
              </w:rPr>
            </w:pPr>
          </w:p>
        </w:tc>
        <w:tc>
          <w:tcPr>
            <w:tcW w:w="380" w:type="dxa"/>
            <w:vAlign w:val="bottom"/>
            <w:gridSpan w:val="2"/>
            <w:vMerge w:val="continue"/>
            <w:shd w:val="clear" w:color="auto" w:fill="FFCCCC"/>
          </w:tcPr>
          <w:p>
            <w:pPr>
              <w:spacing w:after="0"/>
              <w:rPr>
                <w:sz w:val="9"/>
                <w:szCs w:val="9"/>
                <w:color w:val="auto"/>
              </w:rPr>
            </w:pPr>
          </w:p>
        </w:tc>
        <w:tc>
          <w:tcPr>
            <w:tcW w:w="80" w:type="dxa"/>
            <w:vAlign w:val="bottom"/>
            <w:vMerge w:val="continue"/>
            <w:shd w:val="clear" w:color="auto" w:fill="FFCCCC"/>
          </w:tcPr>
          <w:p>
            <w:pPr>
              <w:spacing w:after="0"/>
              <w:rPr>
                <w:sz w:val="9"/>
                <w:szCs w:val="9"/>
                <w:color w:val="auto"/>
              </w:rPr>
            </w:pPr>
          </w:p>
        </w:tc>
        <w:tc>
          <w:tcPr>
            <w:tcW w:w="60" w:type="dxa"/>
            <w:vAlign w:val="bottom"/>
            <w:gridSpan w:val="2"/>
            <w:shd w:val="clear" w:color="auto" w:fill="FFCCCC"/>
          </w:tcPr>
          <w:p>
            <w:pPr>
              <w:spacing w:after="0"/>
              <w:rPr>
                <w:sz w:val="9"/>
                <w:szCs w:val="9"/>
                <w:color w:val="auto"/>
              </w:rPr>
            </w:pPr>
          </w:p>
        </w:tc>
        <w:tc>
          <w:tcPr>
            <w:tcW w:w="160" w:type="dxa"/>
            <w:vAlign w:val="bottom"/>
            <w:tcBorders>
              <w:right w:val="single" w:sz="8" w:color="auto"/>
            </w:tcBorders>
            <w:shd w:val="clear" w:color="auto" w:fill="FFCCC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shd w:val="clear" w:color="auto" w:fill="FFCCCC"/>
          </w:tcPr>
          <w:p>
            <w:pPr>
              <w:spacing w:after="0"/>
              <w:rPr>
                <w:sz w:val="9"/>
                <w:szCs w:val="9"/>
                <w:color w:val="auto"/>
              </w:rPr>
            </w:pPr>
          </w:p>
        </w:tc>
        <w:tc>
          <w:tcPr>
            <w:tcW w:w="120" w:type="dxa"/>
            <w:vAlign w:val="bottom"/>
            <w:shd w:val="clear" w:color="auto" w:fill="FFCCCC"/>
          </w:tcPr>
          <w:p>
            <w:pPr>
              <w:spacing w:after="0"/>
              <w:rPr>
                <w:sz w:val="9"/>
                <w:szCs w:val="9"/>
                <w:color w:val="auto"/>
              </w:rPr>
            </w:pPr>
          </w:p>
        </w:tc>
        <w:tc>
          <w:tcPr>
            <w:tcW w:w="40" w:type="dxa"/>
            <w:vAlign w:val="bottom"/>
            <w:shd w:val="clear" w:color="auto" w:fill="FFCCCC"/>
          </w:tcPr>
          <w:p>
            <w:pPr>
              <w:spacing w:after="0"/>
              <w:rPr>
                <w:sz w:val="9"/>
                <w:szCs w:val="9"/>
                <w:color w:val="auto"/>
              </w:rPr>
            </w:pPr>
          </w:p>
        </w:tc>
        <w:tc>
          <w:tcPr>
            <w:tcW w:w="120" w:type="dxa"/>
            <w:vAlign w:val="bottom"/>
            <w:shd w:val="clear" w:color="auto" w:fill="FFCCCC"/>
          </w:tcPr>
          <w:p>
            <w:pPr>
              <w:spacing w:after="0"/>
              <w:rPr>
                <w:sz w:val="9"/>
                <w:szCs w:val="9"/>
                <w:color w:val="auto"/>
              </w:rPr>
            </w:pPr>
          </w:p>
        </w:tc>
        <w:tc>
          <w:tcPr>
            <w:tcW w:w="40" w:type="dxa"/>
            <w:vAlign w:val="bottom"/>
            <w:shd w:val="clear" w:color="auto" w:fill="FFCCCC"/>
          </w:tcPr>
          <w:p>
            <w:pPr>
              <w:spacing w:after="0"/>
              <w:rPr>
                <w:sz w:val="9"/>
                <w:szCs w:val="9"/>
                <w:color w:val="auto"/>
              </w:rPr>
            </w:pPr>
          </w:p>
        </w:tc>
        <w:tc>
          <w:tcPr>
            <w:tcW w:w="100" w:type="dxa"/>
            <w:vAlign w:val="bottom"/>
            <w:shd w:val="clear" w:color="auto" w:fill="FFCCCC"/>
          </w:tcPr>
          <w:p>
            <w:pPr>
              <w:spacing w:after="0"/>
              <w:rPr>
                <w:sz w:val="9"/>
                <w:szCs w:val="9"/>
                <w:color w:val="auto"/>
              </w:rPr>
            </w:pPr>
          </w:p>
        </w:tc>
        <w:tc>
          <w:tcPr>
            <w:tcW w:w="140" w:type="dxa"/>
            <w:vAlign w:val="bottom"/>
            <w:tcBorders>
              <w:right w:val="single" w:sz="8" w:color="auto"/>
            </w:tcBorders>
            <w:shd w:val="clear" w:color="auto" w:fill="FFCCCC"/>
          </w:tcPr>
          <w:p>
            <w:pPr>
              <w:spacing w:after="0"/>
              <w:rPr>
                <w:sz w:val="9"/>
                <w:szCs w:val="9"/>
                <w:color w:val="auto"/>
              </w:rPr>
            </w:pPr>
          </w:p>
        </w:tc>
        <w:tc>
          <w:tcPr>
            <w:tcW w:w="40" w:type="dxa"/>
            <w:vAlign w:val="bottom"/>
            <w:tcBorders>
              <w:right w:val="single" w:sz="8" w:color="FFCCCC"/>
            </w:tcBorders>
            <w:shd w:val="clear" w:color="auto" w:fill="FFCCCC"/>
          </w:tcPr>
          <w:p>
            <w:pPr>
              <w:spacing w:after="0"/>
              <w:rPr>
                <w:sz w:val="9"/>
                <w:szCs w:val="9"/>
                <w:color w:val="auto"/>
              </w:rPr>
            </w:pPr>
          </w:p>
        </w:tc>
        <w:tc>
          <w:tcPr>
            <w:tcW w:w="20" w:type="dxa"/>
            <w:vAlign w:val="bottom"/>
            <w:shd w:val="clear" w:color="auto" w:fill="FFCCCC"/>
          </w:tcPr>
          <w:p>
            <w:pPr>
              <w:spacing w:after="0"/>
              <w:rPr>
                <w:sz w:val="9"/>
                <w:szCs w:val="9"/>
                <w:color w:val="auto"/>
              </w:rPr>
            </w:pPr>
          </w:p>
        </w:tc>
        <w:tc>
          <w:tcPr>
            <w:tcW w:w="60" w:type="dxa"/>
            <w:vAlign w:val="bottom"/>
            <w:shd w:val="clear" w:color="auto" w:fill="FFCCCC"/>
          </w:tcPr>
          <w:p>
            <w:pPr>
              <w:spacing w:after="0"/>
              <w:rPr>
                <w:sz w:val="9"/>
                <w:szCs w:val="9"/>
                <w:color w:val="auto"/>
              </w:rPr>
            </w:pPr>
          </w:p>
        </w:tc>
        <w:tc>
          <w:tcPr>
            <w:tcW w:w="100" w:type="dxa"/>
            <w:vAlign w:val="bottom"/>
            <w:shd w:val="clear" w:color="auto" w:fill="FFCCCC"/>
          </w:tcPr>
          <w:p>
            <w:pPr>
              <w:spacing w:after="0"/>
              <w:rPr>
                <w:sz w:val="9"/>
                <w:szCs w:val="9"/>
                <w:color w:val="auto"/>
              </w:rPr>
            </w:pPr>
          </w:p>
        </w:tc>
        <w:tc>
          <w:tcPr>
            <w:tcW w:w="620" w:type="dxa"/>
            <w:vAlign w:val="bottom"/>
            <w:gridSpan w:val="4"/>
            <w:vMerge w:val="continue"/>
            <w:shd w:val="clear" w:color="auto" w:fill="FFCCCC"/>
          </w:tcPr>
          <w:p>
            <w:pPr>
              <w:spacing w:after="0"/>
              <w:rPr>
                <w:sz w:val="9"/>
                <w:szCs w:val="9"/>
                <w:color w:val="auto"/>
              </w:rPr>
            </w:pPr>
          </w:p>
        </w:tc>
        <w:tc>
          <w:tcPr>
            <w:tcW w:w="820" w:type="dxa"/>
            <w:vAlign w:val="bottom"/>
            <w:gridSpan w:val="11"/>
            <w:vMerge w:val="continue"/>
            <w:shd w:val="clear" w:color="auto" w:fill="FFCCCC"/>
          </w:tcPr>
          <w:p>
            <w:pPr>
              <w:spacing w:after="0"/>
              <w:rPr>
                <w:sz w:val="9"/>
                <w:szCs w:val="9"/>
                <w:color w:val="auto"/>
              </w:rPr>
            </w:pPr>
          </w:p>
        </w:tc>
        <w:tc>
          <w:tcPr>
            <w:tcW w:w="180" w:type="dxa"/>
            <w:vAlign w:val="bottom"/>
            <w:vMerge w:val="continue"/>
            <w:shd w:val="clear" w:color="auto" w:fill="FFCCCC"/>
          </w:tcPr>
          <w:p>
            <w:pPr>
              <w:spacing w:after="0"/>
              <w:rPr>
                <w:sz w:val="9"/>
                <w:szCs w:val="9"/>
                <w:color w:val="auto"/>
              </w:rPr>
            </w:pPr>
          </w:p>
        </w:tc>
        <w:tc>
          <w:tcPr>
            <w:tcW w:w="220" w:type="dxa"/>
            <w:vAlign w:val="bottom"/>
            <w:gridSpan w:val="2"/>
            <w:shd w:val="clear" w:color="auto" w:fill="FFCCCC"/>
          </w:tcPr>
          <w:p>
            <w:pPr>
              <w:spacing w:after="0"/>
              <w:rPr>
                <w:sz w:val="9"/>
                <w:szCs w:val="9"/>
                <w:color w:val="auto"/>
              </w:rPr>
            </w:pPr>
          </w:p>
        </w:tc>
        <w:tc>
          <w:tcPr>
            <w:tcW w:w="360" w:type="dxa"/>
            <w:vAlign w:val="bottom"/>
            <w:shd w:val="clear" w:color="auto" w:fill="FFCCCC"/>
          </w:tcPr>
          <w:p>
            <w:pPr>
              <w:spacing w:after="0"/>
              <w:rPr>
                <w:sz w:val="9"/>
                <w:szCs w:val="9"/>
                <w:color w:val="auto"/>
              </w:rPr>
            </w:pPr>
          </w:p>
        </w:tc>
        <w:tc>
          <w:tcPr>
            <w:tcW w:w="120" w:type="dxa"/>
            <w:vAlign w:val="bottom"/>
            <w:tcBorders>
              <w:right w:val="single" w:sz="8" w:color="auto"/>
            </w:tcBorders>
            <w:gridSpan w:val="2"/>
            <w:shd w:val="clear" w:color="auto" w:fill="FFCCCC"/>
          </w:tcPr>
          <w:p>
            <w:pPr>
              <w:spacing w:after="0"/>
              <w:rPr>
                <w:sz w:val="9"/>
                <w:szCs w:val="9"/>
                <w:color w:val="auto"/>
              </w:rPr>
            </w:pPr>
          </w:p>
        </w:tc>
        <w:tc>
          <w:tcPr>
            <w:tcW w:w="40" w:type="dxa"/>
            <w:vAlign w:val="bottom"/>
            <w:tcBorders>
              <w:left w:val="single" w:sz="8" w:color="FFCCCC"/>
            </w:tcBorders>
            <w:shd w:val="clear" w:color="auto" w:fill="FFCCCC"/>
          </w:tcPr>
          <w:p>
            <w:pPr>
              <w:spacing w:after="0"/>
              <w:rPr>
                <w:sz w:val="9"/>
                <w:szCs w:val="9"/>
                <w:color w:val="auto"/>
              </w:rPr>
            </w:pPr>
          </w:p>
        </w:tc>
        <w:tc>
          <w:tcPr>
            <w:tcW w:w="120" w:type="dxa"/>
            <w:vAlign w:val="bottom"/>
            <w:vMerge w:val="continue"/>
            <w:shd w:val="clear" w:color="auto" w:fill="FFCCCC"/>
          </w:tcPr>
          <w:p>
            <w:pPr>
              <w:spacing w:after="0"/>
              <w:rPr>
                <w:sz w:val="9"/>
                <w:szCs w:val="9"/>
                <w:color w:val="auto"/>
              </w:rPr>
            </w:pPr>
          </w:p>
        </w:tc>
        <w:tc>
          <w:tcPr>
            <w:tcW w:w="580" w:type="dxa"/>
            <w:vAlign w:val="bottom"/>
            <w:gridSpan w:val="5"/>
            <w:vMerge w:val="continue"/>
            <w:shd w:val="clear" w:color="auto" w:fill="FFCCCC"/>
          </w:tcPr>
          <w:p>
            <w:pPr>
              <w:spacing w:after="0"/>
              <w:rPr>
                <w:sz w:val="9"/>
                <w:szCs w:val="9"/>
                <w:color w:val="auto"/>
              </w:rPr>
            </w:pPr>
          </w:p>
        </w:tc>
        <w:tc>
          <w:tcPr>
            <w:tcW w:w="220" w:type="dxa"/>
            <w:vAlign w:val="bottom"/>
            <w:tcBorders>
              <w:right w:val="single" w:sz="8" w:color="auto"/>
            </w:tcBorders>
            <w:gridSpan w:val="2"/>
            <w:vMerge w:val="continue"/>
            <w:shd w:val="clear" w:color="auto" w:fill="FFCCCC"/>
          </w:tcPr>
          <w:p>
            <w:pPr>
              <w:spacing w:after="0"/>
              <w:rPr>
                <w:sz w:val="9"/>
                <w:szCs w:val="9"/>
                <w:color w:val="auto"/>
              </w:rPr>
            </w:pPr>
          </w:p>
        </w:tc>
        <w:tc>
          <w:tcPr>
            <w:tcW w:w="120" w:type="dxa"/>
            <w:vAlign w:val="bottom"/>
            <w:vMerge w:val="restart"/>
            <w:shd w:val="clear" w:color="auto" w:fill="FFCCCC"/>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7"/>
            <w:vMerge w:val="restart"/>
            <w:shd w:val="clear" w:color="auto" w:fill="FFCCCC"/>
          </w:tcPr>
          <w:p>
            <w:pPr>
              <w:spacing w:after="0"/>
              <w:rPr>
                <w:sz w:val="20"/>
                <w:szCs w:val="20"/>
                <w:color w:val="auto"/>
              </w:rPr>
            </w:pPr>
            <w:r>
              <w:rPr>
                <w:rFonts w:ascii="Arial" w:cs="Arial" w:eastAsia="Arial" w:hAnsi="Arial"/>
                <w:sz w:val="18"/>
                <w:szCs w:val="18"/>
                <w:b w:val="1"/>
                <w:bCs w:val="1"/>
                <w:color w:val="FF0000"/>
                <w:strike w:val="1"/>
                <w:w w:val="94"/>
              </w:rPr>
              <w:t>Margin</w:t>
            </w:r>
          </w:p>
        </w:tc>
        <w:tc>
          <w:tcPr>
            <w:tcW w:w="160" w:type="dxa"/>
            <w:vAlign w:val="bottom"/>
            <w:tcBorders>
              <w:right w:val="single" w:sz="8" w:color="auto"/>
            </w:tcBorders>
            <w:vMerge w:val="restart"/>
            <w:shd w:val="clear" w:color="auto" w:fill="FFCCCC"/>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shd w:val="clear" w:color="auto" w:fill="FFCCCC"/>
          </w:tcPr>
          <w:p>
            <w:pPr>
              <w:spacing w:after="0"/>
              <w:rPr>
                <w:sz w:val="10"/>
                <w:szCs w:val="10"/>
                <w:color w:val="auto"/>
              </w:rPr>
            </w:pPr>
          </w:p>
        </w:tc>
        <w:tc>
          <w:tcPr>
            <w:tcW w:w="120" w:type="dxa"/>
            <w:vAlign w:val="bottom"/>
            <w:shd w:val="clear" w:color="auto" w:fill="FFCCCC"/>
          </w:tcPr>
          <w:p>
            <w:pPr>
              <w:spacing w:after="0"/>
              <w:rPr>
                <w:sz w:val="10"/>
                <w:szCs w:val="10"/>
                <w:color w:val="auto"/>
              </w:rPr>
            </w:pPr>
          </w:p>
        </w:tc>
        <w:tc>
          <w:tcPr>
            <w:tcW w:w="40" w:type="dxa"/>
            <w:vAlign w:val="bottom"/>
            <w:shd w:val="clear" w:color="auto" w:fill="FFCCCC"/>
          </w:tcPr>
          <w:p>
            <w:pPr>
              <w:spacing w:after="0"/>
              <w:rPr>
                <w:sz w:val="10"/>
                <w:szCs w:val="10"/>
                <w:color w:val="auto"/>
              </w:rPr>
            </w:pPr>
          </w:p>
        </w:tc>
        <w:tc>
          <w:tcPr>
            <w:tcW w:w="120" w:type="dxa"/>
            <w:vAlign w:val="bottom"/>
            <w:shd w:val="clear" w:color="auto" w:fill="FFCCCC"/>
          </w:tcPr>
          <w:p>
            <w:pPr>
              <w:spacing w:after="0"/>
              <w:rPr>
                <w:sz w:val="10"/>
                <w:szCs w:val="10"/>
                <w:color w:val="auto"/>
              </w:rPr>
            </w:pPr>
          </w:p>
        </w:tc>
        <w:tc>
          <w:tcPr>
            <w:tcW w:w="40" w:type="dxa"/>
            <w:vAlign w:val="bottom"/>
            <w:shd w:val="clear" w:color="auto" w:fill="FFCCCC"/>
          </w:tcPr>
          <w:p>
            <w:pPr>
              <w:spacing w:after="0"/>
              <w:rPr>
                <w:sz w:val="10"/>
                <w:szCs w:val="10"/>
                <w:color w:val="auto"/>
              </w:rPr>
            </w:pPr>
          </w:p>
        </w:tc>
        <w:tc>
          <w:tcPr>
            <w:tcW w:w="100" w:type="dxa"/>
            <w:vAlign w:val="bottom"/>
            <w:shd w:val="clear" w:color="auto" w:fill="FFCCCC"/>
          </w:tcPr>
          <w:p>
            <w:pPr>
              <w:spacing w:after="0"/>
              <w:rPr>
                <w:sz w:val="10"/>
                <w:szCs w:val="10"/>
                <w:color w:val="auto"/>
              </w:rPr>
            </w:pPr>
          </w:p>
        </w:tc>
        <w:tc>
          <w:tcPr>
            <w:tcW w:w="140" w:type="dxa"/>
            <w:vAlign w:val="bottom"/>
            <w:tcBorders>
              <w:right w:val="single" w:sz="8" w:color="auto"/>
            </w:tcBorders>
            <w:shd w:val="clear" w:color="auto" w:fill="FFCCCC"/>
          </w:tcPr>
          <w:p>
            <w:pPr>
              <w:spacing w:after="0"/>
              <w:rPr>
                <w:sz w:val="10"/>
                <w:szCs w:val="10"/>
                <w:color w:val="auto"/>
              </w:rPr>
            </w:pPr>
          </w:p>
        </w:tc>
        <w:tc>
          <w:tcPr>
            <w:tcW w:w="40" w:type="dxa"/>
            <w:vAlign w:val="bottom"/>
            <w:tcBorders>
              <w:right w:val="single" w:sz="8" w:color="FFCCCC"/>
            </w:tcBorders>
            <w:shd w:val="clear" w:color="auto" w:fill="FFCCCC"/>
          </w:tcPr>
          <w:p>
            <w:pPr>
              <w:spacing w:after="0"/>
              <w:rPr>
                <w:sz w:val="10"/>
                <w:szCs w:val="10"/>
                <w:color w:val="auto"/>
              </w:rPr>
            </w:pPr>
          </w:p>
        </w:tc>
        <w:tc>
          <w:tcPr>
            <w:tcW w:w="20" w:type="dxa"/>
            <w:vAlign w:val="bottom"/>
            <w:shd w:val="clear" w:color="auto" w:fill="FFCCCC"/>
          </w:tcPr>
          <w:p>
            <w:pPr>
              <w:spacing w:after="0"/>
              <w:rPr>
                <w:sz w:val="10"/>
                <w:szCs w:val="10"/>
                <w:color w:val="auto"/>
              </w:rPr>
            </w:pPr>
          </w:p>
        </w:tc>
        <w:tc>
          <w:tcPr>
            <w:tcW w:w="60" w:type="dxa"/>
            <w:vAlign w:val="bottom"/>
            <w:shd w:val="clear" w:color="auto" w:fill="FFCCCC"/>
          </w:tcPr>
          <w:p>
            <w:pPr>
              <w:spacing w:after="0"/>
              <w:rPr>
                <w:sz w:val="10"/>
                <w:szCs w:val="10"/>
                <w:color w:val="auto"/>
              </w:rPr>
            </w:pPr>
          </w:p>
        </w:tc>
        <w:tc>
          <w:tcPr>
            <w:tcW w:w="100" w:type="dxa"/>
            <w:vAlign w:val="bottom"/>
            <w:shd w:val="clear" w:color="auto" w:fill="FFCCCC"/>
          </w:tcPr>
          <w:p>
            <w:pPr>
              <w:spacing w:after="0"/>
              <w:rPr>
                <w:sz w:val="10"/>
                <w:szCs w:val="10"/>
                <w:color w:val="auto"/>
              </w:rPr>
            </w:pPr>
          </w:p>
        </w:tc>
        <w:tc>
          <w:tcPr>
            <w:tcW w:w="180" w:type="dxa"/>
            <w:vAlign w:val="bottom"/>
            <w:shd w:val="clear" w:color="auto" w:fill="FFCCCC"/>
          </w:tcPr>
          <w:p>
            <w:pPr>
              <w:spacing w:after="0"/>
              <w:rPr>
                <w:sz w:val="10"/>
                <w:szCs w:val="10"/>
                <w:color w:val="auto"/>
              </w:rPr>
            </w:pPr>
          </w:p>
        </w:tc>
        <w:tc>
          <w:tcPr>
            <w:tcW w:w="40" w:type="dxa"/>
            <w:vAlign w:val="bottom"/>
            <w:shd w:val="clear" w:color="auto" w:fill="FFCCCC"/>
          </w:tcPr>
          <w:p>
            <w:pPr>
              <w:spacing w:after="0"/>
              <w:rPr>
                <w:sz w:val="10"/>
                <w:szCs w:val="10"/>
                <w:color w:val="auto"/>
              </w:rPr>
            </w:pPr>
          </w:p>
        </w:tc>
        <w:tc>
          <w:tcPr>
            <w:tcW w:w="320" w:type="dxa"/>
            <w:vAlign w:val="bottom"/>
            <w:shd w:val="clear" w:color="auto" w:fill="FFCCCC"/>
          </w:tcPr>
          <w:p>
            <w:pPr>
              <w:spacing w:after="0"/>
              <w:rPr>
                <w:sz w:val="10"/>
                <w:szCs w:val="10"/>
                <w:color w:val="auto"/>
              </w:rPr>
            </w:pPr>
          </w:p>
        </w:tc>
        <w:tc>
          <w:tcPr>
            <w:tcW w:w="80" w:type="dxa"/>
            <w:vAlign w:val="bottom"/>
            <w:shd w:val="clear" w:color="auto" w:fill="FFCCCC"/>
          </w:tcPr>
          <w:p>
            <w:pPr>
              <w:spacing w:after="0"/>
              <w:rPr>
                <w:sz w:val="10"/>
                <w:szCs w:val="10"/>
                <w:color w:val="auto"/>
              </w:rPr>
            </w:pPr>
          </w:p>
        </w:tc>
        <w:tc>
          <w:tcPr>
            <w:tcW w:w="100" w:type="dxa"/>
            <w:vAlign w:val="bottom"/>
            <w:shd w:val="clear" w:color="auto" w:fill="FFCCCC"/>
          </w:tcPr>
          <w:p>
            <w:pPr>
              <w:spacing w:after="0"/>
              <w:rPr>
                <w:sz w:val="10"/>
                <w:szCs w:val="10"/>
                <w:color w:val="auto"/>
              </w:rPr>
            </w:pPr>
          </w:p>
        </w:tc>
        <w:tc>
          <w:tcPr>
            <w:tcW w:w="20" w:type="dxa"/>
            <w:vAlign w:val="bottom"/>
            <w:shd w:val="clear" w:color="auto" w:fill="FFCCCC"/>
          </w:tcPr>
          <w:p>
            <w:pPr>
              <w:spacing w:after="0"/>
              <w:rPr>
                <w:sz w:val="10"/>
                <w:szCs w:val="10"/>
                <w:color w:val="auto"/>
              </w:rPr>
            </w:pPr>
          </w:p>
        </w:tc>
        <w:tc>
          <w:tcPr>
            <w:tcW w:w="100" w:type="dxa"/>
            <w:vAlign w:val="bottom"/>
            <w:shd w:val="clear" w:color="auto" w:fill="FFCCCC"/>
          </w:tcPr>
          <w:p>
            <w:pPr>
              <w:spacing w:after="0"/>
              <w:rPr>
                <w:sz w:val="10"/>
                <w:szCs w:val="10"/>
                <w:color w:val="auto"/>
              </w:rPr>
            </w:pPr>
          </w:p>
        </w:tc>
        <w:tc>
          <w:tcPr>
            <w:tcW w:w="60" w:type="dxa"/>
            <w:vAlign w:val="bottom"/>
            <w:shd w:val="clear" w:color="auto" w:fill="FFCCCC"/>
          </w:tcPr>
          <w:p>
            <w:pPr>
              <w:spacing w:after="0"/>
              <w:rPr>
                <w:sz w:val="10"/>
                <w:szCs w:val="10"/>
                <w:color w:val="auto"/>
              </w:rPr>
            </w:pPr>
          </w:p>
        </w:tc>
        <w:tc>
          <w:tcPr>
            <w:tcW w:w="20" w:type="dxa"/>
            <w:vAlign w:val="bottom"/>
            <w:shd w:val="clear" w:color="auto" w:fill="FFCCCC"/>
          </w:tcPr>
          <w:p>
            <w:pPr>
              <w:spacing w:after="0"/>
              <w:rPr>
                <w:sz w:val="10"/>
                <w:szCs w:val="10"/>
                <w:color w:val="auto"/>
              </w:rPr>
            </w:pPr>
          </w:p>
        </w:tc>
        <w:tc>
          <w:tcPr>
            <w:tcW w:w="40" w:type="dxa"/>
            <w:vAlign w:val="bottom"/>
            <w:shd w:val="clear" w:color="auto" w:fill="FFCCCC"/>
          </w:tcPr>
          <w:p>
            <w:pPr>
              <w:spacing w:after="0"/>
              <w:rPr>
                <w:sz w:val="10"/>
                <w:szCs w:val="10"/>
                <w:color w:val="auto"/>
              </w:rPr>
            </w:pPr>
          </w:p>
        </w:tc>
        <w:tc>
          <w:tcPr>
            <w:tcW w:w="20" w:type="dxa"/>
            <w:vAlign w:val="bottom"/>
            <w:shd w:val="clear" w:color="auto" w:fill="FFCCCC"/>
          </w:tcPr>
          <w:p>
            <w:pPr>
              <w:spacing w:after="0"/>
              <w:rPr>
                <w:sz w:val="10"/>
                <w:szCs w:val="10"/>
                <w:color w:val="auto"/>
              </w:rPr>
            </w:pPr>
          </w:p>
        </w:tc>
        <w:tc>
          <w:tcPr>
            <w:tcW w:w="240" w:type="dxa"/>
            <w:vAlign w:val="bottom"/>
            <w:shd w:val="clear" w:color="auto" w:fill="FFCCCC"/>
          </w:tcPr>
          <w:p>
            <w:pPr>
              <w:spacing w:after="0"/>
              <w:rPr>
                <w:sz w:val="10"/>
                <w:szCs w:val="10"/>
                <w:color w:val="auto"/>
              </w:rPr>
            </w:pPr>
          </w:p>
        </w:tc>
        <w:tc>
          <w:tcPr>
            <w:tcW w:w="20" w:type="dxa"/>
            <w:vAlign w:val="bottom"/>
            <w:shd w:val="clear" w:color="auto" w:fill="FFCCCC"/>
          </w:tcPr>
          <w:p>
            <w:pPr>
              <w:spacing w:after="0"/>
              <w:rPr>
                <w:sz w:val="10"/>
                <w:szCs w:val="10"/>
                <w:color w:val="auto"/>
              </w:rPr>
            </w:pPr>
          </w:p>
        </w:tc>
        <w:tc>
          <w:tcPr>
            <w:tcW w:w="80" w:type="dxa"/>
            <w:vAlign w:val="bottom"/>
            <w:shd w:val="clear" w:color="auto" w:fill="FFCCCC"/>
          </w:tcPr>
          <w:p>
            <w:pPr>
              <w:spacing w:after="0"/>
              <w:rPr>
                <w:sz w:val="10"/>
                <w:szCs w:val="10"/>
                <w:color w:val="auto"/>
              </w:rPr>
            </w:pPr>
          </w:p>
        </w:tc>
        <w:tc>
          <w:tcPr>
            <w:tcW w:w="120" w:type="dxa"/>
            <w:vAlign w:val="bottom"/>
            <w:shd w:val="clear" w:color="auto" w:fill="FFCCCC"/>
          </w:tcPr>
          <w:p>
            <w:pPr>
              <w:spacing w:after="0"/>
              <w:rPr>
                <w:sz w:val="10"/>
                <w:szCs w:val="10"/>
                <w:color w:val="auto"/>
              </w:rPr>
            </w:pPr>
          </w:p>
        </w:tc>
        <w:tc>
          <w:tcPr>
            <w:tcW w:w="180" w:type="dxa"/>
            <w:vAlign w:val="bottom"/>
            <w:shd w:val="clear" w:color="auto" w:fill="FFCCCC"/>
          </w:tcPr>
          <w:p>
            <w:pPr>
              <w:spacing w:after="0"/>
              <w:rPr>
                <w:sz w:val="10"/>
                <w:szCs w:val="10"/>
                <w:color w:val="auto"/>
              </w:rPr>
            </w:pPr>
          </w:p>
        </w:tc>
        <w:tc>
          <w:tcPr>
            <w:tcW w:w="60" w:type="dxa"/>
            <w:vAlign w:val="bottom"/>
            <w:shd w:val="clear" w:color="auto" w:fill="FFCCCC"/>
          </w:tcPr>
          <w:p>
            <w:pPr>
              <w:spacing w:after="0"/>
              <w:rPr>
                <w:sz w:val="10"/>
                <w:szCs w:val="10"/>
                <w:color w:val="auto"/>
              </w:rPr>
            </w:pPr>
          </w:p>
        </w:tc>
        <w:tc>
          <w:tcPr>
            <w:tcW w:w="160" w:type="dxa"/>
            <w:vAlign w:val="bottom"/>
            <w:shd w:val="clear" w:color="auto" w:fill="FFCCCC"/>
          </w:tcPr>
          <w:p>
            <w:pPr>
              <w:spacing w:after="0"/>
              <w:rPr>
                <w:sz w:val="10"/>
                <w:szCs w:val="10"/>
                <w:color w:val="auto"/>
              </w:rPr>
            </w:pPr>
          </w:p>
        </w:tc>
        <w:tc>
          <w:tcPr>
            <w:tcW w:w="360" w:type="dxa"/>
            <w:vAlign w:val="bottom"/>
            <w:shd w:val="clear" w:color="auto" w:fill="FFCCCC"/>
          </w:tcPr>
          <w:p>
            <w:pPr>
              <w:spacing w:after="0"/>
              <w:rPr>
                <w:sz w:val="10"/>
                <w:szCs w:val="10"/>
                <w:color w:val="auto"/>
              </w:rPr>
            </w:pPr>
          </w:p>
        </w:tc>
        <w:tc>
          <w:tcPr>
            <w:tcW w:w="20" w:type="dxa"/>
            <w:vAlign w:val="bottom"/>
            <w:shd w:val="clear" w:color="auto" w:fill="FFCCCC"/>
          </w:tcPr>
          <w:p>
            <w:pPr>
              <w:spacing w:after="0"/>
              <w:rPr>
                <w:sz w:val="10"/>
                <w:szCs w:val="10"/>
                <w:color w:val="auto"/>
              </w:rPr>
            </w:pPr>
          </w:p>
        </w:tc>
        <w:tc>
          <w:tcPr>
            <w:tcW w:w="100" w:type="dxa"/>
            <w:vAlign w:val="bottom"/>
            <w:tcBorders>
              <w:right w:val="single" w:sz="8" w:color="auto"/>
            </w:tcBorders>
            <w:shd w:val="clear" w:color="auto" w:fill="FFCCCC"/>
          </w:tcPr>
          <w:p>
            <w:pPr>
              <w:spacing w:after="0"/>
              <w:rPr>
                <w:sz w:val="10"/>
                <w:szCs w:val="10"/>
                <w:color w:val="auto"/>
              </w:rPr>
            </w:pPr>
          </w:p>
        </w:tc>
        <w:tc>
          <w:tcPr>
            <w:tcW w:w="40" w:type="dxa"/>
            <w:vAlign w:val="bottom"/>
            <w:tcBorders>
              <w:left w:val="single" w:sz="8" w:color="FFCCCC"/>
            </w:tcBorders>
            <w:shd w:val="clear" w:color="auto" w:fill="FFCCCC"/>
          </w:tcPr>
          <w:p>
            <w:pPr>
              <w:spacing w:after="0"/>
              <w:rPr>
                <w:sz w:val="10"/>
                <w:szCs w:val="10"/>
                <w:color w:val="auto"/>
              </w:rPr>
            </w:pPr>
          </w:p>
        </w:tc>
        <w:tc>
          <w:tcPr>
            <w:tcW w:w="120" w:type="dxa"/>
            <w:vAlign w:val="bottom"/>
            <w:shd w:val="clear" w:color="auto" w:fill="FFCCCC"/>
          </w:tcPr>
          <w:p>
            <w:pPr>
              <w:spacing w:after="0"/>
              <w:rPr>
                <w:sz w:val="10"/>
                <w:szCs w:val="10"/>
                <w:color w:val="auto"/>
              </w:rPr>
            </w:pPr>
          </w:p>
        </w:tc>
        <w:tc>
          <w:tcPr>
            <w:tcW w:w="60" w:type="dxa"/>
            <w:vAlign w:val="bottom"/>
            <w:shd w:val="clear" w:color="auto" w:fill="FFCCCC"/>
          </w:tcPr>
          <w:p>
            <w:pPr>
              <w:spacing w:after="0"/>
              <w:rPr>
                <w:sz w:val="10"/>
                <w:szCs w:val="10"/>
                <w:color w:val="auto"/>
              </w:rPr>
            </w:pPr>
          </w:p>
        </w:tc>
        <w:tc>
          <w:tcPr>
            <w:tcW w:w="20" w:type="dxa"/>
            <w:vAlign w:val="bottom"/>
            <w:shd w:val="clear" w:color="auto" w:fill="FFCCCC"/>
          </w:tcPr>
          <w:p>
            <w:pPr>
              <w:spacing w:after="0"/>
              <w:rPr>
                <w:sz w:val="10"/>
                <w:szCs w:val="10"/>
                <w:color w:val="auto"/>
              </w:rPr>
            </w:pPr>
          </w:p>
        </w:tc>
        <w:tc>
          <w:tcPr>
            <w:tcW w:w="460" w:type="dxa"/>
            <w:vAlign w:val="bottom"/>
            <w:shd w:val="clear" w:color="auto" w:fill="FFCCCC"/>
          </w:tcPr>
          <w:p>
            <w:pPr>
              <w:spacing w:after="0"/>
              <w:rPr>
                <w:sz w:val="10"/>
                <w:szCs w:val="10"/>
                <w:color w:val="auto"/>
              </w:rPr>
            </w:pPr>
          </w:p>
        </w:tc>
        <w:tc>
          <w:tcPr>
            <w:tcW w:w="20" w:type="dxa"/>
            <w:vAlign w:val="bottom"/>
            <w:shd w:val="clear" w:color="auto" w:fill="FFCCCC"/>
          </w:tcPr>
          <w:p>
            <w:pPr>
              <w:spacing w:after="0"/>
              <w:rPr>
                <w:sz w:val="10"/>
                <w:szCs w:val="10"/>
                <w:color w:val="auto"/>
              </w:rPr>
            </w:pPr>
          </w:p>
        </w:tc>
        <w:tc>
          <w:tcPr>
            <w:tcW w:w="20" w:type="dxa"/>
            <w:vAlign w:val="bottom"/>
            <w:shd w:val="clear" w:color="auto" w:fill="FFCCCC"/>
          </w:tcPr>
          <w:p>
            <w:pPr>
              <w:spacing w:after="0"/>
              <w:rPr>
                <w:sz w:val="10"/>
                <w:szCs w:val="10"/>
                <w:color w:val="auto"/>
              </w:rPr>
            </w:pPr>
          </w:p>
        </w:tc>
        <w:tc>
          <w:tcPr>
            <w:tcW w:w="140" w:type="dxa"/>
            <w:vAlign w:val="bottom"/>
            <w:shd w:val="clear" w:color="auto" w:fill="FFCCCC"/>
          </w:tcPr>
          <w:p>
            <w:pPr>
              <w:spacing w:after="0"/>
              <w:rPr>
                <w:sz w:val="10"/>
                <w:szCs w:val="10"/>
                <w:color w:val="auto"/>
              </w:rPr>
            </w:pPr>
          </w:p>
        </w:tc>
        <w:tc>
          <w:tcPr>
            <w:tcW w:w="80" w:type="dxa"/>
            <w:vAlign w:val="bottom"/>
            <w:tcBorders>
              <w:right w:val="single" w:sz="8" w:color="auto"/>
            </w:tcBorders>
            <w:shd w:val="clear" w:color="auto" w:fill="FFCCCC"/>
          </w:tcPr>
          <w:p>
            <w:pPr>
              <w:spacing w:after="0"/>
              <w:rPr>
                <w:sz w:val="10"/>
                <w:szCs w:val="10"/>
                <w:color w:val="auto"/>
              </w:rPr>
            </w:pPr>
          </w:p>
        </w:tc>
        <w:tc>
          <w:tcPr>
            <w:tcW w:w="120" w:type="dxa"/>
            <w:vAlign w:val="bottom"/>
            <w:vMerge w:val="continue"/>
            <w:shd w:val="clear" w:color="auto" w:fill="FFCCCC"/>
          </w:tcPr>
          <w:p>
            <w:pPr>
              <w:spacing w:after="0"/>
              <w:rPr>
                <w:sz w:val="10"/>
                <w:szCs w:val="10"/>
                <w:color w:val="auto"/>
              </w:rPr>
            </w:pPr>
          </w:p>
        </w:tc>
        <w:tc>
          <w:tcPr>
            <w:tcW w:w="580" w:type="dxa"/>
            <w:vAlign w:val="bottom"/>
            <w:gridSpan w:val="7"/>
            <w:vMerge w:val="continue"/>
            <w:shd w:val="clear" w:color="auto" w:fill="FFCCCC"/>
          </w:tcPr>
          <w:p>
            <w:pPr>
              <w:spacing w:after="0"/>
              <w:rPr>
                <w:sz w:val="10"/>
                <w:szCs w:val="10"/>
                <w:color w:val="auto"/>
              </w:rPr>
            </w:pPr>
          </w:p>
        </w:tc>
        <w:tc>
          <w:tcPr>
            <w:tcW w:w="160" w:type="dxa"/>
            <w:vAlign w:val="bottom"/>
            <w:tcBorders>
              <w:right w:val="single" w:sz="8" w:color="auto"/>
            </w:tcBorders>
            <w:vMerge w:val="continue"/>
            <w:shd w:val="clear" w:color="auto" w:fill="FFCCCC"/>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Borders>
              <w:bottom w:val="single" w:sz="8" w:color="auto"/>
            </w:tcBorders>
            <w:shd w:val="clear" w:color="auto" w:fill="FFCCCC"/>
          </w:tcPr>
          <w:p>
            <w:pPr>
              <w:spacing w:after="0"/>
              <w:rPr>
                <w:sz w:val="7"/>
                <w:szCs w:val="7"/>
                <w:color w:val="auto"/>
              </w:rPr>
            </w:pPr>
          </w:p>
        </w:tc>
        <w:tc>
          <w:tcPr>
            <w:tcW w:w="120" w:type="dxa"/>
            <w:vAlign w:val="bottom"/>
            <w:tcBorders>
              <w:bottom w:val="single" w:sz="8" w:color="auto"/>
            </w:tcBorders>
            <w:shd w:val="clear" w:color="auto" w:fill="FFCCCC"/>
          </w:tcPr>
          <w:p>
            <w:pPr>
              <w:spacing w:after="0"/>
              <w:rPr>
                <w:sz w:val="7"/>
                <w:szCs w:val="7"/>
                <w:color w:val="auto"/>
              </w:rPr>
            </w:pPr>
          </w:p>
        </w:tc>
        <w:tc>
          <w:tcPr>
            <w:tcW w:w="40" w:type="dxa"/>
            <w:vAlign w:val="bottom"/>
            <w:tcBorders>
              <w:bottom w:val="single" w:sz="8" w:color="auto"/>
            </w:tcBorders>
            <w:shd w:val="clear" w:color="auto" w:fill="FFCCCC"/>
          </w:tcPr>
          <w:p>
            <w:pPr>
              <w:spacing w:after="0"/>
              <w:rPr>
                <w:sz w:val="7"/>
                <w:szCs w:val="7"/>
                <w:color w:val="auto"/>
              </w:rPr>
            </w:pPr>
          </w:p>
        </w:tc>
        <w:tc>
          <w:tcPr>
            <w:tcW w:w="120" w:type="dxa"/>
            <w:vAlign w:val="bottom"/>
            <w:tcBorders>
              <w:bottom w:val="single" w:sz="8" w:color="auto"/>
            </w:tcBorders>
            <w:shd w:val="clear" w:color="auto" w:fill="FFCCCC"/>
          </w:tcPr>
          <w:p>
            <w:pPr>
              <w:spacing w:after="0"/>
              <w:rPr>
                <w:sz w:val="7"/>
                <w:szCs w:val="7"/>
                <w:color w:val="auto"/>
              </w:rPr>
            </w:pPr>
          </w:p>
        </w:tc>
        <w:tc>
          <w:tcPr>
            <w:tcW w:w="40" w:type="dxa"/>
            <w:vAlign w:val="bottom"/>
            <w:tcBorders>
              <w:bottom w:val="single" w:sz="8" w:color="auto"/>
            </w:tcBorders>
            <w:shd w:val="clear" w:color="auto" w:fill="FFCCCC"/>
          </w:tcPr>
          <w:p>
            <w:pPr>
              <w:spacing w:after="0"/>
              <w:rPr>
                <w:sz w:val="7"/>
                <w:szCs w:val="7"/>
                <w:color w:val="auto"/>
              </w:rPr>
            </w:pPr>
          </w:p>
        </w:tc>
        <w:tc>
          <w:tcPr>
            <w:tcW w:w="100" w:type="dxa"/>
            <w:vAlign w:val="bottom"/>
            <w:tcBorders>
              <w:bottom w:val="single" w:sz="8" w:color="auto"/>
            </w:tcBorders>
            <w:shd w:val="clear" w:color="auto" w:fill="FFCCCC"/>
          </w:tcPr>
          <w:p>
            <w:pPr>
              <w:spacing w:after="0"/>
              <w:rPr>
                <w:sz w:val="7"/>
                <w:szCs w:val="7"/>
                <w:color w:val="auto"/>
              </w:rPr>
            </w:pPr>
          </w:p>
        </w:tc>
        <w:tc>
          <w:tcPr>
            <w:tcW w:w="140" w:type="dxa"/>
            <w:vAlign w:val="bottom"/>
            <w:tcBorders>
              <w:bottom w:val="single" w:sz="8" w:color="auto"/>
              <w:right w:val="single" w:sz="8" w:color="auto"/>
            </w:tcBorders>
            <w:shd w:val="clear" w:color="auto" w:fill="FFCCCC"/>
          </w:tcPr>
          <w:p>
            <w:pPr>
              <w:spacing w:after="0"/>
              <w:rPr>
                <w:sz w:val="7"/>
                <w:szCs w:val="7"/>
                <w:color w:val="auto"/>
              </w:rPr>
            </w:pPr>
          </w:p>
        </w:tc>
        <w:tc>
          <w:tcPr>
            <w:tcW w:w="40" w:type="dxa"/>
            <w:vAlign w:val="bottom"/>
            <w:tcBorders>
              <w:bottom w:val="single" w:sz="8" w:color="auto"/>
              <w:right w:val="single" w:sz="8" w:color="FFCCCC"/>
            </w:tcBorders>
            <w:shd w:val="clear" w:color="auto" w:fill="FFCCCC"/>
          </w:tcPr>
          <w:p>
            <w:pPr>
              <w:spacing w:after="0"/>
              <w:rPr>
                <w:sz w:val="7"/>
                <w:szCs w:val="7"/>
                <w:color w:val="auto"/>
              </w:rPr>
            </w:pPr>
          </w:p>
        </w:tc>
        <w:tc>
          <w:tcPr>
            <w:tcW w:w="20" w:type="dxa"/>
            <w:vAlign w:val="bottom"/>
            <w:tcBorders>
              <w:bottom w:val="single" w:sz="8" w:color="auto"/>
            </w:tcBorders>
            <w:shd w:val="clear" w:color="auto" w:fill="FFCCCC"/>
          </w:tcPr>
          <w:p>
            <w:pPr>
              <w:spacing w:after="0"/>
              <w:rPr>
                <w:sz w:val="7"/>
                <w:szCs w:val="7"/>
                <w:color w:val="auto"/>
              </w:rPr>
            </w:pPr>
          </w:p>
        </w:tc>
        <w:tc>
          <w:tcPr>
            <w:tcW w:w="60" w:type="dxa"/>
            <w:vAlign w:val="bottom"/>
            <w:tcBorders>
              <w:bottom w:val="single" w:sz="8" w:color="auto"/>
            </w:tcBorders>
            <w:shd w:val="clear" w:color="auto" w:fill="FFCCCC"/>
          </w:tcPr>
          <w:p>
            <w:pPr>
              <w:spacing w:after="0"/>
              <w:rPr>
                <w:sz w:val="7"/>
                <w:szCs w:val="7"/>
                <w:color w:val="auto"/>
              </w:rPr>
            </w:pPr>
          </w:p>
        </w:tc>
        <w:tc>
          <w:tcPr>
            <w:tcW w:w="100" w:type="dxa"/>
            <w:vAlign w:val="bottom"/>
            <w:tcBorders>
              <w:bottom w:val="single" w:sz="8" w:color="auto"/>
            </w:tcBorders>
            <w:shd w:val="clear" w:color="auto" w:fill="FFCCCC"/>
          </w:tcPr>
          <w:p>
            <w:pPr>
              <w:spacing w:after="0"/>
              <w:rPr>
                <w:sz w:val="7"/>
                <w:szCs w:val="7"/>
                <w:color w:val="auto"/>
              </w:rPr>
            </w:pPr>
          </w:p>
        </w:tc>
        <w:tc>
          <w:tcPr>
            <w:tcW w:w="180" w:type="dxa"/>
            <w:vAlign w:val="bottom"/>
            <w:tcBorders>
              <w:bottom w:val="single" w:sz="8" w:color="auto"/>
            </w:tcBorders>
            <w:shd w:val="clear" w:color="auto" w:fill="FFCCCC"/>
          </w:tcPr>
          <w:p>
            <w:pPr>
              <w:spacing w:after="0"/>
              <w:rPr>
                <w:sz w:val="7"/>
                <w:szCs w:val="7"/>
                <w:color w:val="auto"/>
              </w:rPr>
            </w:pPr>
          </w:p>
        </w:tc>
        <w:tc>
          <w:tcPr>
            <w:tcW w:w="40" w:type="dxa"/>
            <w:vAlign w:val="bottom"/>
            <w:tcBorders>
              <w:bottom w:val="single" w:sz="8" w:color="auto"/>
            </w:tcBorders>
            <w:shd w:val="clear" w:color="auto" w:fill="FFCCCC"/>
          </w:tcPr>
          <w:p>
            <w:pPr>
              <w:spacing w:after="0"/>
              <w:rPr>
                <w:sz w:val="7"/>
                <w:szCs w:val="7"/>
                <w:color w:val="auto"/>
              </w:rPr>
            </w:pPr>
          </w:p>
        </w:tc>
        <w:tc>
          <w:tcPr>
            <w:tcW w:w="320" w:type="dxa"/>
            <w:vAlign w:val="bottom"/>
            <w:tcBorders>
              <w:bottom w:val="single" w:sz="8" w:color="auto"/>
            </w:tcBorders>
            <w:shd w:val="clear" w:color="auto" w:fill="FFCCCC"/>
          </w:tcPr>
          <w:p>
            <w:pPr>
              <w:spacing w:after="0"/>
              <w:rPr>
                <w:sz w:val="7"/>
                <w:szCs w:val="7"/>
                <w:color w:val="auto"/>
              </w:rPr>
            </w:pPr>
          </w:p>
        </w:tc>
        <w:tc>
          <w:tcPr>
            <w:tcW w:w="80" w:type="dxa"/>
            <w:vAlign w:val="bottom"/>
            <w:tcBorders>
              <w:bottom w:val="single" w:sz="8" w:color="auto"/>
            </w:tcBorders>
            <w:shd w:val="clear" w:color="auto" w:fill="FFCCCC"/>
          </w:tcPr>
          <w:p>
            <w:pPr>
              <w:spacing w:after="0"/>
              <w:rPr>
                <w:sz w:val="7"/>
                <w:szCs w:val="7"/>
                <w:color w:val="auto"/>
              </w:rPr>
            </w:pPr>
          </w:p>
        </w:tc>
        <w:tc>
          <w:tcPr>
            <w:tcW w:w="100" w:type="dxa"/>
            <w:vAlign w:val="bottom"/>
            <w:tcBorders>
              <w:bottom w:val="single" w:sz="8" w:color="auto"/>
            </w:tcBorders>
            <w:shd w:val="clear" w:color="auto" w:fill="FFCCCC"/>
          </w:tcPr>
          <w:p>
            <w:pPr>
              <w:spacing w:after="0"/>
              <w:rPr>
                <w:sz w:val="7"/>
                <w:szCs w:val="7"/>
                <w:color w:val="auto"/>
              </w:rPr>
            </w:pPr>
          </w:p>
        </w:tc>
        <w:tc>
          <w:tcPr>
            <w:tcW w:w="20" w:type="dxa"/>
            <w:vAlign w:val="bottom"/>
            <w:tcBorders>
              <w:bottom w:val="single" w:sz="8" w:color="auto"/>
            </w:tcBorders>
            <w:shd w:val="clear" w:color="auto" w:fill="FFCCCC"/>
          </w:tcPr>
          <w:p>
            <w:pPr>
              <w:spacing w:after="0"/>
              <w:rPr>
                <w:sz w:val="7"/>
                <w:szCs w:val="7"/>
                <w:color w:val="auto"/>
              </w:rPr>
            </w:pPr>
          </w:p>
        </w:tc>
        <w:tc>
          <w:tcPr>
            <w:tcW w:w="100" w:type="dxa"/>
            <w:vAlign w:val="bottom"/>
            <w:tcBorders>
              <w:bottom w:val="single" w:sz="8" w:color="auto"/>
            </w:tcBorders>
            <w:shd w:val="clear" w:color="auto" w:fill="FFCCCC"/>
          </w:tcPr>
          <w:p>
            <w:pPr>
              <w:spacing w:after="0"/>
              <w:rPr>
                <w:sz w:val="7"/>
                <w:szCs w:val="7"/>
                <w:color w:val="auto"/>
              </w:rPr>
            </w:pPr>
          </w:p>
        </w:tc>
        <w:tc>
          <w:tcPr>
            <w:tcW w:w="60" w:type="dxa"/>
            <w:vAlign w:val="bottom"/>
            <w:tcBorders>
              <w:bottom w:val="single" w:sz="8" w:color="auto"/>
            </w:tcBorders>
            <w:shd w:val="clear" w:color="auto" w:fill="FFCCCC"/>
          </w:tcPr>
          <w:p>
            <w:pPr>
              <w:spacing w:after="0"/>
              <w:rPr>
                <w:sz w:val="7"/>
                <w:szCs w:val="7"/>
                <w:color w:val="auto"/>
              </w:rPr>
            </w:pPr>
          </w:p>
        </w:tc>
        <w:tc>
          <w:tcPr>
            <w:tcW w:w="20" w:type="dxa"/>
            <w:vAlign w:val="bottom"/>
            <w:tcBorders>
              <w:bottom w:val="single" w:sz="8" w:color="auto"/>
            </w:tcBorders>
            <w:shd w:val="clear" w:color="auto" w:fill="FFCCCC"/>
          </w:tcPr>
          <w:p>
            <w:pPr>
              <w:spacing w:after="0"/>
              <w:rPr>
                <w:sz w:val="7"/>
                <w:szCs w:val="7"/>
                <w:color w:val="auto"/>
              </w:rPr>
            </w:pPr>
          </w:p>
        </w:tc>
        <w:tc>
          <w:tcPr>
            <w:tcW w:w="40" w:type="dxa"/>
            <w:vAlign w:val="bottom"/>
            <w:tcBorders>
              <w:bottom w:val="single" w:sz="8" w:color="auto"/>
            </w:tcBorders>
            <w:shd w:val="clear" w:color="auto" w:fill="FFCCCC"/>
          </w:tcPr>
          <w:p>
            <w:pPr>
              <w:spacing w:after="0"/>
              <w:rPr>
                <w:sz w:val="7"/>
                <w:szCs w:val="7"/>
                <w:color w:val="auto"/>
              </w:rPr>
            </w:pPr>
          </w:p>
        </w:tc>
        <w:tc>
          <w:tcPr>
            <w:tcW w:w="20" w:type="dxa"/>
            <w:vAlign w:val="bottom"/>
            <w:tcBorders>
              <w:bottom w:val="single" w:sz="8" w:color="auto"/>
            </w:tcBorders>
            <w:shd w:val="clear" w:color="auto" w:fill="FFCCCC"/>
          </w:tcPr>
          <w:p>
            <w:pPr>
              <w:spacing w:after="0"/>
              <w:rPr>
                <w:sz w:val="7"/>
                <w:szCs w:val="7"/>
                <w:color w:val="auto"/>
              </w:rPr>
            </w:pPr>
          </w:p>
        </w:tc>
        <w:tc>
          <w:tcPr>
            <w:tcW w:w="240" w:type="dxa"/>
            <w:vAlign w:val="bottom"/>
            <w:tcBorders>
              <w:bottom w:val="single" w:sz="8" w:color="auto"/>
            </w:tcBorders>
            <w:shd w:val="clear" w:color="auto" w:fill="FFCCCC"/>
          </w:tcPr>
          <w:p>
            <w:pPr>
              <w:spacing w:after="0"/>
              <w:rPr>
                <w:sz w:val="7"/>
                <w:szCs w:val="7"/>
                <w:color w:val="auto"/>
              </w:rPr>
            </w:pPr>
          </w:p>
        </w:tc>
        <w:tc>
          <w:tcPr>
            <w:tcW w:w="20" w:type="dxa"/>
            <w:vAlign w:val="bottom"/>
            <w:tcBorders>
              <w:bottom w:val="single" w:sz="8" w:color="auto"/>
            </w:tcBorders>
            <w:shd w:val="clear" w:color="auto" w:fill="FFCCCC"/>
          </w:tcPr>
          <w:p>
            <w:pPr>
              <w:spacing w:after="0"/>
              <w:rPr>
                <w:sz w:val="7"/>
                <w:szCs w:val="7"/>
                <w:color w:val="auto"/>
              </w:rPr>
            </w:pPr>
          </w:p>
        </w:tc>
        <w:tc>
          <w:tcPr>
            <w:tcW w:w="80" w:type="dxa"/>
            <w:vAlign w:val="bottom"/>
            <w:tcBorders>
              <w:bottom w:val="single" w:sz="8" w:color="auto"/>
            </w:tcBorders>
            <w:shd w:val="clear" w:color="auto" w:fill="FFCCCC"/>
          </w:tcPr>
          <w:p>
            <w:pPr>
              <w:spacing w:after="0"/>
              <w:rPr>
                <w:sz w:val="7"/>
                <w:szCs w:val="7"/>
                <w:color w:val="auto"/>
              </w:rPr>
            </w:pPr>
          </w:p>
        </w:tc>
        <w:tc>
          <w:tcPr>
            <w:tcW w:w="120" w:type="dxa"/>
            <w:vAlign w:val="bottom"/>
            <w:tcBorders>
              <w:bottom w:val="single" w:sz="8" w:color="auto"/>
            </w:tcBorders>
            <w:shd w:val="clear" w:color="auto" w:fill="FFCCCC"/>
          </w:tcPr>
          <w:p>
            <w:pPr>
              <w:spacing w:after="0"/>
              <w:rPr>
                <w:sz w:val="7"/>
                <w:szCs w:val="7"/>
                <w:color w:val="auto"/>
              </w:rPr>
            </w:pPr>
          </w:p>
        </w:tc>
        <w:tc>
          <w:tcPr>
            <w:tcW w:w="180" w:type="dxa"/>
            <w:vAlign w:val="bottom"/>
            <w:tcBorders>
              <w:bottom w:val="single" w:sz="8" w:color="auto"/>
            </w:tcBorders>
            <w:shd w:val="clear" w:color="auto" w:fill="FFCCCC"/>
          </w:tcPr>
          <w:p>
            <w:pPr>
              <w:spacing w:after="0"/>
              <w:rPr>
                <w:sz w:val="7"/>
                <w:szCs w:val="7"/>
                <w:color w:val="auto"/>
              </w:rPr>
            </w:pPr>
          </w:p>
        </w:tc>
        <w:tc>
          <w:tcPr>
            <w:tcW w:w="60" w:type="dxa"/>
            <w:vAlign w:val="bottom"/>
            <w:tcBorders>
              <w:bottom w:val="single" w:sz="8" w:color="auto"/>
            </w:tcBorders>
            <w:shd w:val="clear" w:color="auto" w:fill="FFCCCC"/>
          </w:tcPr>
          <w:p>
            <w:pPr>
              <w:spacing w:after="0"/>
              <w:rPr>
                <w:sz w:val="7"/>
                <w:szCs w:val="7"/>
                <w:color w:val="auto"/>
              </w:rPr>
            </w:pPr>
          </w:p>
        </w:tc>
        <w:tc>
          <w:tcPr>
            <w:tcW w:w="160" w:type="dxa"/>
            <w:vAlign w:val="bottom"/>
            <w:tcBorders>
              <w:bottom w:val="single" w:sz="8" w:color="auto"/>
            </w:tcBorders>
            <w:shd w:val="clear" w:color="auto" w:fill="FFCCCC"/>
          </w:tcPr>
          <w:p>
            <w:pPr>
              <w:spacing w:after="0"/>
              <w:rPr>
                <w:sz w:val="7"/>
                <w:szCs w:val="7"/>
                <w:color w:val="auto"/>
              </w:rPr>
            </w:pPr>
          </w:p>
        </w:tc>
        <w:tc>
          <w:tcPr>
            <w:tcW w:w="360" w:type="dxa"/>
            <w:vAlign w:val="bottom"/>
            <w:tcBorders>
              <w:bottom w:val="single" w:sz="8" w:color="auto"/>
            </w:tcBorders>
            <w:shd w:val="clear" w:color="auto" w:fill="FFCCCC"/>
          </w:tcPr>
          <w:p>
            <w:pPr>
              <w:spacing w:after="0"/>
              <w:rPr>
                <w:sz w:val="7"/>
                <w:szCs w:val="7"/>
                <w:color w:val="auto"/>
              </w:rPr>
            </w:pPr>
          </w:p>
        </w:tc>
        <w:tc>
          <w:tcPr>
            <w:tcW w:w="20" w:type="dxa"/>
            <w:vAlign w:val="bottom"/>
            <w:tcBorders>
              <w:bottom w:val="single" w:sz="8" w:color="auto"/>
            </w:tcBorders>
            <w:shd w:val="clear" w:color="auto" w:fill="FFCCCC"/>
          </w:tcPr>
          <w:p>
            <w:pPr>
              <w:spacing w:after="0"/>
              <w:rPr>
                <w:sz w:val="7"/>
                <w:szCs w:val="7"/>
                <w:color w:val="auto"/>
              </w:rPr>
            </w:pPr>
          </w:p>
        </w:tc>
        <w:tc>
          <w:tcPr>
            <w:tcW w:w="100" w:type="dxa"/>
            <w:vAlign w:val="bottom"/>
            <w:tcBorders>
              <w:bottom w:val="single" w:sz="8" w:color="auto"/>
              <w:right w:val="single" w:sz="8" w:color="auto"/>
            </w:tcBorders>
            <w:shd w:val="clear" w:color="auto" w:fill="FFCCCC"/>
          </w:tcPr>
          <w:p>
            <w:pPr>
              <w:spacing w:after="0"/>
              <w:rPr>
                <w:sz w:val="7"/>
                <w:szCs w:val="7"/>
                <w:color w:val="auto"/>
              </w:rPr>
            </w:pPr>
          </w:p>
        </w:tc>
        <w:tc>
          <w:tcPr>
            <w:tcW w:w="40" w:type="dxa"/>
            <w:vAlign w:val="bottom"/>
            <w:tcBorders>
              <w:left w:val="single" w:sz="8" w:color="FFCCCC"/>
              <w:bottom w:val="single" w:sz="8" w:color="auto"/>
            </w:tcBorders>
            <w:shd w:val="clear" w:color="auto" w:fill="FFCCCC"/>
          </w:tcPr>
          <w:p>
            <w:pPr>
              <w:spacing w:after="0"/>
              <w:rPr>
                <w:sz w:val="7"/>
                <w:szCs w:val="7"/>
                <w:color w:val="auto"/>
              </w:rPr>
            </w:pPr>
          </w:p>
        </w:tc>
        <w:tc>
          <w:tcPr>
            <w:tcW w:w="120" w:type="dxa"/>
            <w:vAlign w:val="bottom"/>
            <w:tcBorders>
              <w:bottom w:val="single" w:sz="8" w:color="auto"/>
            </w:tcBorders>
            <w:shd w:val="clear" w:color="auto" w:fill="FFCCCC"/>
          </w:tcPr>
          <w:p>
            <w:pPr>
              <w:spacing w:after="0"/>
              <w:rPr>
                <w:sz w:val="7"/>
                <w:szCs w:val="7"/>
                <w:color w:val="auto"/>
              </w:rPr>
            </w:pPr>
          </w:p>
        </w:tc>
        <w:tc>
          <w:tcPr>
            <w:tcW w:w="60" w:type="dxa"/>
            <w:vAlign w:val="bottom"/>
            <w:tcBorders>
              <w:bottom w:val="single" w:sz="8" w:color="auto"/>
            </w:tcBorders>
            <w:shd w:val="clear" w:color="auto" w:fill="FFCCCC"/>
          </w:tcPr>
          <w:p>
            <w:pPr>
              <w:spacing w:after="0"/>
              <w:rPr>
                <w:sz w:val="7"/>
                <w:szCs w:val="7"/>
                <w:color w:val="auto"/>
              </w:rPr>
            </w:pPr>
          </w:p>
        </w:tc>
        <w:tc>
          <w:tcPr>
            <w:tcW w:w="20" w:type="dxa"/>
            <w:vAlign w:val="bottom"/>
            <w:tcBorders>
              <w:bottom w:val="single" w:sz="8" w:color="auto"/>
            </w:tcBorders>
            <w:shd w:val="clear" w:color="auto" w:fill="FFCCCC"/>
          </w:tcPr>
          <w:p>
            <w:pPr>
              <w:spacing w:after="0"/>
              <w:rPr>
                <w:sz w:val="7"/>
                <w:szCs w:val="7"/>
                <w:color w:val="auto"/>
              </w:rPr>
            </w:pPr>
          </w:p>
        </w:tc>
        <w:tc>
          <w:tcPr>
            <w:tcW w:w="460" w:type="dxa"/>
            <w:vAlign w:val="bottom"/>
            <w:tcBorders>
              <w:bottom w:val="single" w:sz="8" w:color="auto"/>
            </w:tcBorders>
            <w:shd w:val="clear" w:color="auto" w:fill="FFCCCC"/>
          </w:tcPr>
          <w:p>
            <w:pPr>
              <w:spacing w:after="0"/>
              <w:rPr>
                <w:sz w:val="7"/>
                <w:szCs w:val="7"/>
                <w:color w:val="auto"/>
              </w:rPr>
            </w:pPr>
          </w:p>
        </w:tc>
        <w:tc>
          <w:tcPr>
            <w:tcW w:w="20" w:type="dxa"/>
            <w:vAlign w:val="bottom"/>
            <w:tcBorders>
              <w:bottom w:val="single" w:sz="8" w:color="auto"/>
            </w:tcBorders>
            <w:shd w:val="clear" w:color="auto" w:fill="FFCCCC"/>
          </w:tcPr>
          <w:p>
            <w:pPr>
              <w:spacing w:after="0"/>
              <w:rPr>
                <w:sz w:val="7"/>
                <w:szCs w:val="7"/>
                <w:color w:val="auto"/>
              </w:rPr>
            </w:pPr>
          </w:p>
        </w:tc>
        <w:tc>
          <w:tcPr>
            <w:tcW w:w="20" w:type="dxa"/>
            <w:vAlign w:val="bottom"/>
            <w:tcBorders>
              <w:bottom w:val="single" w:sz="8" w:color="auto"/>
            </w:tcBorders>
            <w:shd w:val="clear" w:color="auto" w:fill="FFCCCC"/>
          </w:tcPr>
          <w:p>
            <w:pPr>
              <w:spacing w:after="0"/>
              <w:rPr>
                <w:sz w:val="7"/>
                <w:szCs w:val="7"/>
                <w:color w:val="auto"/>
              </w:rPr>
            </w:pPr>
          </w:p>
        </w:tc>
        <w:tc>
          <w:tcPr>
            <w:tcW w:w="140" w:type="dxa"/>
            <w:vAlign w:val="bottom"/>
            <w:tcBorders>
              <w:bottom w:val="single" w:sz="8" w:color="auto"/>
            </w:tcBorders>
            <w:shd w:val="clear" w:color="auto" w:fill="FFCCCC"/>
          </w:tcPr>
          <w:p>
            <w:pPr>
              <w:spacing w:after="0"/>
              <w:rPr>
                <w:sz w:val="7"/>
                <w:szCs w:val="7"/>
                <w:color w:val="auto"/>
              </w:rPr>
            </w:pPr>
          </w:p>
        </w:tc>
        <w:tc>
          <w:tcPr>
            <w:tcW w:w="80" w:type="dxa"/>
            <w:vAlign w:val="bottom"/>
            <w:tcBorders>
              <w:bottom w:val="single" w:sz="8" w:color="auto"/>
              <w:right w:val="single" w:sz="8" w:color="auto"/>
            </w:tcBorders>
            <w:shd w:val="clear" w:color="auto" w:fill="FFCCCC"/>
          </w:tcPr>
          <w:p>
            <w:pPr>
              <w:spacing w:after="0"/>
              <w:rPr>
                <w:sz w:val="7"/>
                <w:szCs w:val="7"/>
                <w:color w:val="auto"/>
              </w:rPr>
            </w:pPr>
          </w:p>
        </w:tc>
        <w:tc>
          <w:tcPr>
            <w:tcW w:w="120" w:type="dxa"/>
            <w:vAlign w:val="bottom"/>
            <w:tcBorders>
              <w:bottom w:val="single" w:sz="8" w:color="auto"/>
            </w:tcBorders>
            <w:shd w:val="clear" w:color="auto" w:fill="FFCCCC"/>
          </w:tcPr>
          <w:p>
            <w:pPr>
              <w:spacing w:after="0"/>
              <w:rPr>
                <w:sz w:val="7"/>
                <w:szCs w:val="7"/>
                <w:color w:val="auto"/>
              </w:rPr>
            </w:pPr>
          </w:p>
        </w:tc>
        <w:tc>
          <w:tcPr>
            <w:tcW w:w="40" w:type="dxa"/>
            <w:vAlign w:val="bottom"/>
            <w:tcBorders>
              <w:bottom w:val="single" w:sz="8" w:color="auto"/>
            </w:tcBorders>
            <w:shd w:val="clear" w:color="auto" w:fill="FFCCCC"/>
          </w:tcPr>
          <w:p>
            <w:pPr>
              <w:spacing w:after="0"/>
              <w:rPr>
                <w:sz w:val="7"/>
                <w:szCs w:val="7"/>
                <w:color w:val="auto"/>
              </w:rPr>
            </w:pPr>
          </w:p>
        </w:tc>
        <w:tc>
          <w:tcPr>
            <w:tcW w:w="20" w:type="dxa"/>
            <w:vAlign w:val="bottom"/>
            <w:tcBorders>
              <w:bottom w:val="single" w:sz="8" w:color="auto"/>
            </w:tcBorders>
            <w:shd w:val="clear" w:color="auto" w:fill="FFCCCC"/>
          </w:tcPr>
          <w:p>
            <w:pPr>
              <w:spacing w:after="0"/>
              <w:rPr>
                <w:sz w:val="7"/>
                <w:szCs w:val="7"/>
                <w:color w:val="auto"/>
              </w:rPr>
            </w:pPr>
          </w:p>
        </w:tc>
        <w:tc>
          <w:tcPr>
            <w:tcW w:w="80" w:type="dxa"/>
            <w:vAlign w:val="bottom"/>
            <w:tcBorders>
              <w:bottom w:val="single" w:sz="8" w:color="auto"/>
            </w:tcBorders>
            <w:shd w:val="clear" w:color="auto" w:fill="FFCCCC"/>
          </w:tcPr>
          <w:p>
            <w:pPr>
              <w:spacing w:after="0"/>
              <w:rPr>
                <w:sz w:val="7"/>
                <w:szCs w:val="7"/>
                <w:color w:val="auto"/>
              </w:rPr>
            </w:pPr>
          </w:p>
        </w:tc>
        <w:tc>
          <w:tcPr>
            <w:tcW w:w="300" w:type="dxa"/>
            <w:vAlign w:val="bottom"/>
            <w:tcBorders>
              <w:bottom w:val="single" w:sz="8" w:color="auto"/>
            </w:tcBorders>
            <w:shd w:val="clear" w:color="auto" w:fill="FFCCCC"/>
          </w:tcPr>
          <w:p>
            <w:pPr>
              <w:spacing w:after="0"/>
              <w:rPr>
                <w:sz w:val="7"/>
                <w:szCs w:val="7"/>
                <w:color w:val="auto"/>
              </w:rPr>
            </w:pPr>
          </w:p>
        </w:tc>
        <w:tc>
          <w:tcPr>
            <w:tcW w:w="80" w:type="dxa"/>
            <w:vAlign w:val="bottom"/>
            <w:tcBorders>
              <w:bottom w:val="single" w:sz="8" w:color="auto"/>
            </w:tcBorders>
            <w:shd w:val="clear" w:color="auto" w:fill="FFCCCC"/>
          </w:tcPr>
          <w:p>
            <w:pPr>
              <w:spacing w:after="0"/>
              <w:rPr>
                <w:sz w:val="7"/>
                <w:szCs w:val="7"/>
                <w:color w:val="auto"/>
              </w:rPr>
            </w:pPr>
          </w:p>
        </w:tc>
        <w:tc>
          <w:tcPr>
            <w:tcW w:w="20" w:type="dxa"/>
            <w:vAlign w:val="bottom"/>
            <w:tcBorders>
              <w:bottom w:val="single" w:sz="8" w:color="auto"/>
            </w:tcBorders>
            <w:shd w:val="clear" w:color="auto" w:fill="FFCCCC"/>
          </w:tcPr>
          <w:p>
            <w:pPr>
              <w:spacing w:after="0"/>
              <w:rPr>
                <w:sz w:val="7"/>
                <w:szCs w:val="7"/>
                <w:color w:val="auto"/>
              </w:rPr>
            </w:pPr>
          </w:p>
        </w:tc>
        <w:tc>
          <w:tcPr>
            <w:tcW w:w="40" w:type="dxa"/>
            <w:vAlign w:val="bottom"/>
            <w:tcBorders>
              <w:bottom w:val="single" w:sz="8" w:color="auto"/>
            </w:tcBorders>
            <w:shd w:val="clear" w:color="auto" w:fill="FFCCCC"/>
          </w:tcPr>
          <w:p>
            <w:pPr>
              <w:spacing w:after="0"/>
              <w:rPr>
                <w:sz w:val="7"/>
                <w:szCs w:val="7"/>
                <w:color w:val="auto"/>
              </w:rPr>
            </w:pPr>
          </w:p>
        </w:tc>
        <w:tc>
          <w:tcPr>
            <w:tcW w:w="160" w:type="dxa"/>
            <w:vAlign w:val="bottom"/>
            <w:tcBorders>
              <w:bottom w:val="single" w:sz="8" w:color="auto"/>
              <w:right w:val="single" w:sz="8" w:color="auto"/>
            </w:tcBorders>
            <w:shd w:val="clear" w:color="auto" w:fill="FFCCCC"/>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shd w:val="clear" w:color="auto" w:fill="FFCCCC"/>
          </w:tcPr>
          <w:p>
            <w:pPr>
              <w:spacing w:after="0"/>
              <w:rPr>
                <w:sz w:val="18"/>
                <w:szCs w:val="18"/>
                <w:color w:val="auto"/>
              </w:rPr>
            </w:pPr>
          </w:p>
        </w:tc>
        <w:tc>
          <w:tcPr>
            <w:tcW w:w="120" w:type="dxa"/>
            <w:vAlign w:val="bottom"/>
            <w:shd w:val="clear" w:color="auto" w:fill="FFCCCC"/>
          </w:tcPr>
          <w:p>
            <w:pPr>
              <w:spacing w:after="0"/>
              <w:rPr>
                <w:sz w:val="18"/>
                <w:szCs w:val="18"/>
                <w:color w:val="auto"/>
              </w:rPr>
            </w:pPr>
          </w:p>
        </w:tc>
        <w:tc>
          <w:tcPr>
            <w:tcW w:w="440" w:type="dxa"/>
            <w:vAlign w:val="bottom"/>
            <w:tcBorders>
              <w:right w:val="single" w:sz="8" w:color="auto"/>
            </w:tcBorders>
            <w:gridSpan w:val="5"/>
            <w:vMerge w:val="restart"/>
            <w:shd w:val="clear" w:color="auto" w:fill="FFCCCC"/>
          </w:tcPr>
          <w:p>
            <w:pPr>
              <w:jc w:val="center"/>
              <w:ind w:right="1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I</w:t>
            </w:r>
            <w:r>
              <w:rPr>
                <w:rFonts w:ascii="Arial" w:cs="Arial" w:eastAsia="Arial" w:hAnsi="Arial"/>
                <w:sz w:val="18"/>
                <w:szCs w:val="18"/>
                <w:color w:val="auto"/>
              </w:rPr>
              <w:t>]</w:t>
            </w:r>
          </w:p>
        </w:tc>
        <w:tc>
          <w:tcPr>
            <w:tcW w:w="40" w:type="dxa"/>
            <w:vAlign w:val="bottom"/>
            <w:tcBorders>
              <w:right w:val="single" w:sz="8" w:color="FFCCCC"/>
            </w:tcBorders>
            <w:shd w:val="clear" w:color="auto" w:fill="FFCCCC"/>
          </w:tcPr>
          <w:p>
            <w:pPr>
              <w:spacing w:after="0"/>
              <w:rPr>
                <w:sz w:val="18"/>
                <w:szCs w:val="18"/>
                <w:color w:val="auto"/>
              </w:rPr>
            </w:pPr>
          </w:p>
        </w:tc>
        <w:tc>
          <w:tcPr>
            <w:tcW w:w="20" w:type="dxa"/>
            <w:vAlign w:val="bottom"/>
            <w:shd w:val="clear" w:color="auto" w:fill="FFCCCC"/>
          </w:tcPr>
          <w:p>
            <w:pPr>
              <w:spacing w:after="0"/>
              <w:rPr>
                <w:sz w:val="18"/>
                <w:szCs w:val="18"/>
                <w:color w:val="auto"/>
              </w:rPr>
            </w:pPr>
          </w:p>
        </w:tc>
        <w:tc>
          <w:tcPr>
            <w:tcW w:w="60" w:type="dxa"/>
            <w:vAlign w:val="bottom"/>
            <w:shd w:val="clear" w:color="auto" w:fill="FFCCCC"/>
          </w:tcPr>
          <w:p>
            <w:pPr>
              <w:spacing w:after="0"/>
              <w:rPr>
                <w:sz w:val="18"/>
                <w:szCs w:val="18"/>
                <w:color w:val="auto"/>
              </w:rPr>
            </w:pPr>
          </w:p>
        </w:tc>
        <w:tc>
          <w:tcPr>
            <w:tcW w:w="100" w:type="dxa"/>
            <w:vAlign w:val="bottom"/>
            <w:shd w:val="clear" w:color="auto" w:fill="FFCCCC"/>
          </w:tcPr>
          <w:p>
            <w:pPr>
              <w:spacing w:after="0"/>
              <w:rPr>
                <w:sz w:val="18"/>
                <w:szCs w:val="18"/>
                <w:color w:val="auto"/>
              </w:rPr>
            </w:pPr>
          </w:p>
        </w:tc>
        <w:tc>
          <w:tcPr>
            <w:tcW w:w="180" w:type="dxa"/>
            <w:vAlign w:val="bottom"/>
            <w:shd w:val="clear" w:color="auto" w:fill="FFCCCC"/>
          </w:tcPr>
          <w:p>
            <w:pPr>
              <w:jc w:val="right"/>
              <w:spacing w:after="0"/>
              <w:rPr>
                <w:sz w:val="20"/>
                <w:szCs w:val="20"/>
                <w:color w:val="auto"/>
              </w:rPr>
            </w:pPr>
            <w:r>
              <w:rPr>
                <w:rFonts w:ascii="Arial" w:cs="Arial" w:eastAsia="Arial" w:hAnsi="Arial"/>
                <w:sz w:val="18"/>
                <w:szCs w:val="18"/>
                <w:i w:val="1"/>
                <w:iCs w:val="1"/>
                <w:color w:val="auto"/>
              </w:rPr>
              <w:t>[</w:t>
            </w:r>
          </w:p>
        </w:tc>
        <w:tc>
          <w:tcPr>
            <w:tcW w:w="2020" w:type="dxa"/>
            <w:vAlign w:val="bottom"/>
            <w:gridSpan w:val="18"/>
            <w:shd w:val="clear" w:color="auto" w:fill="FFCCCC"/>
          </w:tcPr>
          <w:p>
            <w:pPr>
              <w:jc w:val="center"/>
              <w:ind w:right="170"/>
              <w:spacing w:after="0"/>
              <w:rPr>
                <w:sz w:val="20"/>
                <w:szCs w:val="20"/>
                <w:color w:val="auto"/>
              </w:rPr>
            </w:pPr>
            <w:r>
              <w:rPr>
                <w:rFonts w:ascii="Arial" w:cs="Arial" w:eastAsia="Arial" w:hAnsi="Arial"/>
                <w:sz w:val="18"/>
                <w:szCs w:val="18"/>
                <w:i w:val="1"/>
                <w:iCs w:val="1"/>
                <w:color w:val="FF0000"/>
                <w:strike w:val="1"/>
                <w:w w:val="92"/>
              </w:rPr>
              <w:t>Greater than or equal to</w:t>
            </w:r>
          </w:p>
        </w:tc>
        <w:tc>
          <w:tcPr>
            <w:tcW w:w="120" w:type="dxa"/>
            <w:vAlign w:val="bottom"/>
            <w:tcBorders>
              <w:right w:val="single" w:sz="8" w:color="auto"/>
            </w:tcBorders>
            <w:gridSpan w:val="2"/>
            <w:shd w:val="clear" w:color="auto" w:fill="FFCCCC"/>
          </w:tcPr>
          <w:p>
            <w:pPr>
              <w:spacing w:after="0"/>
              <w:rPr>
                <w:sz w:val="18"/>
                <w:szCs w:val="18"/>
                <w:color w:val="auto"/>
              </w:rPr>
            </w:pPr>
          </w:p>
        </w:tc>
        <w:tc>
          <w:tcPr>
            <w:tcW w:w="220" w:type="dxa"/>
            <w:vAlign w:val="bottom"/>
            <w:tcBorders>
              <w:left w:val="single" w:sz="8" w:color="FFCCCC"/>
            </w:tcBorders>
            <w:gridSpan w:val="3"/>
            <w:vMerge w:val="restart"/>
            <w:shd w:val="clear" w:color="auto" w:fill="FFCCCC"/>
          </w:tcPr>
          <w:p>
            <w:pPr>
              <w:ind w:left="160"/>
              <w:spacing w:after="0"/>
              <w:rPr>
                <w:sz w:val="20"/>
                <w:szCs w:val="20"/>
                <w:color w:val="auto"/>
              </w:rPr>
            </w:pPr>
            <w:r>
              <w:rPr>
                <w:rFonts w:ascii="Arial" w:cs="Arial" w:eastAsia="Arial" w:hAnsi="Arial"/>
                <w:sz w:val="18"/>
                <w:szCs w:val="18"/>
                <w:color w:val="auto"/>
                <w:w w:val="78"/>
              </w:rPr>
              <w:t>[</w:t>
            </w:r>
          </w:p>
        </w:tc>
        <w:tc>
          <w:tcPr>
            <w:tcW w:w="480" w:type="dxa"/>
            <w:vAlign w:val="bottom"/>
            <w:gridSpan w:val="2"/>
            <w:vMerge w:val="restart"/>
            <w:shd w:val="clear" w:color="auto" w:fill="FFCCCC"/>
          </w:tcPr>
          <w:p>
            <w:pPr>
              <w:jc w:val="center"/>
              <w:spacing w:after="0"/>
              <w:rPr>
                <w:sz w:val="20"/>
                <w:szCs w:val="20"/>
                <w:color w:val="auto"/>
              </w:rPr>
            </w:pPr>
            <w:r>
              <w:rPr>
                <w:rFonts w:ascii="Arial" w:cs="Arial" w:eastAsia="Arial" w:hAnsi="Arial"/>
                <w:sz w:val="18"/>
                <w:szCs w:val="18"/>
                <w:color w:val="FF0000"/>
                <w:strike w:val="1"/>
                <w:w w:val="93"/>
              </w:rPr>
              <w:t>2.25%</w:t>
            </w:r>
          </w:p>
        </w:tc>
        <w:tc>
          <w:tcPr>
            <w:tcW w:w="180" w:type="dxa"/>
            <w:vAlign w:val="bottom"/>
            <w:gridSpan w:val="3"/>
            <w:vMerge w:val="restart"/>
            <w:shd w:val="clear" w:color="auto" w:fill="FFCCCC"/>
          </w:tcPr>
          <w:p>
            <w:pPr>
              <w:jc w:val="right"/>
              <w:ind w:right="41"/>
              <w:spacing w:after="0"/>
              <w:rPr>
                <w:sz w:val="20"/>
                <w:szCs w:val="20"/>
                <w:color w:val="auto"/>
              </w:rPr>
            </w:pPr>
            <w:r>
              <w:rPr>
                <w:rFonts w:ascii="Arial" w:cs="Arial" w:eastAsia="Arial" w:hAnsi="Arial"/>
                <w:sz w:val="18"/>
                <w:szCs w:val="18"/>
                <w:color w:val="auto"/>
                <w:w w:val="78"/>
              </w:rPr>
              <w:t>]</w:t>
            </w:r>
          </w:p>
        </w:tc>
        <w:tc>
          <w:tcPr>
            <w:tcW w:w="80" w:type="dxa"/>
            <w:vAlign w:val="bottom"/>
            <w:tcBorders>
              <w:right w:val="single" w:sz="8" w:color="auto"/>
            </w:tcBorders>
            <w:shd w:val="clear" w:color="auto" w:fill="FFCCCC"/>
          </w:tcPr>
          <w:p>
            <w:pPr>
              <w:spacing w:after="0"/>
              <w:rPr>
                <w:sz w:val="18"/>
                <w:szCs w:val="18"/>
                <w:color w:val="auto"/>
              </w:rPr>
            </w:pPr>
          </w:p>
        </w:tc>
        <w:tc>
          <w:tcPr>
            <w:tcW w:w="180" w:type="dxa"/>
            <w:vAlign w:val="bottom"/>
            <w:gridSpan w:val="3"/>
            <w:vMerge w:val="restart"/>
            <w:shd w:val="clear" w:color="auto" w:fill="FFCCCC"/>
          </w:tcPr>
          <w:p>
            <w:pPr>
              <w:ind w:left="120"/>
              <w:spacing w:after="0"/>
              <w:rPr>
                <w:sz w:val="20"/>
                <w:szCs w:val="20"/>
                <w:color w:val="auto"/>
              </w:rPr>
            </w:pPr>
            <w:r>
              <w:rPr>
                <w:rFonts w:ascii="Arial" w:cs="Arial" w:eastAsia="Arial" w:hAnsi="Arial"/>
                <w:sz w:val="18"/>
                <w:szCs w:val="18"/>
                <w:color w:val="auto"/>
                <w:w w:val="78"/>
              </w:rPr>
              <w:t>[</w:t>
            </w:r>
          </w:p>
        </w:tc>
        <w:tc>
          <w:tcPr>
            <w:tcW w:w="460" w:type="dxa"/>
            <w:vAlign w:val="bottom"/>
            <w:gridSpan w:val="3"/>
            <w:vMerge w:val="restart"/>
            <w:shd w:val="clear" w:color="auto" w:fill="FFCCCC"/>
          </w:tcPr>
          <w:p>
            <w:pPr>
              <w:jc w:val="center"/>
              <w:spacing w:after="0"/>
              <w:rPr>
                <w:sz w:val="20"/>
                <w:szCs w:val="20"/>
                <w:color w:val="auto"/>
              </w:rPr>
            </w:pPr>
            <w:r>
              <w:rPr>
                <w:rFonts w:ascii="Arial" w:cs="Arial" w:eastAsia="Arial" w:hAnsi="Arial"/>
                <w:sz w:val="18"/>
                <w:szCs w:val="18"/>
                <w:color w:val="FF0000"/>
                <w:strike w:val="1"/>
                <w:w w:val="90"/>
              </w:rPr>
              <w:t>1.25%</w:t>
            </w:r>
          </w:p>
        </w:tc>
        <w:tc>
          <w:tcPr>
            <w:tcW w:w="220" w:type="dxa"/>
            <w:vAlign w:val="bottom"/>
            <w:tcBorders>
              <w:right w:val="single" w:sz="8" w:color="auto"/>
            </w:tcBorders>
            <w:gridSpan w:val="3"/>
            <w:vMerge w:val="restart"/>
            <w:shd w:val="clear" w:color="auto" w:fill="FFCCCC"/>
          </w:tcPr>
          <w:p>
            <w:pPr>
              <w:jc w:val="right"/>
              <w:ind w:right="81"/>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shd w:val="clear" w:color="auto" w:fill="FFCCCC"/>
          </w:tcPr>
          <w:p>
            <w:pPr>
              <w:spacing w:after="0"/>
              <w:rPr>
                <w:sz w:val="9"/>
                <w:szCs w:val="9"/>
                <w:color w:val="auto"/>
              </w:rPr>
            </w:pPr>
          </w:p>
        </w:tc>
        <w:tc>
          <w:tcPr>
            <w:tcW w:w="120" w:type="dxa"/>
            <w:vAlign w:val="bottom"/>
            <w:shd w:val="clear" w:color="auto" w:fill="FFCCCC"/>
          </w:tcPr>
          <w:p>
            <w:pPr>
              <w:spacing w:after="0"/>
              <w:rPr>
                <w:sz w:val="9"/>
                <w:szCs w:val="9"/>
                <w:color w:val="auto"/>
              </w:rPr>
            </w:pPr>
          </w:p>
        </w:tc>
        <w:tc>
          <w:tcPr>
            <w:tcW w:w="440" w:type="dxa"/>
            <w:vAlign w:val="bottom"/>
            <w:tcBorders>
              <w:right w:val="single" w:sz="8" w:color="auto"/>
            </w:tcBorders>
            <w:gridSpan w:val="5"/>
            <w:vMerge w:val="continue"/>
            <w:shd w:val="clear" w:color="auto" w:fill="FFCCCC"/>
          </w:tcPr>
          <w:p>
            <w:pPr>
              <w:spacing w:after="0"/>
              <w:rPr>
                <w:sz w:val="9"/>
                <w:szCs w:val="9"/>
                <w:color w:val="auto"/>
              </w:rPr>
            </w:pPr>
          </w:p>
        </w:tc>
        <w:tc>
          <w:tcPr>
            <w:tcW w:w="40" w:type="dxa"/>
            <w:vAlign w:val="bottom"/>
            <w:tcBorders>
              <w:right w:val="single" w:sz="8" w:color="FFCCCC"/>
            </w:tcBorders>
            <w:shd w:val="clear" w:color="auto" w:fill="FFCCCC"/>
          </w:tcPr>
          <w:p>
            <w:pPr>
              <w:spacing w:after="0"/>
              <w:rPr>
                <w:sz w:val="9"/>
                <w:szCs w:val="9"/>
                <w:color w:val="auto"/>
              </w:rPr>
            </w:pPr>
          </w:p>
        </w:tc>
        <w:tc>
          <w:tcPr>
            <w:tcW w:w="20" w:type="dxa"/>
            <w:vAlign w:val="bottom"/>
            <w:shd w:val="clear" w:color="auto" w:fill="FFCCCC"/>
          </w:tcPr>
          <w:p>
            <w:pPr>
              <w:spacing w:after="0"/>
              <w:rPr>
                <w:sz w:val="9"/>
                <w:szCs w:val="9"/>
                <w:color w:val="auto"/>
              </w:rPr>
            </w:pPr>
          </w:p>
        </w:tc>
        <w:tc>
          <w:tcPr>
            <w:tcW w:w="60" w:type="dxa"/>
            <w:vAlign w:val="bottom"/>
            <w:shd w:val="clear" w:color="auto" w:fill="FFCCCC"/>
          </w:tcPr>
          <w:p>
            <w:pPr>
              <w:spacing w:after="0"/>
              <w:rPr>
                <w:sz w:val="9"/>
                <w:szCs w:val="9"/>
                <w:color w:val="auto"/>
              </w:rPr>
            </w:pPr>
          </w:p>
        </w:tc>
        <w:tc>
          <w:tcPr>
            <w:tcW w:w="100" w:type="dxa"/>
            <w:vAlign w:val="bottom"/>
            <w:shd w:val="clear" w:color="auto" w:fill="FFCCCC"/>
          </w:tcPr>
          <w:p>
            <w:pPr>
              <w:spacing w:after="0"/>
              <w:rPr>
                <w:sz w:val="9"/>
                <w:szCs w:val="9"/>
                <w:color w:val="auto"/>
              </w:rPr>
            </w:pPr>
          </w:p>
        </w:tc>
        <w:tc>
          <w:tcPr>
            <w:tcW w:w="180" w:type="dxa"/>
            <w:vAlign w:val="bottom"/>
            <w:shd w:val="clear" w:color="auto" w:fill="FFCCCC"/>
          </w:tcPr>
          <w:p>
            <w:pPr>
              <w:spacing w:after="0"/>
              <w:rPr>
                <w:sz w:val="9"/>
                <w:szCs w:val="9"/>
                <w:color w:val="auto"/>
              </w:rPr>
            </w:pPr>
          </w:p>
        </w:tc>
        <w:tc>
          <w:tcPr>
            <w:tcW w:w="40" w:type="dxa"/>
            <w:vAlign w:val="bottom"/>
            <w:shd w:val="clear" w:color="auto" w:fill="FFCCCC"/>
          </w:tcPr>
          <w:p>
            <w:pPr>
              <w:spacing w:after="0"/>
              <w:rPr>
                <w:sz w:val="9"/>
                <w:szCs w:val="9"/>
                <w:color w:val="auto"/>
              </w:rPr>
            </w:pPr>
          </w:p>
        </w:tc>
        <w:tc>
          <w:tcPr>
            <w:tcW w:w="320" w:type="dxa"/>
            <w:vAlign w:val="bottom"/>
            <w:shd w:val="clear" w:color="auto" w:fill="FFCCCC"/>
          </w:tcPr>
          <w:p>
            <w:pPr>
              <w:spacing w:after="0"/>
              <w:rPr>
                <w:sz w:val="9"/>
                <w:szCs w:val="9"/>
                <w:color w:val="auto"/>
              </w:rPr>
            </w:pPr>
          </w:p>
        </w:tc>
        <w:tc>
          <w:tcPr>
            <w:tcW w:w="900" w:type="dxa"/>
            <w:vAlign w:val="bottom"/>
            <w:gridSpan w:val="12"/>
            <w:vMerge w:val="restart"/>
            <w:shd w:val="clear" w:color="auto" w:fill="FFCCCC"/>
          </w:tcPr>
          <w:p>
            <w:pPr>
              <w:spacing w:after="0"/>
              <w:rPr>
                <w:sz w:val="20"/>
                <w:szCs w:val="20"/>
                <w:color w:val="auto"/>
              </w:rPr>
            </w:pPr>
            <w:r>
              <w:rPr>
                <w:rFonts w:ascii="Arial" w:cs="Arial" w:eastAsia="Arial" w:hAnsi="Arial"/>
                <w:sz w:val="18"/>
                <w:szCs w:val="18"/>
                <w:i w:val="1"/>
                <w:iCs w:val="1"/>
                <w:color w:val="FF0000"/>
                <w:strike w:val="1"/>
                <w:w w:val="87"/>
              </w:rPr>
              <w:t>$25,000,000</w:t>
            </w:r>
          </w:p>
        </w:tc>
        <w:tc>
          <w:tcPr>
            <w:tcW w:w="180" w:type="dxa"/>
            <w:vAlign w:val="bottom"/>
            <w:vMerge w:val="restart"/>
            <w:shd w:val="clear" w:color="auto" w:fill="FFCCCC"/>
          </w:tcPr>
          <w:p>
            <w:pPr>
              <w:spacing w:after="0"/>
              <w:rPr>
                <w:sz w:val="20"/>
                <w:szCs w:val="20"/>
                <w:color w:val="auto"/>
              </w:rPr>
            </w:pPr>
            <w:r>
              <w:rPr>
                <w:rFonts w:ascii="Arial" w:cs="Arial" w:eastAsia="Arial" w:hAnsi="Arial"/>
                <w:sz w:val="18"/>
                <w:szCs w:val="18"/>
                <w:i w:val="1"/>
                <w:iCs w:val="1"/>
                <w:color w:val="auto"/>
              </w:rPr>
              <w:t>]</w:t>
            </w:r>
          </w:p>
        </w:tc>
        <w:tc>
          <w:tcPr>
            <w:tcW w:w="60" w:type="dxa"/>
            <w:vAlign w:val="bottom"/>
            <w:shd w:val="clear" w:color="auto" w:fill="FFCCCC"/>
          </w:tcPr>
          <w:p>
            <w:pPr>
              <w:spacing w:after="0"/>
              <w:rPr>
                <w:sz w:val="9"/>
                <w:szCs w:val="9"/>
                <w:color w:val="auto"/>
              </w:rPr>
            </w:pPr>
          </w:p>
        </w:tc>
        <w:tc>
          <w:tcPr>
            <w:tcW w:w="160" w:type="dxa"/>
            <w:vAlign w:val="bottom"/>
            <w:shd w:val="clear" w:color="auto" w:fill="FFCCCC"/>
          </w:tcPr>
          <w:p>
            <w:pPr>
              <w:spacing w:after="0"/>
              <w:rPr>
                <w:sz w:val="9"/>
                <w:szCs w:val="9"/>
                <w:color w:val="auto"/>
              </w:rPr>
            </w:pPr>
          </w:p>
        </w:tc>
        <w:tc>
          <w:tcPr>
            <w:tcW w:w="360" w:type="dxa"/>
            <w:vAlign w:val="bottom"/>
            <w:shd w:val="clear" w:color="auto" w:fill="FFCCCC"/>
          </w:tcPr>
          <w:p>
            <w:pPr>
              <w:spacing w:after="0"/>
              <w:rPr>
                <w:sz w:val="9"/>
                <w:szCs w:val="9"/>
                <w:color w:val="auto"/>
              </w:rPr>
            </w:pPr>
          </w:p>
        </w:tc>
        <w:tc>
          <w:tcPr>
            <w:tcW w:w="20" w:type="dxa"/>
            <w:vAlign w:val="bottom"/>
            <w:shd w:val="clear" w:color="auto" w:fill="FFCCCC"/>
          </w:tcPr>
          <w:p>
            <w:pPr>
              <w:spacing w:after="0"/>
              <w:rPr>
                <w:sz w:val="9"/>
                <w:szCs w:val="9"/>
                <w:color w:val="auto"/>
              </w:rPr>
            </w:pPr>
          </w:p>
        </w:tc>
        <w:tc>
          <w:tcPr>
            <w:tcW w:w="100" w:type="dxa"/>
            <w:vAlign w:val="bottom"/>
            <w:tcBorders>
              <w:right w:val="single" w:sz="8" w:color="auto"/>
            </w:tcBorders>
            <w:shd w:val="clear" w:color="auto" w:fill="FFCCCC"/>
          </w:tcPr>
          <w:p>
            <w:pPr>
              <w:spacing w:after="0"/>
              <w:rPr>
                <w:sz w:val="9"/>
                <w:szCs w:val="9"/>
                <w:color w:val="auto"/>
              </w:rPr>
            </w:pPr>
          </w:p>
        </w:tc>
        <w:tc>
          <w:tcPr>
            <w:tcW w:w="220" w:type="dxa"/>
            <w:vAlign w:val="bottom"/>
            <w:tcBorders>
              <w:left w:val="single" w:sz="8" w:color="FFCCCC"/>
            </w:tcBorders>
            <w:gridSpan w:val="3"/>
            <w:vMerge w:val="continue"/>
            <w:shd w:val="clear" w:color="auto" w:fill="FFCCCC"/>
          </w:tcPr>
          <w:p>
            <w:pPr>
              <w:spacing w:after="0"/>
              <w:rPr>
                <w:sz w:val="9"/>
                <w:szCs w:val="9"/>
                <w:color w:val="auto"/>
              </w:rPr>
            </w:pPr>
          </w:p>
        </w:tc>
        <w:tc>
          <w:tcPr>
            <w:tcW w:w="480" w:type="dxa"/>
            <w:vAlign w:val="bottom"/>
            <w:gridSpan w:val="2"/>
            <w:vMerge w:val="continue"/>
            <w:shd w:val="clear" w:color="auto" w:fill="FFCCCC"/>
          </w:tcPr>
          <w:p>
            <w:pPr>
              <w:spacing w:after="0"/>
              <w:rPr>
                <w:sz w:val="9"/>
                <w:szCs w:val="9"/>
                <w:color w:val="auto"/>
              </w:rPr>
            </w:pPr>
          </w:p>
        </w:tc>
        <w:tc>
          <w:tcPr>
            <w:tcW w:w="180" w:type="dxa"/>
            <w:vAlign w:val="bottom"/>
            <w:gridSpan w:val="3"/>
            <w:vMerge w:val="continue"/>
            <w:shd w:val="clear" w:color="auto" w:fill="FFCCCC"/>
          </w:tcPr>
          <w:p>
            <w:pPr>
              <w:spacing w:after="0"/>
              <w:rPr>
                <w:sz w:val="9"/>
                <w:szCs w:val="9"/>
                <w:color w:val="auto"/>
              </w:rPr>
            </w:pPr>
          </w:p>
        </w:tc>
        <w:tc>
          <w:tcPr>
            <w:tcW w:w="80" w:type="dxa"/>
            <w:vAlign w:val="bottom"/>
            <w:tcBorders>
              <w:right w:val="single" w:sz="8" w:color="auto"/>
            </w:tcBorders>
            <w:shd w:val="clear" w:color="auto" w:fill="FFCCCC"/>
          </w:tcPr>
          <w:p>
            <w:pPr>
              <w:spacing w:after="0"/>
              <w:rPr>
                <w:sz w:val="9"/>
                <w:szCs w:val="9"/>
                <w:color w:val="auto"/>
              </w:rPr>
            </w:pPr>
          </w:p>
        </w:tc>
        <w:tc>
          <w:tcPr>
            <w:tcW w:w="180" w:type="dxa"/>
            <w:vAlign w:val="bottom"/>
            <w:gridSpan w:val="3"/>
            <w:vMerge w:val="continue"/>
            <w:shd w:val="clear" w:color="auto" w:fill="FFCCCC"/>
          </w:tcPr>
          <w:p>
            <w:pPr>
              <w:spacing w:after="0"/>
              <w:rPr>
                <w:sz w:val="9"/>
                <w:szCs w:val="9"/>
                <w:color w:val="auto"/>
              </w:rPr>
            </w:pPr>
          </w:p>
        </w:tc>
        <w:tc>
          <w:tcPr>
            <w:tcW w:w="460" w:type="dxa"/>
            <w:vAlign w:val="bottom"/>
            <w:gridSpan w:val="3"/>
            <w:vMerge w:val="continue"/>
            <w:shd w:val="clear" w:color="auto" w:fill="FFCCCC"/>
          </w:tcPr>
          <w:p>
            <w:pPr>
              <w:spacing w:after="0"/>
              <w:rPr>
                <w:sz w:val="9"/>
                <w:szCs w:val="9"/>
                <w:color w:val="auto"/>
              </w:rPr>
            </w:pPr>
          </w:p>
        </w:tc>
        <w:tc>
          <w:tcPr>
            <w:tcW w:w="220" w:type="dxa"/>
            <w:vAlign w:val="bottom"/>
            <w:tcBorders>
              <w:right w:val="single" w:sz="8" w:color="auto"/>
            </w:tcBorders>
            <w:gridSpan w:val="3"/>
            <w:vMerge w:val="continue"/>
            <w:shd w:val="clear" w:color="auto" w:fill="FFCCC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tcBorders>
              <w:bottom w:val="single" w:sz="8" w:color="auto"/>
            </w:tcBorders>
            <w:shd w:val="clear" w:color="auto" w:fill="FFCCCC"/>
          </w:tcPr>
          <w:p>
            <w:pPr>
              <w:spacing w:after="0"/>
              <w:rPr>
                <w:sz w:val="9"/>
                <w:szCs w:val="9"/>
                <w:color w:val="auto"/>
              </w:rPr>
            </w:pPr>
          </w:p>
        </w:tc>
        <w:tc>
          <w:tcPr>
            <w:tcW w:w="120" w:type="dxa"/>
            <w:vAlign w:val="bottom"/>
            <w:tcBorders>
              <w:bottom w:val="single" w:sz="8" w:color="auto"/>
            </w:tcBorders>
            <w:shd w:val="clear" w:color="auto" w:fill="FFCCCC"/>
          </w:tcPr>
          <w:p>
            <w:pPr>
              <w:spacing w:after="0"/>
              <w:rPr>
                <w:sz w:val="9"/>
                <w:szCs w:val="9"/>
                <w:color w:val="auto"/>
              </w:rPr>
            </w:pPr>
          </w:p>
        </w:tc>
        <w:tc>
          <w:tcPr>
            <w:tcW w:w="40" w:type="dxa"/>
            <w:vAlign w:val="bottom"/>
            <w:tcBorders>
              <w:bottom w:val="single" w:sz="8" w:color="auto"/>
            </w:tcBorders>
            <w:shd w:val="clear" w:color="auto" w:fill="FFCCCC"/>
          </w:tcPr>
          <w:p>
            <w:pPr>
              <w:spacing w:after="0"/>
              <w:rPr>
                <w:sz w:val="9"/>
                <w:szCs w:val="9"/>
                <w:color w:val="auto"/>
              </w:rPr>
            </w:pPr>
          </w:p>
        </w:tc>
        <w:tc>
          <w:tcPr>
            <w:tcW w:w="120" w:type="dxa"/>
            <w:vAlign w:val="bottom"/>
            <w:tcBorders>
              <w:bottom w:val="single" w:sz="8" w:color="auto"/>
            </w:tcBorders>
            <w:shd w:val="clear" w:color="auto" w:fill="FFCCCC"/>
          </w:tcPr>
          <w:p>
            <w:pPr>
              <w:spacing w:after="0"/>
              <w:rPr>
                <w:sz w:val="9"/>
                <w:szCs w:val="9"/>
                <w:color w:val="auto"/>
              </w:rPr>
            </w:pPr>
          </w:p>
        </w:tc>
        <w:tc>
          <w:tcPr>
            <w:tcW w:w="40" w:type="dxa"/>
            <w:vAlign w:val="bottom"/>
            <w:tcBorders>
              <w:bottom w:val="single" w:sz="8" w:color="auto"/>
            </w:tcBorders>
            <w:shd w:val="clear" w:color="auto" w:fill="FFCCCC"/>
          </w:tcPr>
          <w:p>
            <w:pPr>
              <w:spacing w:after="0"/>
              <w:rPr>
                <w:sz w:val="9"/>
                <w:szCs w:val="9"/>
                <w:color w:val="auto"/>
              </w:rPr>
            </w:pPr>
          </w:p>
        </w:tc>
        <w:tc>
          <w:tcPr>
            <w:tcW w:w="100" w:type="dxa"/>
            <w:vAlign w:val="bottom"/>
            <w:tcBorders>
              <w:bottom w:val="single" w:sz="8" w:color="auto"/>
            </w:tcBorders>
            <w:shd w:val="clear" w:color="auto" w:fill="FFCCCC"/>
          </w:tcPr>
          <w:p>
            <w:pPr>
              <w:spacing w:after="0"/>
              <w:rPr>
                <w:sz w:val="9"/>
                <w:szCs w:val="9"/>
                <w:color w:val="auto"/>
              </w:rPr>
            </w:pPr>
          </w:p>
        </w:tc>
        <w:tc>
          <w:tcPr>
            <w:tcW w:w="140" w:type="dxa"/>
            <w:vAlign w:val="bottom"/>
            <w:tcBorders>
              <w:bottom w:val="single" w:sz="8" w:color="auto"/>
              <w:right w:val="single" w:sz="8" w:color="auto"/>
            </w:tcBorders>
            <w:shd w:val="clear" w:color="auto" w:fill="FFCCCC"/>
          </w:tcPr>
          <w:p>
            <w:pPr>
              <w:spacing w:after="0"/>
              <w:rPr>
                <w:sz w:val="9"/>
                <w:szCs w:val="9"/>
                <w:color w:val="auto"/>
              </w:rPr>
            </w:pPr>
          </w:p>
        </w:tc>
        <w:tc>
          <w:tcPr>
            <w:tcW w:w="40" w:type="dxa"/>
            <w:vAlign w:val="bottom"/>
            <w:tcBorders>
              <w:bottom w:val="single" w:sz="8" w:color="auto"/>
              <w:right w:val="single" w:sz="8" w:color="FFCCCC"/>
            </w:tcBorders>
            <w:shd w:val="clear" w:color="auto" w:fill="FFCCCC"/>
          </w:tcPr>
          <w:p>
            <w:pPr>
              <w:spacing w:after="0"/>
              <w:rPr>
                <w:sz w:val="9"/>
                <w:szCs w:val="9"/>
                <w:color w:val="auto"/>
              </w:rPr>
            </w:pPr>
          </w:p>
        </w:tc>
        <w:tc>
          <w:tcPr>
            <w:tcW w:w="400" w:type="dxa"/>
            <w:vAlign w:val="bottom"/>
            <w:tcBorders>
              <w:bottom w:val="single" w:sz="8" w:color="auto"/>
            </w:tcBorders>
            <w:gridSpan w:val="5"/>
            <w:shd w:val="clear" w:color="auto" w:fill="FFCCCC"/>
          </w:tcPr>
          <w:p>
            <w:pPr>
              <w:spacing w:after="0"/>
              <w:rPr>
                <w:sz w:val="9"/>
                <w:szCs w:val="9"/>
                <w:color w:val="auto"/>
              </w:rPr>
            </w:pPr>
          </w:p>
        </w:tc>
        <w:tc>
          <w:tcPr>
            <w:tcW w:w="320" w:type="dxa"/>
            <w:vAlign w:val="bottom"/>
            <w:tcBorders>
              <w:bottom w:val="single" w:sz="8" w:color="auto"/>
            </w:tcBorders>
            <w:shd w:val="clear" w:color="auto" w:fill="FFCCCC"/>
          </w:tcPr>
          <w:p>
            <w:pPr>
              <w:spacing w:after="0"/>
              <w:rPr>
                <w:sz w:val="9"/>
                <w:szCs w:val="9"/>
                <w:color w:val="auto"/>
              </w:rPr>
            </w:pPr>
          </w:p>
        </w:tc>
        <w:tc>
          <w:tcPr>
            <w:tcW w:w="900" w:type="dxa"/>
            <w:vAlign w:val="bottom"/>
            <w:tcBorders>
              <w:bottom w:val="single" w:sz="8" w:color="auto"/>
            </w:tcBorders>
            <w:gridSpan w:val="12"/>
            <w:vMerge w:val="continue"/>
            <w:shd w:val="clear" w:color="auto" w:fill="FFCCCC"/>
          </w:tcPr>
          <w:p>
            <w:pPr>
              <w:spacing w:after="0"/>
              <w:rPr>
                <w:sz w:val="9"/>
                <w:szCs w:val="9"/>
                <w:color w:val="auto"/>
              </w:rPr>
            </w:pPr>
          </w:p>
        </w:tc>
        <w:tc>
          <w:tcPr>
            <w:tcW w:w="180" w:type="dxa"/>
            <w:vAlign w:val="bottom"/>
            <w:tcBorders>
              <w:bottom w:val="single" w:sz="8" w:color="auto"/>
            </w:tcBorders>
            <w:vMerge w:val="continue"/>
            <w:shd w:val="clear" w:color="auto" w:fill="FFCCCC"/>
          </w:tcPr>
          <w:p>
            <w:pPr>
              <w:spacing w:after="0"/>
              <w:rPr>
                <w:sz w:val="9"/>
                <w:szCs w:val="9"/>
                <w:color w:val="auto"/>
              </w:rPr>
            </w:pPr>
          </w:p>
        </w:tc>
        <w:tc>
          <w:tcPr>
            <w:tcW w:w="60" w:type="dxa"/>
            <w:vAlign w:val="bottom"/>
            <w:tcBorders>
              <w:bottom w:val="single" w:sz="8" w:color="auto"/>
            </w:tcBorders>
            <w:shd w:val="clear" w:color="auto" w:fill="FFCCCC"/>
          </w:tcPr>
          <w:p>
            <w:pPr>
              <w:spacing w:after="0"/>
              <w:rPr>
                <w:sz w:val="9"/>
                <w:szCs w:val="9"/>
                <w:color w:val="auto"/>
              </w:rPr>
            </w:pPr>
          </w:p>
        </w:tc>
        <w:tc>
          <w:tcPr>
            <w:tcW w:w="160" w:type="dxa"/>
            <w:vAlign w:val="bottom"/>
            <w:tcBorders>
              <w:bottom w:val="single" w:sz="8" w:color="auto"/>
            </w:tcBorders>
            <w:shd w:val="clear" w:color="auto" w:fill="FFCCCC"/>
          </w:tcPr>
          <w:p>
            <w:pPr>
              <w:spacing w:after="0"/>
              <w:rPr>
                <w:sz w:val="9"/>
                <w:szCs w:val="9"/>
                <w:color w:val="auto"/>
              </w:rPr>
            </w:pPr>
          </w:p>
        </w:tc>
        <w:tc>
          <w:tcPr>
            <w:tcW w:w="360" w:type="dxa"/>
            <w:vAlign w:val="bottom"/>
            <w:tcBorders>
              <w:bottom w:val="single" w:sz="8" w:color="auto"/>
            </w:tcBorders>
            <w:shd w:val="clear" w:color="auto" w:fill="FFCCCC"/>
          </w:tcPr>
          <w:p>
            <w:pPr>
              <w:spacing w:after="0"/>
              <w:rPr>
                <w:sz w:val="9"/>
                <w:szCs w:val="9"/>
                <w:color w:val="auto"/>
              </w:rPr>
            </w:pPr>
          </w:p>
        </w:tc>
        <w:tc>
          <w:tcPr>
            <w:tcW w:w="20" w:type="dxa"/>
            <w:vAlign w:val="bottom"/>
            <w:tcBorders>
              <w:bottom w:val="single" w:sz="8" w:color="auto"/>
            </w:tcBorders>
            <w:shd w:val="clear" w:color="auto" w:fill="FFCCCC"/>
          </w:tcPr>
          <w:p>
            <w:pPr>
              <w:spacing w:after="0"/>
              <w:rPr>
                <w:sz w:val="9"/>
                <w:szCs w:val="9"/>
                <w:color w:val="auto"/>
              </w:rPr>
            </w:pPr>
          </w:p>
        </w:tc>
        <w:tc>
          <w:tcPr>
            <w:tcW w:w="100" w:type="dxa"/>
            <w:vAlign w:val="bottom"/>
            <w:tcBorders>
              <w:bottom w:val="single" w:sz="8" w:color="auto"/>
              <w:right w:val="single" w:sz="8" w:color="auto"/>
            </w:tcBorders>
            <w:shd w:val="clear" w:color="auto" w:fill="FFCCCC"/>
          </w:tcPr>
          <w:p>
            <w:pPr>
              <w:spacing w:after="0"/>
              <w:rPr>
                <w:sz w:val="9"/>
                <w:szCs w:val="9"/>
                <w:color w:val="auto"/>
              </w:rPr>
            </w:pPr>
          </w:p>
        </w:tc>
        <w:tc>
          <w:tcPr>
            <w:tcW w:w="40" w:type="dxa"/>
            <w:vAlign w:val="bottom"/>
            <w:tcBorders>
              <w:left w:val="single" w:sz="8" w:color="FFCCCC"/>
              <w:bottom w:val="single" w:sz="8" w:color="auto"/>
            </w:tcBorders>
            <w:shd w:val="clear" w:color="auto" w:fill="FFCCCC"/>
          </w:tcPr>
          <w:p>
            <w:pPr>
              <w:spacing w:after="0"/>
              <w:rPr>
                <w:sz w:val="9"/>
                <w:szCs w:val="9"/>
                <w:color w:val="auto"/>
              </w:rPr>
            </w:pPr>
          </w:p>
        </w:tc>
        <w:tc>
          <w:tcPr>
            <w:tcW w:w="120" w:type="dxa"/>
            <w:vAlign w:val="bottom"/>
            <w:tcBorders>
              <w:bottom w:val="single" w:sz="8" w:color="auto"/>
            </w:tcBorders>
            <w:shd w:val="clear" w:color="auto" w:fill="FFCCCC"/>
          </w:tcPr>
          <w:p>
            <w:pPr>
              <w:spacing w:after="0"/>
              <w:rPr>
                <w:sz w:val="9"/>
                <w:szCs w:val="9"/>
                <w:color w:val="auto"/>
              </w:rPr>
            </w:pPr>
          </w:p>
        </w:tc>
        <w:tc>
          <w:tcPr>
            <w:tcW w:w="60" w:type="dxa"/>
            <w:vAlign w:val="bottom"/>
            <w:tcBorders>
              <w:bottom w:val="single" w:sz="8" w:color="auto"/>
            </w:tcBorders>
            <w:shd w:val="clear" w:color="auto" w:fill="FFCCCC"/>
          </w:tcPr>
          <w:p>
            <w:pPr>
              <w:spacing w:after="0"/>
              <w:rPr>
                <w:sz w:val="9"/>
                <w:szCs w:val="9"/>
                <w:color w:val="auto"/>
              </w:rPr>
            </w:pPr>
          </w:p>
        </w:tc>
        <w:tc>
          <w:tcPr>
            <w:tcW w:w="20" w:type="dxa"/>
            <w:vAlign w:val="bottom"/>
            <w:tcBorders>
              <w:bottom w:val="single" w:sz="8" w:color="auto"/>
            </w:tcBorders>
            <w:shd w:val="clear" w:color="auto" w:fill="FFCCCC"/>
          </w:tcPr>
          <w:p>
            <w:pPr>
              <w:spacing w:after="0"/>
              <w:rPr>
                <w:sz w:val="9"/>
                <w:szCs w:val="9"/>
                <w:color w:val="auto"/>
              </w:rPr>
            </w:pPr>
          </w:p>
        </w:tc>
        <w:tc>
          <w:tcPr>
            <w:tcW w:w="460" w:type="dxa"/>
            <w:vAlign w:val="bottom"/>
            <w:tcBorders>
              <w:bottom w:val="single" w:sz="8" w:color="auto"/>
            </w:tcBorders>
            <w:shd w:val="clear" w:color="auto" w:fill="FFCCCC"/>
          </w:tcPr>
          <w:p>
            <w:pPr>
              <w:spacing w:after="0"/>
              <w:rPr>
                <w:sz w:val="9"/>
                <w:szCs w:val="9"/>
                <w:color w:val="auto"/>
              </w:rPr>
            </w:pPr>
          </w:p>
        </w:tc>
        <w:tc>
          <w:tcPr>
            <w:tcW w:w="20" w:type="dxa"/>
            <w:vAlign w:val="bottom"/>
            <w:tcBorders>
              <w:bottom w:val="single" w:sz="8" w:color="auto"/>
            </w:tcBorders>
            <w:shd w:val="clear" w:color="auto" w:fill="FFCCCC"/>
          </w:tcPr>
          <w:p>
            <w:pPr>
              <w:spacing w:after="0"/>
              <w:rPr>
                <w:sz w:val="9"/>
                <w:szCs w:val="9"/>
                <w:color w:val="auto"/>
              </w:rPr>
            </w:pPr>
          </w:p>
        </w:tc>
        <w:tc>
          <w:tcPr>
            <w:tcW w:w="20" w:type="dxa"/>
            <w:vAlign w:val="bottom"/>
            <w:tcBorders>
              <w:bottom w:val="single" w:sz="8" w:color="auto"/>
            </w:tcBorders>
            <w:shd w:val="clear" w:color="auto" w:fill="FFCCCC"/>
          </w:tcPr>
          <w:p>
            <w:pPr>
              <w:spacing w:after="0"/>
              <w:rPr>
                <w:sz w:val="9"/>
                <w:szCs w:val="9"/>
                <w:color w:val="auto"/>
              </w:rPr>
            </w:pPr>
          </w:p>
        </w:tc>
        <w:tc>
          <w:tcPr>
            <w:tcW w:w="140" w:type="dxa"/>
            <w:vAlign w:val="bottom"/>
            <w:tcBorders>
              <w:bottom w:val="single" w:sz="8" w:color="auto"/>
            </w:tcBorders>
            <w:shd w:val="clear" w:color="auto" w:fill="FFCCCC"/>
          </w:tcPr>
          <w:p>
            <w:pPr>
              <w:spacing w:after="0"/>
              <w:rPr>
                <w:sz w:val="9"/>
                <w:szCs w:val="9"/>
                <w:color w:val="auto"/>
              </w:rPr>
            </w:pPr>
          </w:p>
        </w:tc>
        <w:tc>
          <w:tcPr>
            <w:tcW w:w="80" w:type="dxa"/>
            <w:vAlign w:val="bottom"/>
            <w:tcBorders>
              <w:bottom w:val="single" w:sz="8" w:color="auto"/>
              <w:right w:val="single" w:sz="8" w:color="auto"/>
            </w:tcBorders>
            <w:shd w:val="clear" w:color="auto" w:fill="FFCCCC"/>
          </w:tcPr>
          <w:p>
            <w:pPr>
              <w:spacing w:after="0"/>
              <w:rPr>
                <w:sz w:val="9"/>
                <w:szCs w:val="9"/>
                <w:color w:val="auto"/>
              </w:rPr>
            </w:pPr>
          </w:p>
        </w:tc>
        <w:tc>
          <w:tcPr>
            <w:tcW w:w="120" w:type="dxa"/>
            <w:vAlign w:val="bottom"/>
            <w:tcBorders>
              <w:bottom w:val="single" w:sz="8" w:color="auto"/>
            </w:tcBorders>
            <w:shd w:val="clear" w:color="auto" w:fill="FFCCCC"/>
          </w:tcPr>
          <w:p>
            <w:pPr>
              <w:spacing w:after="0"/>
              <w:rPr>
                <w:sz w:val="9"/>
                <w:szCs w:val="9"/>
                <w:color w:val="auto"/>
              </w:rPr>
            </w:pPr>
          </w:p>
        </w:tc>
        <w:tc>
          <w:tcPr>
            <w:tcW w:w="40" w:type="dxa"/>
            <w:vAlign w:val="bottom"/>
            <w:tcBorders>
              <w:bottom w:val="single" w:sz="8" w:color="auto"/>
            </w:tcBorders>
            <w:shd w:val="clear" w:color="auto" w:fill="FFCCCC"/>
          </w:tcPr>
          <w:p>
            <w:pPr>
              <w:spacing w:after="0"/>
              <w:rPr>
                <w:sz w:val="9"/>
                <w:szCs w:val="9"/>
                <w:color w:val="auto"/>
              </w:rPr>
            </w:pPr>
          </w:p>
        </w:tc>
        <w:tc>
          <w:tcPr>
            <w:tcW w:w="20" w:type="dxa"/>
            <w:vAlign w:val="bottom"/>
            <w:tcBorders>
              <w:bottom w:val="single" w:sz="8" w:color="auto"/>
            </w:tcBorders>
            <w:shd w:val="clear" w:color="auto" w:fill="FFCCCC"/>
          </w:tcPr>
          <w:p>
            <w:pPr>
              <w:spacing w:after="0"/>
              <w:rPr>
                <w:sz w:val="9"/>
                <w:szCs w:val="9"/>
                <w:color w:val="auto"/>
              </w:rPr>
            </w:pPr>
          </w:p>
        </w:tc>
        <w:tc>
          <w:tcPr>
            <w:tcW w:w="80" w:type="dxa"/>
            <w:vAlign w:val="bottom"/>
            <w:tcBorders>
              <w:bottom w:val="single" w:sz="8" w:color="auto"/>
            </w:tcBorders>
            <w:shd w:val="clear" w:color="auto" w:fill="FFCCCC"/>
          </w:tcPr>
          <w:p>
            <w:pPr>
              <w:spacing w:after="0"/>
              <w:rPr>
                <w:sz w:val="9"/>
                <w:szCs w:val="9"/>
                <w:color w:val="auto"/>
              </w:rPr>
            </w:pPr>
          </w:p>
        </w:tc>
        <w:tc>
          <w:tcPr>
            <w:tcW w:w="300" w:type="dxa"/>
            <w:vAlign w:val="bottom"/>
            <w:tcBorders>
              <w:bottom w:val="single" w:sz="8" w:color="auto"/>
            </w:tcBorders>
            <w:shd w:val="clear" w:color="auto" w:fill="FFCCCC"/>
          </w:tcPr>
          <w:p>
            <w:pPr>
              <w:spacing w:after="0"/>
              <w:rPr>
                <w:sz w:val="9"/>
                <w:szCs w:val="9"/>
                <w:color w:val="auto"/>
              </w:rPr>
            </w:pPr>
          </w:p>
        </w:tc>
        <w:tc>
          <w:tcPr>
            <w:tcW w:w="80" w:type="dxa"/>
            <w:vAlign w:val="bottom"/>
            <w:tcBorders>
              <w:bottom w:val="single" w:sz="8" w:color="auto"/>
            </w:tcBorders>
            <w:shd w:val="clear" w:color="auto" w:fill="FFCCCC"/>
          </w:tcPr>
          <w:p>
            <w:pPr>
              <w:spacing w:after="0"/>
              <w:rPr>
                <w:sz w:val="9"/>
                <w:szCs w:val="9"/>
                <w:color w:val="auto"/>
              </w:rPr>
            </w:pPr>
          </w:p>
        </w:tc>
        <w:tc>
          <w:tcPr>
            <w:tcW w:w="20" w:type="dxa"/>
            <w:vAlign w:val="bottom"/>
            <w:tcBorders>
              <w:bottom w:val="single" w:sz="8" w:color="auto"/>
            </w:tcBorders>
            <w:shd w:val="clear" w:color="auto" w:fill="FFCCCC"/>
          </w:tcPr>
          <w:p>
            <w:pPr>
              <w:spacing w:after="0"/>
              <w:rPr>
                <w:sz w:val="9"/>
                <w:szCs w:val="9"/>
                <w:color w:val="auto"/>
              </w:rPr>
            </w:pPr>
          </w:p>
        </w:tc>
        <w:tc>
          <w:tcPr>
            <w:tcW w:w="40" w:type="dxa"/>
            <w:vAlign w:val="bottom"/>
            <w:tcBorders>
              <w:bottom w:val="single" w:sz="8" w:color="auto"/>
            </w:tcBorders>
            <w:shd w:val="clear" w:color="auto" w:fill="FFCCCC"/>
          </w:tcPr>
          <w:p>
            <w:pPr>
              <w:spacing w:after="0"/>
              <w:rPr>
                <w:sz w:val="9"/>
                <w:szCs w:val="9"/>
                <w:color w:val="auto"/>
              </w:rPr>
            </w:pPr>
          </w:p>
        </w:tc>
        <w:tc>
          <w:tcPr>
            <w:tcW w:w="160" w:type="dxa"/>
            <w:vAlign w:val="bottom"/>
            <w:tcBorders>
              <w:bottom w:val="single" w:sz="8" w:color="auto"/>
              <w:right w:val="single" w:sz="8" w:color="auto"/>
            </w:tcBorders>
            <w:shd w:val="clear" w:color="auto" w:fill="FFCCCC"/>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shd w:val="clear" w:color="auto" w:fill="FFCCCC"/>
          </w:tcPr>
          <w:p>
            <w:pPr>
              <w:spacing w:after="0"/>
              <w:rPr>
                <w:sz w:val="18"/>
                <w:szCs w:val="18"/>
                <w:color w:val="auto"/>
              </w:rPr>
            </w:pPr>
          </w:p>
        </w:tc>
        <w:tc>
          <w:tcPr>
            <w:tcW w:w="160" w:type="dxa"/>
            <w:vAlign w:val="bottom"/>
            <w:tcBorders>
              <w:bottom w:val="single" w:sz="8" w:color="auto"/>
            </w:tcBorders>
            <w:gridSpan w:val="2"/>
            <w:shd w:val="clear" w:color="auto" w:fill="FFCC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FFCCCC"/>
          </w:tcPr>
          <w:p>
            <w:pPr>
              <w:jc w:val="center"/>
              <w:spacing w:after="0"/>
              <w:rPr>
                <w:sz w:val="20"/>
                <w:szCs w:val="20"/>
                <w:color w:val="auto"/>
              </w:rPr>
            </w:pPr>
            <w:r>
              <w:rPr>
                <w:rFonts w:ascii="Arial" w:cs="Arial" w:eastAsia="Arial" w:hAnsi="Arial"/>
                <w:sz w:val="18"/>
                <w:szCs w:val="18"/>
                <w:color w:val="FF0000"/>
                <w:strike w:val="1"/>
              </w:rPr>
              <w:t>II</w:t>
            </w:r>
          </w:p>
        </w:tc>
        <w:tc>
          <w:tcPr>
            <w:tcW w:w="280" w:type="dxa"/>
            <w:vAlign w:val="bottom"/>
            <w:tcBorders>
              <w:bottom w:val="single" w:sz="8" w:color="auto"/>
              <w:right w:val="single" w:sz="8" w:color="auto"/>
            </w:tcBorders>
            <w:gridSpan w:val="3"/>
            <w:shd w:val="clear" w:color="auto" w:fill="FFCCCC"/>
          </w:tcPr>
          <w:p>
            <w:pPr>
              <w:jc w:val="right"/>
              <w:ind w:right="141"/>
              <w:spacing w:after="0"/>
              <w:rPr>
                <w:sz w:val="20"/>
                <w:szCs w:val="20"/>
                <w:color w:val="auto"/>
              </w:rPr>
            </w:pPr>
            <w:r>
              <w:rPr>
                <w:rFonts w:ascii="Arial" w:cs="Arial" w:eastAsia="Arial" w:hAnsi="Arial"/>
                <w:sz w:val="18"/>
                <w:szCs w:val="18"/>
                <w:color w:val="auto"/>
                <w:w w:val="78"/>
              </w:rPr>
              <w:t>]</w:t>
            </w:r>
          </w:p>
        </w:tc>
        <w:tc>
          <w:tcPr>
            <w:tcW w:w="40" w:type="dxa"/>
            <w:vAlign w:val="bottom"/>
            <w:tcBorders>
              <w:bottom w:val="single" w:sz="8" w:color="auto"/>
              <w:right w:val="single" w:sz="8" w:color="FFCCCC"/>
            </w:tcBorders>
            <w:shd w:val="clear" w:color="auto" w:fill="FFCCCC"/>
          </w:tcPr>
          <w:p>
            <w:pPr>
              <w:spacing w:after="0"/>
              <w:rPr>
                <w:sz w:val="18"/>
                <w:szCs w:val="18"/>
                <w:color w:val="auto"/>
              </w:rPr>
            </w:pPr>
          </w:p>
        </w:tc>
        <w:tc>
          <w:tcPr>
            <w:tcW w:w="20" w:type="dxa"/>
            <w:vAlign w:val="bottom"/>
            <w:tcBorders>
              <w:bottom w:val="single" w:sz="8" w:color="auto"/>
            </w:tcBorders>
            <w:shd w:val="clear" w:color="auto" w:fill="FFCCCC"/>
          </w:tcPr>
          <w:p>
            <w:pPr>
              <w:spacing w:after="0"/>
              <w:rPr>
                <w:sz w:val="18"/>
                <w:szCs w:val="18"/>
                <w:color w:val="auto"/>
              </w:rPr>
            </w:pPr>
          </w:p>
        </w:tc>
        <w:tc>
          <w:tcPr>
            <w:tcW w:w="60" w:type="dxa"/>
            <w:vAlign w:val="bottom"/>
            <w:tcBorders>
              <w:bottom w:val="single" w:sz="8" w:color="auto"/>
            </w:tcBorders>
            <w:shd w:val="clear" w:color="auto" w:fill="FFCCCC"/>
          </w:tcPr>
          <w:p>
            <w:pPr>
              <w:spacing w:after="0"/>
              <w:rPr>
                <w:sz w:val="18"/>
                <w:szCs w:val="18"/>
                <w:color w:val="auto"/>
              </w:rPr>
            </w:pPr>
          </w:p>
        </w:tc>
        <w:tc>
          <w:tcPr>
            <w:tcW w:w="100" w:type="dxa"/>
            <w:vAlign w:val="bottom"/>
            <w:tcBorders>
              <w:bottom w:val="single" w:sz="8" w:color="auto"/>
            </w:tcBorders>
            <w:shd w:val="clear" w:color="auto" w:fill="FFCCCC"/>
          </w:tcPr>
          <w:p>
            <w:pPr>
              <w:spacing w:after="0"/>
              <w:rPr>
                <w:sz w:val="18"/>
                <w:szCs w:val="18"/>
                <w:color w:val="auto"/>
              </w:rPr>
            </w:pPr>
          </w:p>
        </w:tc>
        <w:tc>
          <w:tcPr>
            <w:tcW w:w="220" w:type="dxa"/>
            <w:vAlign w:val="bottom"/>
            <w:tcBorders>
              <w:bottom w:val="single" w:sz="8" w:color="auto"/>
            </w:tcBorders>
            <w:gridSpan w:val="2"/>
            <w:shd w:val="clear" w:color="auto" w:fill="FFCCCC"/>
          </w:tcPr>
          <w:p>
            <w:pPr>
              <w:jc w:val="right"/>
              <w:spacing w:after="0"/>
              <w:rPr>
                <w:sz w:val="20"/>
                <w:szCs w:val="20"/>
                <w:color w:val="auto"/>
              </w:rPr>
            </w:pPr>
            <w:r>
              <w:rPr>
                <w:rFonts w:ascii="Arial" w:cs="Arial" w:eastAsia="Arial" w:hAnsi="Arial"/>
                <w:sz w:val="18"/>
                <w:szCs w:val="18"/>
                <w:i w:val="1"/>
                <w:iCs w:val="1"/>
                <w:color w:val="auto"/>
              </w:rPr>
              <w:t>[</w:t>
            </w:r>
          </w:p>
        </w:tc>
        <w:tc>
          <w:tcPr>
            <w:tcW w:w="1620" w:type="dxa"/>
            <w:vAlign w:val="bottom"/>
            <w:tcBorders>
              <w:bottom w:val="single" w:sz="8" w:color="auto"/>
            </w:tcBorders>
            <w:gridSpan w:val="16"/>
            <w:shd w:val="clear" w:color="auto" w:fill="FFCCCC"/>
          </w:tcPr>
          <w:p>
            <w:pPr>
              <w:jc w:val="center"/>
              <w:spacing w:after="0"/>
              <w:rPr>
                <w:sz w:val="20"/>
                <w:szCs w:val="20"/>
                <w:color w:val="auto"/>
              </w:rPr>
            </w:pPr>
            <w:r>
              <w:rPr>
                <w:rFonts w:ascii="Arial" w:cs="Arial" w:eastAsia="Arial" w:hAnsi="Arial"/>
                <w:sz w:val="18"/>
                <w:szCs w:val="18"/>
                <w:i w:val="1"/>
                <w:iCs w:val="1"/>
                <w:color w:val="FF0000"/>
                <w:strike w:val="1"/>
                <w:w w:val="88"/>
              </w:rPr>
              <w:t>Less than $25,000,000</w:t>
            </w:r>
          </w:p>
        </w:tc>
        <w:tc>
          <w:tcPr>
            <w:tcW w:w="480" w:type="dxa"/>
            <w:vAlign w:val="bottom"/>
            <w:tcBorders>
              <w:bottom w:val="single" w:sz="8" w:color="auto"/>
              <w:right w:val="single" w:sz="8" w:color="auto"/>
            </w:tcBorders>
            <w:gridSpan w:val="3"/>
            <w:shd w:val="clear" w:color="auto" w:fill="FFCCCC"/>
          </w:tcPr>
          <w:p>
            <w:pPr>
              <w:jc w:val="right"/>
              <w:ind w:right="400"/>
              <w:spacing w:after="0"/>
              <w:rPr>
                <w:sz w:val="20"/>
                <w:szCs w:val="20"/>
                <w:color w:val="auto"/>
              </w:rPr>
            </w:pPr>
            <w:r>
              <w:rPr>
                <w:rFonts w:ascii="Arial" w:cs="Arial" w:eastAsia="Arial" w:hAnsi="Arial"/>
                <w:sz w:val="18"/>
                <w:szCs w:val="18"/>
                <w:i w:val="1"/>
                <w:iCs w:val="1"/>
                <w:color w:val="auto"/>
              </w:rPr>
              <w:t>]</w:t>
            </w:r>
          </w:p>
        </w:tc>
        <w:tc>
          <w:tcPr>
            <w:tcW w:w="220" w:type="dxa"/>
            <w:vAlign w:val="bottom"/>
            <w:tcBorders>
              <w:left w:val="single" w:sz="8" w:color="FFCCCC"/>
              <w:bottom w:val="single" w:sz="8" w:color="auto"/>
            </w:tcBorders>
            <w:gridSpan w:val="3"/>
            <w:shd w:val="clear" w:color="auto" w:fill="FFCCCC"/>
          </w:tcPr>
          <w:p>
            <w:pPr>
              <w:ind w:left="160"/>
              <w:spacing w:after="0"/>
              <w:rPr>
                <w:sz w:val="20"/>
                <w:szCs w:val="20"/>
                <w:color w:val="auto"/>
              </w:rPr>
            </w:pPr>
            <w:r>
              <w:rPr>
                <w:rFonts w:ascii="Arial" w:cs="Arial" w:eastAsia="Arial" w:hAnsi="Arial"/>
                <w:sz w:val="18"/>
                <w:szCs w:val="18"/>
                <w:color w:val="auto"/>
                <w:w w:val="78"/>
              </w:rPr>
              <w:t>[</w:t>
            </w:r>
          </w:p>
        </w:tc>
        <w:tc>
          <w:tcPr>
            <w:tcW w:w="480" w:type="dxa"/>
            <w:vAlign w:val="bottom"/>
            <w:tcBorders>
              <w:bottom w:val="single" w:sz="8" w:color="auto"/>
            </w:tcBorders>
            <w:gridSpan w:val="2"/>
            <w:shd w:val="clear" w:color="auto" w:fill="FFCCCC"/>
          </w:tcPr>
          <w:p>
            <w:pPr>
              <w:jc w:val="center"/>
              <w:spacing w:after="0"/>
              <w:rPr>
                <w:sz w:val="20"/>
                <w:szCs w:val="20"/>
                <w:color w:val="auto"/>
              </w:rPr>
            </w:pPr>
            <w:r>
              <w:rPr>
                <w:rFonts w:ascii="Arial" w:cs="Arial" w:eastAsia="Arial" w:hAnsi="Arial"/>
                <w:sz w:val="18"/>
                <w:szCs w:val="18"/>
                <w:color w:val="FF0000"/>
                <w:strike w:val="1"/>
                <w:w w:val="93"/>
              </w:rPr>
              <w:t>2.50%</w:t>
            </w:r>
          </w:p>
        </w:tc>
        <w:tc>
          <w:tcPr>
            <w:tcW w:w="180" w:type="dxa"/>
            <w:vAlign w:val="bottom"/>
            <w:tcBorders>
              <w:bottom w:val="single" w:sz="8" w:color="auto"/>
            </w:tcBorders>
            <w:gridSpan w:val="3"/>
            <w:shd w:val="clear" w:color="auto" w:fill="FFCCCC"/>
          </w:tcPr>
          <w:p>
            <w:pPr>
              <w:jc w:val="right"/>
              <w:ind w:right="41"/>
              <w:spacing w:after="0"/>
              <w:rPr>
                <w:sz w:val="20"/>
                <w:szCs w:val="20"/>
                <w:color w:val="auto"/>
              </w:rPr>
            </w:pPr>
            <w:r>
              <w:rPr>
                <w:rFonts w:ascii="Arial" w:cs="Arial" w:eastAsia="Arial" w:hAnsi="Arial"/>
                <w:sz w:val="18"/>
                <w:szCs w:val="18"/>
                <w:color w:val="auto"/>
                <w:w w:val="78"/>
              </w:rPr>
              <w:t>]</w:t>
            </w:r>
          </w:p>
        </w:tc>
        <w:tc>
          <w:tcPr>
            <w:tcW w:w="80" w:type="dxa"/>
            <w:vAlign w:val="bottom"/>
            <w:tcBorders>
              <w:bottom w:val="single" w:sz="8" w:color="auto"/>
              <w:right w:val="single" w:sz="8" w:color="auto"/>
            </w:tcBorders>
            <w:shd w:val="clear" w:color="auto" w:fill="FFCCCC"/>
          </w:tcPr>
          <w:p>
            <w:pPr>
              <w:spacing w:after="0"/>
              <w:rPr>
                <w:sz w:val="18"/>
                <w:szCs w:val="18"/>
                <w:color w:val="auto"/>
              </w:rPr>
            </w:pPr>
          </w:p>
        </w:tc>
        <w:tc>
          <w:tcPr>
            <w:tcW w:w="180" w:type="dxa"/>
            <w:vAlign w:val="bottom"/>
            <w:tcBorders>
              <w:bottom w:val="single" w:sz="8" w:color="auto"/>
            </w:tcBorders>
            <w:gridSpan w:val="3"/>
            <w:shd w:val="clear" w:color="auto" w:fill="FFCCCC"/>
          </w:tcPr>
          <w:p>
            <w:pPr>
              <w:ind w:left="120"/>
              <w:spacing w:after="0"/>
              <w:rPr>
                <w:sz w:val="20"/>
                <w:szCs w:val="20"/>
                <w:color w:val="auto"/>
              </w:rPr>
            </w:pPr>
            <w:r>
              <w:rPr>
                <w:rFonts w:ascii="Arial" w:cs="Arial" w:eastAsia="Arial" w:hAnsi="Arial"/>
                <w:sz w:val="18"/>
                <w:szCs w:val="18"/>
                <w:color w:val="auto"/>
                <w:w w:val="78"/>
              </w:rPr>
              <w:t>[</w:t>
            </w:r>
          </w:p>
        </w:tc>
        <w:tc>
          <w:tcPr>
            <w:tcW w:w="460" w:type="dxa"/>
            <w:vAlign w:val="bottom"/>
            <w:tcBorders>
              <w:bottom w:val="single" w:sz="8" w:color="auto"/>
            </w:tcBorders>
            <w:gridSpan w:val="3"/>
            <w:shd w:val="clear" w:color="auto" w:fill="FFCCCC"/>
          </w:tcPr>
          <w:p>
            <w:pPr>
              <w:jc w:val="center"/>
              <w:spacing w:after="0"/>
              <w:rPr>
                <w:sz w:val="20"/>
                <w:szCs w:val="20"/>
                <w:color w:val="auto"/>
              </w:rPr>
            </w:pPr>
            <w:r>
              <w:rPr>
                <w:rFonts w:ascii="Arial" w:cs="Arial" w:eastAsia="Arial" w:hAnsi="Arial"/>
                <w:sz w:val="18"/>
                <w:szCs w:val="18"/>
                <w:color w:val="FF0000"/>
                <w:strike w:val="1"/>
                <w:w w:val="90"/>
              </w:rPr>
              <w:t>1.50%</w:t>
            </w:r>
          </w:p>
        </w:tc>
        <w:tc>
          <w:tcPr>
            <w:tcW w:w="220" w:type="dxa"/>
            <w:vAlign w:val="bottom"/>
            <w:tcBorders>
              <w:bottom w:val="single" w:sz="8" w:color="auto"/>
              <w:right w:val="single" w:sz="8" w:color="auto"/>
            </w:tcBorders>
            <w:gridSpan w:val="3"/>
            <w:shd w:val="clear" w:color="auto" w:fill="FFCCCC"/>
          </w:tcPr>
          <w:p>
            <w:pPr>
              <w:jc w:val="right"/>
              <w:ind w:right="81"/>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auto"/>
        </w:rPr>
        <w:t xml:space="preserve"> </w:t>
      </w:r>
      <w:r>
        <w:rPr>
          <w:rFonts w:ascii="Arial" w:cs="Arial" w:eastAsia="Arial" w:hAnsi="Arial"/>
          <w:sz w:val="17"/>
          <w:szCs w:val="17"/>
          <w:color w:val="FF0000"/>
          <w:strike w:val="1"/>
        </w:rPr>
        <w:t>that notwithstanding anything to the contrary set forth herein, from and after the Second Amendment Effective Date until the first</w:t>
      </w:r>
      <w:r>
        <w:rPr>
          <w:rFonts w:ascii="Arial" w:cs="Arial" w:eastAsia="Arial" w:hAnsi="Arial"/>
          <w:sz w:val="17"/>
          <w:szCs w:val="17"/>
          <w:color w:val="auto"/>
        </w:rPr>
        <w:t xml:space="preserve"> </w:t>
      </w:r>
      <w:r>
        <w:rPr>
          <w:rFonts w:ascii="Arial" w:cs="Arial" w:eastAsia="Arial" w:hAnsi="Arial"/>
          <w:sz w:val="17"/>
          <w:szCs w:val="17"/>
          <w:color w:val="FF0000"/>
          <w:strike w:val="1"/>
        </w:rPr>
        <w:t>Adjustment Date thereafter, Applicable Margin shall mean the percentages set forth in Level I of the pricing grid immediately set forth above.</w:t>
      </w:r>
      <w:r>
        <w:rPr>
          <w:rFonts w:ascii="Arial" w:cs="Arial" w:eastAsia="Arial" w:hAnsi="Arial"/>
          <w:sz w:val="17"/>
          <w:szCs w:val="17"/>
          <w:color w:val="000000"/>
        </w:rPr>
        <w: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“Applicable Rate” means (i) with respect to each Commercial Letter of Credit issued hereunder, two percent (2.00%) and (ii) with respect to each Standby Letter of Credit issued hereunder, a per annum rate equal to the Applicable Margin for Loans which are Eurodollar Rate Loans.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“Appraisal Percentage” means ninety percent (90%).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“Appraised Value” means[ </w:t>
      </w:r>
      <w:r>
        <w:rPr>
          <w:rFonts w:ascii="Arial" w:cs="Arial" w:eastAsia="Arial" w:hAnsi="Arial"/>
          <w:sz w:val="18"/>
          <w:szCs w:val="18"/>
          <w:color w:val="FF0000"/>
        </w:rPr>
        <w:t>(a)</w:t>
      </w:r>
      <w:r>
        <w:rPr>
          <w:rFonts w:ascii="Arial" w:cs="Arial" w:eastAsia="Arial" w:hAnsi="Arial"/>
          <w:sz w:val="18"/>
          <w:szCs w:val="18"/>
          <w:color w:val="auto"/>
        </w:rPr>
        <w:t xml:space="preserve">] with respect to Eligible Inventory, the appraised orderly liquidation value, net of costs and expenses to be incurred in connection with any such liquidation, which value is expressed as a percentage of Cost of Eligible Inventory as set forth in the inventory stock ledger of the Borrower, which value shall be determined from time to time by the most recent appraisal undertaken by an independent appraiser engaged by the Lender </w:t>
      </w:r>
      <w:r>
        <w:rPr>
          <w:rFonts w:ascii="Arial" w:cs="Arial" w:eastAsia="Arial" w:hAnsi="Arial"/>
          <w:sz w:val="18"/>
          <w:szCs w:val="18"/>
          <w:b w:val="1"/>
          <w:bCs w:val="1"/>
          <w:u w:val="single" w:color="auto"/>
          <w:color w:val="0000FF"/>
        </w:rPr>
        <w:t>(which shall be one of Tiger Group, Gordon Brothers, B. Riley or Hilco)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-488950</wp:posOffset>
            </wp:positionV>
            <wp:extent cx="1549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“Approved Fund” means any Fund that is administered or managed by (a) the Lender, (b) an Affiliate of the Lender (c) an entity or an Affiliate of an entity that administers or manages the Lender, or (d) the same investment advisor or an advisor under common control with the Lender, Affiliate or advisor, as applicable.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“Assignee Group” means two or more Eligible Assignees that are Affiliates of one another or two or more Approved Funds managed by the same investment advisor.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“Assignment and Assumption” means an assignment and assumption entered into by the Lender and an Eligible Assignee (with the consent of any party whose consent is required by </w:t>
      </w:r>
      <w:r>
        <w:rPr>
          <w:rFonts w:ascii="Arial" w:cs="Arial" w:eastAsia="Arial" w:hAnsi="Arial"/>
          <w:sz w:val="18"/>
          <w:szCs w:val="18"/>
          <w:u w:val="single" w:color="auto"/>
          <w:color w:val="auto"/>
        </w:rPr>
        <w:t>Section 9.06(b)</w:t>
      </w:r>
      <w:r>
        <w:rPr>
          <w:rFonts w:ascii="Arial" w:cs="Arial" w:eastAsia="Arial" w:hAnsi="Arial"/>
          <w:sz w:val="18"/>
          <w:szCs w:val="18"/>
          <w:color w:val="auto"/>
        </w:rPr>
        <w:t xml:space="preserve">), and accepted by the Lender,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or any other form approved by the Lender.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“Attributable Indebtedness” means, on any date, (a) in respect of any Capital Lease Obligation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agreement or instrument were accounted for as a capital lease.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“Audited Financial Statements” means the audited consolidated balance sheet of the Borrower and its Subsidiaries for the Fiscal Year ended January 29, 2011, and the related consolidated statements of income or operations, Shareholders’ Equity and cash flows for such Fiscal Year of the Borrower and its Subsidiaries, including the notes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“Auto-Extension Letter of Credit” shall have the meaning specified in </w:t>
      </w:r>
      <w:r>
        <w:rPr>
          <w:rFonts w:ascii="Arial" w:cs="Arial" w:eastAsia="Arial" w:hAnsi="Arial"/>
          <w:sz w:val="18"/>
          <w:szCs w:val="18"/>
          <w:u w:val="single" w:color="auto"/>
          <w:color w:val="auto"/>
        </w:rPr>
        <w:t>Section 2.03(b)(iii).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“Availability” means, as of any date of determination thereof by the Lender, the result, if a positive number, of:</w:t>
      </w:r>
    </w:p>
    <w:p>
      <w:pPr>
        <w:spacing w:after="0" w:line="225" w:lineRule="exact"/>
        <w:rPr>
          <w:sz w:val="20"/>
          <w:szCs w:val="20"/>
          <w:color w:val="auto"/>
        </w:rPr>
      </w:pPr>
    </w:p>
    <w:p>
      <w:pPr>
        <w:ind w:left="1180" w:hanging="524"/>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Loan Cap,</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minus</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Outstandings.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“Availability Period” means the period from and including the Closing Date to the earliest of (a) the Maturity Date, (b) the date of termination of the Commitments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(c) the date of termination of the commitment of the Lender to make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“Availability Reserves” means, without duplication of any other Reserves or items that are otherwise addressed or excluded through eligibility criteria, such reserves as the Lender from time to time reasonably determines </w:t>
      </w:r>
      <w:r>
        <w:rPr>
          <w:rFonts w:ascii="Arial" w:cs="Arial" w:eastAsia="Arial" w:hAnsi="Arial"/>
          <w:sz w:val="17"/>
          <w:szCs w:val="17"/>
          <w:b w:val="1"/>
          <w:bCs w:val="1"/>
          <w:u w:val="single" w:color="auto"/>
          <w:color w:val="0000FF"/>
        </w:rPr>
        <w:t>in its Permitted Discretion</w:t>
      </w:r>
      <w:r>
        <w:rPr>
          <w:rFonts w:ascii="Arial" w:cs="Arial" w:eastAsia="Arial" w:hAnsi="Arial"/>
          <w:sz w:val="17"/>
          <w:szCs w:val="17"/>
          <w:color w:val="auto"/>
        </w:rPr>
        <w:t xml:space="preserve"> as being appropriate (a) to reflect the impediments to the Lender’s ability to realize upon the Collateral, (b) to reflect claims and liabilities that the Lender determines will need to be satisfied in connection with the realization upon the Collateral, </w:t>
      </w:r>
      <w:r>
        <w:rPr>
          <w:rFonts w:ascii="Arial" w:cs="Arial" w:eastAsia="Arial" w:hAnsi="Arial"/>
          <w:sz w:val="17"/>
          <w:szCs w:val="17"/>
          <w:b w:val="1"/>
          <w:bCs w:val="1"/>
          <w:u w:val="single" w:color="auto"/>
          <w:color w:val="0000FF"/>
        </w:rPr>
        <w:t>or</w:t>
      </w:r>
      <w:r>
        <w:rPr>
          <w:rFonts w:ascii="Arial" w:cs="Arial" w:eastAsia="Arial" w:hAnsi="Arial"/>
          <w:sz w:val="17"/>
          <w:szCs w:val="17"/>
          <w:color w:val="auto"/>
        </w:rPr>
        <w:t xml:space="preserve"> (c) to reflect criteria, events, conditions, contingencies or risks which adversely affect any component of the Borrowing Base, or the assets, business, financial performance or financial condition of any Loan Party[</w:t>
      </w:r>
      <w:r>
        <w:rPr>
          <w:rFonts w:ascii="Arial" w:cs="Arial" w:eastAsia="Arial" w:hAnsi="Arial"/>
          <w:sz w:val="17"/>
          <w:szCs w:val="17"/>
          <w:color w:val="FF0000"/>
          <w:strike w:val="1"/>
        </w:rPr>
        <w:t>, or (d) to reflect that a Default or</w:t>
      </w:r>
      <w:r>
        <w:rPr>
          <w:rFonts w:ascii="Arial" w:cs="Arial" w:eastAsia="Arial" w:hAnsi="Arial"/>
          <w:sz w:val="17"/>
          <w:szCs w:val="17"/>
          <w:color w:val="auto"/>
        </w:rPr>
        <w:t xml:space="preserve"> </w:t>
      </w:r>
      <w:r>
        <w:rPr>
          <w:rFonts w:ascii="Arial" w:cs="Arial" w:eastAsia="Arial" w:hAnsi="Arial"/>
          <w:sz w:val="17"/>
          <w:szCs w:val="17"/>
          <w:color w:val="FF0000"/>
          <w:strike w:val="1"/>
        </w:rPr>
        <w:t>an Event of Default then exists</w:t>
      </w:r>
      <w:r>
        <w:rPr>
          <w:rFonts w:ascii="Arial" w:cs="Arial" w:eastAsia="Arial" w:hAnsi="Arial"/>
          <w:sz w:val="17"/>
          <w:szCs w:val="17"/>
          <w:color w:val="000000"/>
        </w:rPr>
        <w:t>]. Without limiting the generality of the foregoing, Availability Reserves may include, but are not limited to, as the Lender</w:t>
      </w:r>
      <w:r>
        <w:rPr>
          <w:rFonts w:ascii="Arial" w:cs="Arial" w:eastAsia="Arial" w:hAnsi="Arial"/>
          <w:sz w:val="17"/>
          <w:szCs w:val="17"/>
          <w:color w:val="FF0000"/>
        </w:rPr>
        <w:t xml:space="preserve"> </w:t>
      </w:r>
      <w:r>
        <w:rPr>
          <w:rFonts w:ascii="Arial" w:cs="Arial" w:eastAsia="Arial" w:hAnsi="Arial"/>
          <w:sz w:val="17"/>
          <w:szCs w:val="17"/>
          <w:color w:val="000000"/>
        </w:rPr>
        <w:t xml:space="preserve">reasonably determines </w:t>
      </w:r>
      <w:r>
        <w:rPr>
          <w:rFonts w:ascii="Arial" w:cs="Arial" w:eastAsia="Arial" w:hAnsi="Arial"/>
          <w:sz w:val="17"/>
          <w:szCs w:val="17"/>
          <w:b w:val="1"/>
          <w:bCs w:val="1"/>
          <w:u w:val="single" w:color="auto"/>
          <w:color w:val="0000FF"/>
        </w:rPr>
        <w:t>in its Permitted Discretion</w:t>
      </w:r>
      <w:r>
        <w:rPr>
          <w:rFonts w:ascii="Arial" w:cs="Arial" w:eastAsia="Arial" w:hAnsi="Arial"/>
          <w:sz w:val="17"/>
          <w:szCs w:val="17"/>
          <w:color w:val="000000"/>
        </w:rPr>
        <w:t>, reserves based on: (i) rent; (ii) customs duties, and other costs to release Inventory which is being imported into the United States; (iii) outstanding Taxes and other governmental charges, including, without limitation, ad valorem, real estate, personal property, sales, claims of the PBGC and other Taxes which may have priority over the interests of the Lender in the Collateral; (iv) salaries, wages and benefits due to employees of the Borrower, (v) Customer Credit Liabilities; (vi) customer deposits; (viii) reserves for reasonably anticipated changes in the Appraised Value of Eligible Inventory between appraisals; (viii) warehousemen’s or bailee’s charges and other Permitted Encumbrances which may have priority over the interests of the Lender in the Collateral; (ix) amounts due to vendors on account of consigned goods, if any</w:t>
      </w:r>
      <w:r>
        <w:rPr>
          <w:rFonts w:ascii="Arial" w:cs="Arial" w:eastAsia="Arial" w:hAnsi="Arial"/>
          <w:sz w:val="17"/>
          <w:szCs w:val="17"/>
          <w:b w:val="1"/>
          <w:bCs w:val="1"/>
          <w:u w:val="single" w:color="auto"/>
          <w:color w:val="0000FF"/>
        </w:rPr>
        <w:t>,</w:t>
      </w:r>
      <w:r>
        <w:rPr>
          <w:rFonts w:ascii="Arial" w:cs="Arial" w:eastAsia="Arial" w:hAnsi="Arial"/>
          <w:sz w:val="17"/>
          <w:szCs w:val="17"/>
          <w:color w:val="000000"/>
        </w:rPr>
        <w:t xml:space="preserve"> (x) Cash Management Reserves, (xi) Bank Product Reserves, and (xii) royalties payable in respect of licensed merchandise. “Average Daily Availability” means, for any Fiscal Quarter, an amount equal to the sum of Availability for each day of such Fiscal Quarter divided by the actual number of days in such Fiscal Quarter, as determined by the Lender, which determination shall be conclusive absent manifest error.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of America” means Bank of America, N.A. and its successors.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“Bank Products” means any services of facilities provided to any Loan Party by the Lender or any of its Affiliates, including, without limitation, on account of (a) Swap Contracts, (b) purchase cards, (c) leasing, (d) factoring, and (e) supply chain finance services (including, without limitation, trade payable services and supplier accounts receivable purchases), but excluding Cash Management Services.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“Bank Product Reserves” means such reserves as the Lender from time to time determine in its discretion as being appropriate to reflect the liabilities and obligations of the Loan Parties with respect to Bank Products then provided or outstanding.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“Banker’s Acceptance” means a time draft or bill of exchange or other deferred payment obligation relating to a Commercial Letter of Credit which has been accepted by the Issuing Lender.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“Base Rate” means for any day a fluctuating rate per annum equal to the highest of (a)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 of 1% (b) the rate of interest in effect for such day as publicly announced from time to time by Bank of America as its “prime rate”, and (c) the Eurodollar Rate </w:t>
      </w:r>
      <w:r>
        <w:rPr>
          <w:rFonts w:ascii="Arial" w:cs="Arial" w:eastAsia="Arial" w:hAnsi="Arial"/>
          <w:sz w:val="18"/>
          <w:szCs w:val="18"/>
          <w:b w:val="1"/>
          <w:bCs w:val="1"/>
          <w:u w:val="single" w:color="auto"/>
          <w:color w:val="0000FF"/>
        </w:rPr>
        <w:t>(or, on 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following the LIBOR Replacement Date, the LIBOR Successor Rate in accordance with Section 3.03)</w:t>
      </w:r>
      <w:r>
        <w:rPr>
          <w:rFonts w:ascii="Arial" w:cs="Arial" w:eastAsia="Arial" w:hAnsi="Arial"/>
          <w:sz w:val="18"/>
          <w:szCs w:val="18"/>
          <w:b w:val="1"/>
          <w:bCs w:val="1"/>
          <w:color w:val="0000FF"/>
        </w:rPr>
        <w:t xml:space="preserve"> </w:t>
      </w:r>
      <w:r>
        <w:rPr>
          <w:rFonts w:ascii="Arial" w:cs="Arial" w:eastAsia="Arial" w:hAnsi="Arial"/>
          <w:sz w:val="18"/>
          <w:szCs w:val="18"/>
          <w:color w:val="000000"/>
        </w:rPr>
        <w:t>plus 1.00%. The “prime rate” is a rate set by</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8"/>
          <w:szCs w:val="18"/>
          <w:u w:val="single" w:color="auto"/>
          <w:color w:val="000000"/>
        </w:rPr>
        <w:t>Section 3.03</w:t>
      </w:r>
      <w:r>
        <w:rPr>
          <w:rFonts w:ascii="Arial" w:cs="Arial" w:eastAsia="Arial" w:hAnsi="Arial"/>
          <w:sz w:val="18"/>
          <w:szCs w:val="18"/>
          <w:color w:val="000000"/>
        </w:rPr>
        <w:t xml:space="preserve"> hereof, then the Base Rate shall be the greater of clauses (a) and (b) above and shall be determined without reference to clause (c) above.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 Rate Loan” means a Loan that bears interest based on the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“Beneficial Ownership Certification” means a certification regarding beneficial ownership required by the Beneficial Ownership Regulation.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“Beneficial Ownership Regulation” means 31 C.F.R. § 1010.230.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“BHC Act Affiliate”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“Blocked Account” has the meaning provided in </w:t>
      </w:r>
      <w:r>
        <w:rPr>
          <w:rFonts w:ascii="Arial" w:cs="Arial" w:eastAsia="Arial" w:hAnsi="Arial"/>
          <w:sz w:val="18"/>
          <w:szCs w:val="18"/>
          <w:u w:val="single" w:color="auto"/>
          <w:color w:val="auto"/>
        </w:rPr>
        <w:t>Section 6.12(a)(ii)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“Blocked Account Agreement” means with respect to an account established by a Loan Party, an agreement, in form and substance satisfactory to the Lender, establishing control (as defined in the UCC) of such account by the Lender and whereby the bank maintaining such account agrees, upon the occurrence and during the continuance of a Cash Dominion Event, to comply only with the instructions originated by the Lender without the further consent of any Loan Party.</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“Blocked Account Bank” means each bank with whom deposit accounts are maintained in which any funds of any of the Loan Parties from one or more DDAs are concentrated and with whom a Blocked Account Agreement has been, or is required to be, executed in accordance with the terms 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has the meaning specified in the introductory paragraph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 Base” means, at any time of calculation, an amount equal to:</w:t>
      </w:r>
    </w:p>
    <w:p>
      <w:pPr>
        <w:spacing w:after="0" w:line="225" w:lineRule="exact"/>
        <w:rPr>
          <w:sz w:val="20"/>
          <w:szCs w:val="20"/>
          <w:color w:val="auto"/>
        </w:rPr>
      </w:pPr>
    </w:p>
    <w:p>
      <w:pPr>
        <w:ind w:left="2180" w:hanging="876"/>
        <w:spacing w:after="0"/>
        <w:tabs>
          <w:tab w:leader="none" w:pos="2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face amount of Eligible Credit Card Receivables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Credit Card Advance Rate;</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2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color w:val="FF0000"/>
          <w:strike w:val="1"/>
        </w:rPr>
        <w:t>until the Lender completes an inventory appraisal, the Cost of Eligible Inventory, net of Inventory Reserves, multiplied by</w:t>
      </w:r>
      <w:r>
        <w:rPr>
          <w:rFonts w:ascii="Arial" w:cs="Arial" w:eastAsia="Arial" w:hAnsi="Arial"/>
          <w:sz w:val="18"/>
          <w:szCs w:val="18"/>
          <w:color w:val="auto"/>
        </w:rPr>
        <w:t xml:space="preserve"> </w:t>
      </w:r>
      <w:r>
        <w:rPr>
          <w:rFonts w:ascii="Arial" w:cs="Arial" w:eastAsia="Arial" w:hAnsi="Arial"/>
          <w:sz w:val="18"/>
          <w:szCs w:val="18"/>
          <w:color w:val="FF0000"/>
          <w:strike w:val="1"/>
        </w:rPr>
        <w:t>the Inventory Advance Rate, and (ii) after the Lender completes an inventory appraisal,</w:t>
      </w:r>
      <w:r>
        <w:rPr>
          <w:rFonts w:ascii="Arial" w:cs="Arial" w:eastAsia="Arial" w:hAnsi="Arial"/>
          <w:sz w:val="18"/>
          <w:szCs w:val="18"/>
          <w:color w:val="FF0000"/>
        </w:rPr>
        <w:t xml:space="preserve"> </w:t>
      </w:r>
      <w:r>
        <w:rPr>
          <w:rFonts w:ascii="Arial" w:cs="Arial" w:eastAsia="Arial" w:hAnsi="Arial"/>
          <w:sz w:val="18"/>
          <w:szCs w:val="18"/>
          <w:color w:val="000000"/>
        </w:rPr>
        <w:t>]the Cost of Eligible Inventory, net of Inventory Reserves,</w:t>
      </w:r>
      <w:r>
        <w:rPr>
          <w:rFonts w:ascii="Arial" w:cs="Arial" w:eastAsia="Arial" w:hAnsi="Arial"/>
          <w:sz w:val="18"/>
          <w:szCs w:val="18"/>
          <w:color w:val="FF0000"/>
        </w:rPr>
        <w:t xml:space="preserve"> </w:t>
      </w:r>
      <w:r>
        <w:rPr>
          <w:rFonts w:ascii="Arial" w:cs="Arial" w:eastAsia="Arial" w:hAnsi="Arial"/>
          <w:sz w:val="18"/>
          <w:szCs w:val="18"/>
          <w:color w:val="000000"/>
        </w:rPr>
        <w:t>multiplied by the product of Appraisal Percentage multiplied by the Appraised Value of Eligible Inventory;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minus</w:t>
      </w:r>
    </w:p>
    <w:p>
      <w:pPr>
        <w:spacing w:after="0" w:line="225" w:lineRule="exact"/>
        <w:rPr>
          <w:sz w:val="20"/>
          <w:szCs w:val="20"/>
          <w:color w:val="auto"/>
        </w:rPr>
      </w:pPr>
    </w:p>
    <w:p>
      <w:pPr>
        <w:ind w:left="2180" w:hanging="876"/>
        <w:spacing w:after="0"/>
        <w:tabs>
          <w:tab w:leader="none" w:pos="2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then amount of all Availability Reserves.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“Borrowing Base Certificate” means a certificate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(with such changes therein as may be required by the Lender to reflect the components of and reserves against the Borrowing Base as provided for hereunder from time to time), executed and certified as accurate and complete by a Responsible Officer of the Borrower which shall include appropriate exhibits, schedules, supporting documentation, and additional reports as reasonably requested by the Lender.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“Business” means the operation of a retail business with stores and other sales channels, which offers for sale urban fashion apparel, footwear, intimate apparel, accessories and home decor items, and ancillary businesses related thereto.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“Business Day” means any day other than a Saturday, Sunday or other day on which commercial banks are authorized to close under the Laws of, or are in fact closed in, the state where the Lender’s Office is located and, if such day relates to any Eurodollar Rate Loan, means any such day on which dealings in Dollar deposits are conducted by and between banks in the London interbank market.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“Capital Expenditures” means, with respect to any Person for any period, (a) all expenditures made (whether made in the form of cash or other property) or costs incurred for the acquisition or improvement of fixed or capital assets of such Person (excluding normal replacements and maintenance which are properly charged to current operations), in each case that are (or should be) set forth as capital expenditures in a Consolidated statement of cash flows of such Person for such period, in each case prepared in accordance with GAAP, and (b) Capital Lease Obligations incurred by a Person during such period </w:t>
      </w:r>
      <w:r>
        <w:rPr>
          <w:rFonts w:ascii="Arial" w:cs="Arial" w:eastAsia="Arial" w:hAnsi="Arial"/>
          <w:sz w:val="18"/>
          <w:szCs w:val="18"/>
          <w:b w:val="1"/>
          <w:bCs w:val="1"/>
          <w:u w:val="single" w:color="auto"/>
          <w:color w:val="0000FF"/>
        </w:rPr>
        <w:t>and recorded on the balance sheet of such Person</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 Lease Obligations” means,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liabilities on a balance sheet of such Person under GAAP and the amount of which obligations shall be the capitalized amount thereof determined in accordance with GAAP.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“Cash Collateral Account” means a non-interest bearing account established by one or more of the Loan Parties with Bank of America, and in the name of, the Lender (or as the Lender shall otherwise direct) and under the sole and exclusive dominion and control of the Lender, in which deposits are required to be made in accordance with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or 8.02(c).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“Cash Collateralize” has the meaning specified in </w:t>
      </w:r>
      <w:r>
        <w:rPr>
          <w:rFonts w:ascii="Arial" w:cs="Arial" w:eastAsia="Arial" w:hAnsi="Arial"/>
          <w:sz w:val="18"/>
          <w:szCs w:val="18"/>
          <w:u w:val="single" w:color="auto"/>
          <w:color w:val="auto"/>
        </w:rPr>
        <w:t>Section 2.03(f)</w:t>
      </w:r>
      <w:r>
        <w:rPr>
          <w:rFonts w:ascii="Arial" w:cs="Arial" w:eastAsia="Arial" w:hAnsi="Arial"/>
          <w:sz w:val="18"/>
          <w:szCs w:val="18"/>
          <w:color w:val="auto"/>
        </w:rPr>
        <w:t>. Derivatives of such term have corresponding meanings.</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“Cash Dominion Event” means either ([</w:t>
      </w:r>
      <w:r>
        <w:rPr>
          <w:rFonts w:ascii="Arial" w:cs="Arial" w:eastAsia="Arial" w:hAnsi="Arial"/>
          <w:sz w:val="17"/>
          <w:szCs w:val="17"/>
          <w:color w:val="FF0000"/>
          <w:strike w:val="1"/>
        </w:rPr>
        <w:t>i</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the occurrence and continuance of any Event of Default, or ([</w:t>
      </w:r>
      <w:r>
        <w:rPr>
          <w:rFonts w:ascii="Arial" w:cs="Arial" w:eastAsia="Arial" w:hAnsi="Arial"/>
          <w:sz w:val="17"/>
          <w:szCs w:val="17"/>
          <w:color w:val="FF0000"/>
          <w:strike w:val="1"/>
        </w:rPr>
        <w:t>ii</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b</w:t>
      </w:r>
      <w:r>
        <w:rPr>
          <w:rFonts w:ascii="Arial" w:cs="Arial" w:eastAsia="Arial" w:hAnsi="Arial"/>
          <w:sz w:val="17"/>
          <w:szCs w:val="17"/>
          <w:color w:val="auto"/>
        </w:rPr>
        <w:t xml:space="preserve">) the failure of the Borrower at any time to maintain Availability of at least </w:t>
      </w:r>
      <w:r>
        <w:rPr>
          <w:rFonts w:ascii="Arial" w:cs="Arial" w:eastAsia="Arial" w:hAnsi="Arial"/>
          <w:sz w:val="17"/>
          <w:szCs w:val="17"/>
          <w:b w:val="1"/>
          <w:bCs w:val="1"/>
          <w:u w:val="single" w:color="auto"/>
          <w:color w:val="0000FF"/>
        </w:rPr>
        <w:t>the greater of (i)</w:t>
      </w:r>
      <w:r>
        <w:rPr>
          <w:rFonts w:ascii="Arial" w:cs="Arial" w:eastAsia="Arial" w:hAnsi="Arial"/>
          <w:sz w:val="17"/>
          <w:szCs w:val="17"/>
          <w:color w:val="auto"/>
        </w:rPr>
        <w:t xml:space="preserve"> twelve and one-half percent (12.5%) of the Loan Cap </w:t>
      </w:r>
      <w:r>
        <w:rPr>
          <w:rFonts w:ascii="Arial" w:cs="Arial" w:eastAsia="Arial" w:hAnsi="Arial"/>
          <w:sz w:val="17"/>
          <w:szCs w:val="17"/>
          <w:b w:val="1"/>
          <w:bCs w:val="1"/>
          <w:u w:val="single" w:color="auto"/>
          <w:color w:val="0000FF"/>
        </w:rPr>
        <w:t>and $7,500,000, in the case of each of</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clauses (i) and (ii), for three (3</w:t>
      </w:r>
      <w:r>
        <w:rPr>
          <w:rFonts w:ascii="Arial" w:cs="Arial" w:eastAsia="Arial" w:hAnsi="Arial"/>
          <w:sz w:val="17"/>
          <w:szCs w:val="17"/>
          <w:u w:val="single" w:color="auto"/>
          <w:color w:val="00C000"/>
        </w:rPr>
        <w:t>) consecutive Business Days</w:t>
      </w:r>
      <w:r>
        <w:rPr>
          <w:rFonts w:ascii="Arial" w:cs="Arial" w:eastAsia="Arial" w:hAnsi="Arial"/>
          <w:sz w:val="17"/>
          <w:szCs w:val="17"/>
          <w:color w:val="000000"/>
        </w:rPr>
        <w:t>. For purposes of this Agreement, the occurrence of a Cash Dominion Event shall be deemed</w:t>
      </w:r>
      <w:r>
        <w:rPr>
          <w:rFonts w:ascii="Arial" w:cs="Arial" w:eastAsia="Arial" w:hAnsi="Arial"/>
          <w:sz w:val="17"/>
          <w:szCs w:val="17"/>
          <w:b w:val="1"/>
          <w:bCs w:val="1"/>
          <w:color w:val="0000FF"/>
        </w:rPr>
        <w:t xml:space="preserve"> </w:t>
      </w:r>
      <w:r>
        <w:rPr>
          <w:rFonts w:ascii="Arial" w:cs="Arial" w:eastAsia="Arial" w:hAnsi="Arial"/>
          <w:sz w:val="17"/>
          <w:szCs w:val="17"/>
          <w:color w:val="000000"/>
        </w:rPr>
        <w:t>continuing (i) so long as such Event of Default [</w:t>
      </w:r>
      <w:r>
        <w:rPr>
          <w:rFonts w:ascii="Arial" w:cs="Arial" w:eastAsia="Arial" w:hAnsi="Arial"/>
          <w:sz w:val="17"/>
          <w:szCs w:val="17"/>
          <w:color w:val="FF0000"/>
          <w:strike w:val="1"/>
        </w:rPr>
        <w:t>has not been waived</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is continuing</w:t>
      </w:r>
      <w:r>
        <w:rPr>
          <w:rFonts w:ascii="Arial" w:cs="Arial" w:eastAsia="Arial" w:hAnsi="Arial"/>
          <w:sz w:val="17"/>
          <w:szCs w:val="17"/>
          <w:color w:val="000000"/>
        </w:rPr>
        <w:t>, and/or (ii) if the Cash Dominion Event arises as a result of the Borrower’s failure to [</w:t>
      </w:r>
      <w:r>
        <w:rPr>
          <w:rFonts w:ascii="Arial" w:cs="Arial" w:eastAsia="Arial" w:hAnsi="Arial"/>
          <w:sz w:val="17"/>
          <w:szCs w:val="17"/>
          <w:color w:val="FF0000"/>
          <w:strike w:val="1"/>
        </w:rPr>
        <w:t>achieve</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maintain</w:t>
      </w:r>
      <w:r>
        <w:rPr>
          <w:rFonts w:ascii="Arial" w:cs="Arial" w:eastAsia="Arial" w:hAnsi="Arial"/>
          <w:sz w:val="17"/>
          <w:szCs w:val="17"/>
          <w:color w:val="000000"/>
        </w:rPr>
        <w:t xml:space="preserve"> Availability [</w:t>
      </w:r>
      <w:r>
        <w:rPr>
          <w:rFonts w:ascii="Arial" w:cs="Arial" w:eastAsia="Arial" w:hAnsi="Arial"/>
          <w:sz w:val="17"/>
          <w:szCs w:val="17"/>
          <w:color w:val="FF0000"/>
          <w:strike w:val="1"/>
        </w:rPr>
        <w:t>as required hereunder</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under clause (b) of this definition</w:t>
      </w:r>
      <w:r>
        <w:rPr>
          <w:rFonts w:ascii="Arial" w:cs="Arial" w:eastAsia="Arial" w:hAnsi="Arial"/>
          <w:sz w:val="17"/>
          <w:szCs w:val="17"/>
          <w:color w:val="000000"/>
        </w:rPr>
        <w:t>, until Availability has exceeded twelve and one-half percent (12.5%) of the Loan Cap for [</w:t>
      </w:r>
      <w:r>
        <w:rPr>
          <w:rFonts w:ascii="Arial" w:cs="Arial" w:eastAsia="Arial" w:hAnsi="Arial"/>
          <w:sz w:val="17"/>
          <w:szCs w:val="17"/>
          <w:color w:val="FF0000"/>
          <w:strike w:val="1"/>
        </w:rPr>
        <w:t>sixty</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thirty</w:t>
      </w:r>
      <w:r>
        <w:rPr>
          <w:rFonts w:ascii="Arial" w:cs="Arial" w:eastAsia="Arial" w:hAnsi="Arial"/>
          <w:sz w:val="17"/>
          <w:szCs w:val="17"/>
          <w:color w:val="000000"/>
        </w:rPr>
        <w:t xml:space="preserve"> ([</w:t>
      </w:r>
      <w:r>
        <w:rPr>
          <w:rFonts w:ascii="Arial" w:cs="Arial" w:eastAsia="Arial" w:hAnsi="Arial"/>
          <w:sz w:val="17"/>
          <w:szCs w:val="17"/>
          <w:color w:val="FF0000"/>
          <w:strike w:val="1"/>
        </w:rPr>
        <w:t>60</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30</w:t>
      </w:r>
      <w:r>
        <w:rPr>
          <w:rFonts w:ascii="Arial" w:cs="Arial" w:eastAsia="Arial" w:hAnsi="Arial"/>
          <w:sz w:val="17"/>
          <w:szCs w:val="17"/>
          <w:color w:val="000000"/>
        </w:rPr>
        <w:t>) consecutive [</w:t>
      </w:r>
      <w:r>
        <w:rPr>
          <w:rFonts w:ascii="Arial" w:cs="Arial" w:eastAsia="Arial" w:hAnsi="Arial"/>
          <w:sz w:val="17"/>
          <w:szCs w:val="17"/>
          <w:color w:val="FF0000"/>
          <w:strike w:val="1"/>
        </w:rPr>
        <w:t>Business Days</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calendar days</w:t>
      </w:r>
      <w:r>
        <w:rPr>
          <w:rFonts w:ascii="Arial" w:cs="Arial" w:eastAsia="Arial" w:hAnsi="Arial"/>
          <w:sz w:val="17"/>
          <w:szCs w:val="17"/>
          <w:color w:val="000000"/>
        </w:rPr>
        <w:t>, in which case a Cash Dominion Event shall no longer be deemed to be continuing for purposes of this Agreement[</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000000"/>
        </w:rPr>
        <w:t xml:space="preserve"> </w:t>
      </w:r>
      <w:r>
        <w:rPr>
          <w:rFonts w:ascii="Arial" w:cs="Arial" w:eastAsia="Arial" w:hAnsi="Arial"/>
          <w:sz w:val="17"/>
          <w:szCs w:val="17"/>
          <w:color w:val="FF0000"/>
          <w:strike w:val="1"/>
        </w:rPr>
        <w:t>that a Cash Dominion Event shall be deemed continuing (even if an</w:t>
      </w:r>
      <w:r>
        <w:rPr>
          <w:rFonts w:ascii="Arial" w:cs="Arial" w:eastAsia="Arial" w:hAnsi="Arial"/>
          <w:sz w:val="17"/>
          <w:szCs w:val="17"/>
          <w:color w:val="000000"/>
        </w:rPr>
        <w:t xml:space="preserve"> </w:t>
      </w:r>
      <w:r>
        <w:rPr>
          <w:rFonts w:ascii="Arial" w:cs="Arial" w:eastAsia="Arial" w:hAnsi="Arial"/>
          <w:sz w:val="17"/>
          <w:szCs w:val="17"/>
          <w:color w:val="FF0000"/>
          <w:strike w:val="1"/>
        </w:rPr>
        <w:t>Event of Default is no longer continuing and/or Availability exceeds the required amount for sixty (60</w:t>
      </w:r>
      <w:r>
        <w:rPr>
          <w:rFonts w:ascii="Arial" w:cs="Arial" w:eastAsia="Arial" w:hAnsi="Arial"/>
          <w:sz w:val="17"/>
          <w:szCs w:val="17"/>
          <w:color w:val="000000"/>
        </w:rPr>
        <w:t>]</w:t>
      </w:r>
      <w:r>
        <w:rPr>
          <w:rFonts w:ascii="Arial" w:cs="Arial" w:eastAsia="Arial" w:hAnsi="Arial"/>
          <w:sz w:val="17"/>
          <w:szCs w:val="17"/>
          <w:color w:val="00C000"/>
          <w:strike w:val="1"/>
        </w:rPr>
        <w:t>) consecutive Business Days</w:t>
      </w:r>
      <w:r>
        <w:rPr>
          <w:rFonts w:ascii="Arial" w:cs="Arial" w:eastAsia="Arial" w:hAnsi="Arial"/>
          <w:sz w:val="17"/>
          <w:szCs w:val="17"/>
          <w:color w:val="000000"/>
        </w:rPr>
        <w:t>[</w:t>
      </w:r>
      <w:r>
        <w:rPr>
          <w:rFonts w:ascii="Arial" w:cs="Arial" w:eastAsia="Arial" w:hAnsi="Arial"/>
          <w:sz w:val="17"/>
          <w:szCs w:val="17"/>
          <w:color w:val="FF0000"/>
          <w:strike w:val="1"/>
        </w:rPr>
        <w:t>) at all times after a</w:t>
      </w:r>
      <w:r>
        <w:rPr>
          <w:rFonts w:ascii="Arial" w:cs="Arial" w:eastAsia="Arial" w:hAnsi="Arial"/>
          <w:sz w:val="17"/>
          <w:szCs w:val="17"/>
          <w:color w:val="FF0000"/>
        </w:rPr>
        <w:t xml:space="preserve"> </w:t>
      </w:r>
      <w:r>
        <w:rPr>
          <w:rFonts w:ascii="Arial" w:cs="Arial" w:eastAsia="Arial" w:hAnsi="Arial"/>
          <w:sz w:val="17"/>
          <w:szCs w:val="17"/>
          <w:color w:val="FF0000"/>
          <w:strike w:val="1"/>
        </w:rPr>
        <w:t>Cash Dominion Event has occurred and been discontinued on three (3) occasion(s) after the Closing Date</w:t>
      </w:r>
      <w:r>
        <w:rPr>
          <w:rFonts w:ascii="Arial" w:cs="Arial" w:eastAsia="Arial" w:hAnsi="Arial"/>
          <w:sz w:val="17"/>
          <w:szCs w:val="17"/>
          <w:color w:val="000000"/>
        </w:rPr>
        <w:t>]. The termination of a Cash Dominion Event as</w:t>
      </w:r>
      <w:r>
        <w:rPr>
          <w:rFonts w:ascii="Arial" w:cs="Arial" w:eastAsia="Arial" w:hAnsi="Arial"/>
          <w:sz w:val="17"/>
          <w:szCs w:val="17"/>
          <w:color w:val="FF0000"/>
        </w:rPr>
        <w:t xml:space="preserve"> </w:t>
      </w:r>
      <w:r>
        <w:rPr>
          <w:rFonts w:ascii="Arial" w:cs="Arial" w:eastAsia="Arial" w:hAnsi="Arial"/>
          <w:sz w:val="17"/>
          <w:szCs w:val="17"/>
          <w:color w:val="000000"/>
        </w:rPr>
        <w:t>provided herein shall in no way limit, waive or delay the occurrence of a subsequent Cash Dominion Event in the event that the conditions set forth in this definition again arise.</w:t>
      </w:r>
    </w:p>
    <w:p>
      <w:pPr>
        <w:spacing w:after="0" w:line="18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“Cash Management Reserves” means such reserves as the Lender, from time to time, reasonably determines as being appropriate to reflect the reasonably anticipated liabilities and obligations of the Loan Parties with respect to Cash Management Services then provided or outstanding.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Management Services” means any cash management services provided to any Loan Party by the Lender or any of its Affiliates, including, without limitation, (a) ACH transactions, (b) controlled disbursement services, treasury, depository, overdraft, and electronic funds transfer services, (c) credit card processing services, and (d) credit or debit cards.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“CERCLA” means the Comprehensive Environmental Response, Compensation, and Liability Act, 42 U.S.C. § 9601 et seq.</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“CERCLIS” means the Comprehensive Environmental Response, Compensation, and Liability Information</w:t>
      </w:r>
      <w:r>
        <w:rPr>
          <w:rFonts w:ascii="Arial" w:cs="Arial" w:eastAsia="Arial" w:hAnsi="Arial"/>
          <w:sz w:val="18"/>
          <w:szCs w:val="18"/>
          <w:color w:val="auto"/>
        </w:rPr>
        <w:t xml:space="preserve">] </w:t>
      </w:r>
      <w:r>
        <w:rPr>
          <w:rFonts w:ascii="Arial" w:cs="Arial" w:eastAsia="Arial" w:hAnsi="Arial"/>
          <w:sz w:val="18"/>
          <w:szCs w:val="18"/>
          <w:color w:val="00C000"/>
          <w:strike w:val="1"/>
        </w:rPr>
        <w:t>System maintained by the United</w:t>
      </w:r>
      <w:r>
        <w:rPr>
          <w:rFonts w:ascii="Arial" w:cs="Arial" w:eastAsia="Arial" w:hAnsi="Arial"/>
          <w:sz w:val="18"/>
          <w:szCs w:val="18"/>
          <w:color w:val="auto"/>
        </w:rPr>
        <w:t xml:space="preserve"> </w:t>
      </w:r>
      <w:r>
        <w:rPr>
          <w:rFonts w:ascii="Arial" w:cs="Arial" w:eastAsia="Arial" w:hAnsi="Arial"/>
          <w:sz w:val="18"/>
          <w:szCs w:val="18"/>
          <w:color w:val="00C000"/>
          <w:strike w:val="1"/>
        </w:rPr>
        <w:t>States Environmental Protection Agency.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“Change in Law”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means an event or series of events by which:</w:t>
      </w:r>
    </w:p>
    <w:p>
      <w:pPr>
        <w:spacing w:after="0" w:line="225" w:lineRule="exact"/>
        <w:rPr>
          <w:sz w:val="20"/>
          <w:szCs w:val="20"/>
          <w:color w:val="auto"/>
        </w:rPr>
      </w:pPr>
    </w:p>
    <w:p>
      <w:pPr>
        <w:jc w:val="both"/>
        <w:ind w:left="660" w:firstLine="644"/>
        <w:spacing w:after="0" w:line="271" w:lineRule="auto"/>
        <w:tabs>
          <w:tab w:leader="none" w:pos="22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Securities Exchange Act of 1934, but excluding any employee benefit plan of such person or its subsidiaries, and excluding any person or entity acting in its capacity as trustee, Lender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7"/>
          <w:szCs w:val="17"/>
          <w:u w:val="single" w:color="auto"/>
          <w:color w:val="auto"/>
        </w:rPr>
        <w:t>option right</w:t>
      </w:r>
      <w:r>
        <w:rPr>
          <w:rFonts w:ascii="Arial" w:cs="Arial" w:eastAsia="Arial" w:hAnsi="Arial"/>
          <w:sz w:val="17"/>
          <w:szCs w:val="17"/>
          <w:color w:val="auto"/>
        </w:rPr>
        <w:t>”)), directly or indirectly, of [</w:t>
      </w:r>
      <w:r>
        <w:rPr>
          <w:rFonts w:ascii="Arial" w:cs="Arial" w:eastAsia="Arial" w:hAnsi="Arial"/>
          <w:sz w:val="17"/>
          <w:szCs w:val="17"/>
          <w:color w:val="FF0000"/>
          <w:strike w:val="1"/>
        </w:rPr>
        <w:t>twenty</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thirty</w:t>
      </w:r>
      <w:r>
        <w:rPr>
          <w:rFonts w:ascii="Arial" w:cs="Arial" w:eastAsia="Arial" w:hAnsi="Arial"/>
          <w:sz w:val="17"/>
          <w:szCs w:val="17"/>
          <w:color w:val="auto"/>
        </w:rPr>
        <w:t>-five percent ([</w:t>
      </w:r>
      <w:r>
        <w:rPr>
          <w:rFonts w:ascii="Arial" w:cs="Arial" w:eastAsia="Arial" w:hAnsi="Arial"/>
          <w:sz w:val="17"/>
          <w:szCs w:val="17"/>
          <w:color w:val="FF0000"/>
          <w:strike w:val="1"/>
        </w:rPr>
        <w:t>25</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35</w:t>
      </w:r>
      <w:r>
        <w:rPr>
          <w:rFonts w:ascii="Arial" w:cs="Arial" w:eastAsia="Arial" w:hAnsi="Arial"/>
          <w:sz w:val="17"/>
          <w:szCs w:val="17"/>
          <w:color w:val="auto"/>
        </w:rPr>
        <w:t>%) or more of the Equity Interests of the Borrower entitled to vote for members of the board of directors or equivalent governing body of the Borrower on a fully-diluted basis (and taking into account all such Equity Interests that such “person” or “group” has the right to acquire pursuant to any option right); or</w:t>
      </w:r>
    </w:p>
    <w:p>
      <w:pPr>
        <w:spacing w:after="0" w:line="178" w:lineRule="exact"/>
        <w:rPr>
          <w:rFonts w:ascii="Arial" w:cs="Arial" w:eastAsia="Arial" w:hAnsi="Arial"/>
          <w:sz w:val="17"/>
          <w:szCs w:val="17"/>
          <w:color w:val="auto"/>
        </w:rPr>
      </w:pPr>
    </w:p>
    <w:p>
      <w:pPr>
        <w:jc w:val="both"/>
        <w:ind w:left="660" w:firstLine="644"/>
        <w:spacing w:after="0" w:line="272" w:lineRule="auto"/>
        <w:tabs>
          <w:tab w:leader="none" w:pos="1914" w:val="left"/>
        </w:tabs>
        <w:numPr>
          <w:ilvl w:val="0"/>
          <w:numId w:val="14"/>
        </w:numPr>
        <w:rPr>
          <w:rFonts w:ascii="Arial" w:cs="Arial" w:eastAsia="Arial" w:hAnsi="Arial"/>
          <w:sz w:val="17"/>
          <w:szCs w:val="17"/>
          <w:color w:val="FF0000"/>
        </w:rPr>
      </w:pPr>
      <w:r>
        <w:rPr>
          <w:rFonts w:ascii="Arial" w:cs="Arial" w:eastAsia="Arial" w:hAnsi="Arial"/>
          <w:sz w:val="17"/>
          <w:szCs w:val="17"/>
          <w:color w:val="auto"/>
        </w:rPr>
        <w:t>[</w:t>
      </w:r>
      <w:r>
        <w:rPr>
          <w:rFonts w:ascii="Arial" w:cs="Arial" w:eastAsia="Arial" w:hAnsi="Arial"/>
          <w:sz w:val="17"/>
          <w:szCs w:val="17"/>
          <w:color w:val="FF0000"/>
          <w:strike w:val="1"/>
        </w:rPr>
        <w:t>during any period of twelve (12) consecutive months, a majority of the members of the board of directors or other equivalent</w:t>
      </w:r>
      <w:r>
        <w:rPr>
          <w:rFonts w:ascii="Arial" w:cs="Arial" w:eastAsia="Arial" w:hAnsi="Arial"/>
          <w:sz w:val="17"/>
          <w:szCs w:val="17"/>
          <w:color w:val="auto"/>
        </w:rPr>
        <w:t xml:space="preserve"> </w:t>
      </w:r>
      <w:r>
        <w:rPr>
          <w:rFonts w:ascii="Arial" w:cs="Arial" w:eastAsia="Arial" w:hAnsi="Arial"/>
          <w:sz w:val="17"/>
          <w:szCs w:val="17"/>
          <w:color w:val="FF0000"/>
          <w:strike w:val="1"/>
        </w:rPr>
        <w:t>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the members of that board or equivalent governing body then continuing to serve thereon or (iii) whose election or nomination to that board or other equivalent governing body was approved by individuals referred to in clauses (i) and (ii) above constituting at the time of such election or nomination at least a majority of the members of that board or equivalent governing body then continuing to serve thereon; or</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-906145</wp:posOffset>
            </wp:positionV>
            <wp:extent cx="3848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4810" cy="8890"/>
                    </a:xfrm>
                    <a:prstGeom prst="rect">
                      <a:avLst/>
                    </a:prstGeom>
                    <a:noFill/>
                  </pic:spPr>
                </pic:pic>
              </a:graphicData>
            </a:graphic>
          </wp:anchor>
        </w:drawing>
      </w:r>
    </w:p>
    <w:p>
      <w:pPr>
        <w:spacing w:after="0" w:line="157" w:lineRule="exact"/>
        <w:rPr>
          <w:sz w:val="20"/>
          <w:szCs w:val="20"/>
          <w:color w:val="auto"/>
        </w:rPr>
      </w:pPr>
    </w:p>
    <w:p>
      <w:pPr>
        <w:ind w:left="2180" w:hanging="876"/>
        <w:spacing w:after="0"/>
        <w:tabs>
          <w:tab w:leader="none" w:pos="2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 in control” in any document governing Material Indebtedness of any Loan Party; or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1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Borrower fails at any time to own, directly or indirectly, one hundred percent (100%) of the Equity Interests of each other Loan Party free and clear of all Liens (other than [</w:t>
      </w:r>
      <w:r>
        <w:rPr>
          <w:rFonts w:ascii="Arial" w:cs="Arial" w:eastAsia="Arial" w:hAnsi="Arial"/>
          <w:sz w:val="18"/>
          <w:szCs w:val="18"/>
          <w:color w:val="FF0000"/>
          <w:strike w:val="1"/>
        </w:rPr>
        <w:t>the</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Permitted</w:t>
      </w:r>
      <w:r>
        <w:rPr>
          <w:rFonts w:ascii="Arial" w:cs="Arial" w:eastAsia="Arial" w:hAnsi="Arial"/>
          <w:sz w:val="18"/>
          <w:szCs w:val="18"/>
          <w:color w:val="auto"/>
        </w:rPr>
        <w:t xml:space="preserve"> Liens[ </w:t>
      </w:r>
      <w:r>
        <w:rPr>
          <w:rFonts w:ascii="Arial" w:cs="Arial" w:eastAsia="Arial" w:hAnsi="Arial"/>
          <w:sz w:val="18"/>
          <w:szCs w:val="18"/>
          <w:color w:val="FF0000"/>
        </w:rPr>
        <w:t>in favor of the Lender</w:t>
      </w:r>
      <w:r>
        <w:rPr>
          <w:rFonts w:ascii="Arial" w:cs="Arial" w:eastAsia="Arial" w:hAnsi="Arial"/>
          <w:sz w:val="18"/>
          <w:szCs w:val="18"/>
          <w:color w:val="auto"/>
        </w:rPr>
        <w:t>]), except where such failure is as a result of a transaction permitted by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-216535</wp:posOffset>
            </wp:positionV>
            <wp:extent cx="10909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“Closing Date” means October 27,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means the Internal Revenue Code of 1986, and the regulations promulgated thereunder, as amended and in effect.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“Collateral” means any and all “Collateral” as defined in any applicable Security Document and all other property that is or is intended under the terms of the Security Documents to be subject to Liens in favor of the Lender.</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“Collateral Access Agreement” means an agreement reasonably satisfactory in form and substance to the Lender executed (to the extent required by this Agreement) by (a) a bailee</w:t>
      </w:r>
      <w:r>
        <w:rPr>
          <w:rFonts w:ascii="Arial" w:cs="Arial" w:eastAsia="Arial" w:hAnsi="Arial"/>
          <w:sz w:val="16"/>
          <w:szCs w:val="16"/>
          <w:b w:val="1"/>
          <w:bCs w:val="1"/>
          <w:u w:val="single" w:color="auto"/>
          <w:color w:val="0000FF"/>
        </w:rPr>
        <w:t>, vendor</w:t>
      </w:r>
      <w:r>
        <w:rPr>
          <w:rFonts w:ascii="Arial" w:cs="Arial" w:eastAsia="Arial" w:hAnsi="Arial"/>
          <w:sz w:val="16"/>
          <w:szCs w:val="16"/>
          <w:color w:val="auto"/>
        </w:rPr>
        <w:t xml:space="preserve"> or other Person in possession of Collateral, [</w:t>
      </w:r>
      <w:r>
        <w:rPr>
          <w:rFonts w:ascii="Arial" w:cs="Arial" w:eastAsia="Arial" w:hAnsi="Arial"/>
          <w:sz w:val="16"/>
          <w:szCs w:val="16"/>
          <w:color w:val="FF0000"/>
          <w:strike w:val="1"/>
        </w:rPr>
        <w:t>and</w:t>
      </w:r>
      <w:r>
        <w:rPr>
          <w:rFonts w:ascii="Arial" w:cs="Arial" w:eastAsia="Arial" w:hAnsi="Arial"/>
          <w:sz w:val="16"/>
          <w:szCs w:val="16"/>
          <w:color w:val="auto"/>
        </w:rPr>
        <w:t xml:space="preserve"> ](b) a landlord of Real Estate leased by any Loan Party, </w:t>
      </w:r>
      <w:r>
        <w:rPr>
          <w:rFonts w:ascii="Arial" w:cs="Arial" w:eastAsia="Arial" w:hAnsi="Arial"/>
          <w:sz w:val="16"/>
          <w:szCs w:val="16"/>
          <w:b w:val="1"/>
          <w:bCs w:val="1"/>
          <w:u w:val="single" w:color="auto"/>
          <w:color w:val="0000FF"/>
        </w:rPr>
        <w:t>and in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the case of (a) and (b),</w:t>
      </w:r>
      <w:r>
        <w:rPr>
          <w:rFonts w:ascii="Arial" w:cs="Arial" w:eastAsia="Arial" w:hAnsi="Arial"/>
          <w:sz w:val="16"/>
          <w:szCs w:val="16"/>
          <w:b w:val="1"/>
          <w:bCs w:val="1"/>
          <w:color w:val="0000FF"/>
        </w:rPr>
        <w:t xml:space="preserve"> </w:t>
      </w:r>
      <w:r>
        <w:rPr>
          <w:rFonts w:ascii="Arial" w:cs="Arial" w:eastAsia="Arial" w:hAnsi="Arial"/>
          <w:sz w:val="16"/>
          <w:szCs w:val="16"/>
          <w:color w:val="000000"/>
        </w:rPr>
        <w:t>pursuant to which such</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bailee, vendor, landlord or other</w:t>
      </w:r>
      <w:r>
        <w:rPr>
          <w:rFonts w:ascii="Arial" w:cs="Arial" w:eastAsia="Arial" w:hAnsi="Arial"/>
          <w:sz w:val="16"/>
          <w:szCs w:val="16"/>
          <w:b w:val="1"/>
          <w:bCs w:val="1"/>
          <w:color w:val="0000FF"/>
        </w:rPr>
        <w:t xml:space="preserve"> </w:t>
      </w:r>
      <w:r>
        <w:rPr>
          <w:rFonts w:ascii="Arial" w:cs="Arial" w:eastAsia="Arial" w:hAnsi="Arial"/>
          <w:sz w:val="16"/>
          <w:szCs w:val="16"/>
          <w:color w:val="000000"/>
        </w:rPr>
        <w:t>Person (i) acknowledges the Lender’s Lien on the Collateral, (ii)</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releases or subordinates such Person’s Liens in the Collateral held by such Person or located on such Real Estate, (iii) provides the Lender with access to the Collateral held by such bailee or other Person or located in or on such Real Estate, (iv) as to any landlord, provides the Lender with a reasonable time to sell and dispose of the Collateral from such Real Estate, and (v) makes such other agreements with the Lender as the Lender may reasonably require </w:t>
      </w:r>
      <w:r>
        <w:rPr>
          <w:rFonts w:ascii="Arial" w:cs="Arial" w:eastAsia="Arial" w:hAnsi="Arial"/>
          <w:sz w:val="16"/>
          <w:szCs w:val="16"/>
          <w:b w:val="1"/>
          <w:bCs w:val="1"/>
          <w:u w:val="single" w:color="auto"/>
          <w:color w:val="0000FF"/>
        </w:rPr>
        <w:t>and</w:t>
      </w:r>
    </w:p>
    <w:p>
      <w:pPr>
        <w:spacing w:after="0" w:line="4" w:lineRule="exact"/>
        <w:rPr>
          <w:sz w:val="20"/>
          <w:szCs w:val="20"/>
          <w:color w:val="auto"/>
        </w:rPr>
      </w:pPr>
    </w:p>
    <w:p>
      <w:pPr>
        <w:jc w:val="both"/>
        <w:ind w:right="20" w:firstLine="8"/>
        <w:spacing w:after="0" w:line="277" w:lineRule="auto"/>
        <w:tabs>
          <w:tab w:leader="none" w:pos="257" w:val="left"/>
        </w:tabs>
        <w:numPr>
          <w:ilvl w:val="0"/>
          <w:numId w:val="16"/>
        </w:numPr>
        <w:rPr>
          <w:rFonts w:ascii="Arial" w:cs="Arial" w:eastAsia="Arial" w:hAnsi="Arial"/>
          <w:sz w:val="17"/>
          <w:szCs w:val="17"/>
          <w:b w:val="1"/>
          <w:bCs w:val="1"/>
          <w:u w:val="single" w:color="auto"/>
          <w:color w:val="0000FF"/>
        </w:rPr>
      </w:pPr>
      <w:r>
        <w:rPr>
          <w:rFonts w:ascii="Arial" w:cs="Arial" w:eastAsia="Arial" w:hAnsi="Arial"/>
          <w:sz w:val="17"/>
          <w:szCs w:val="17"/>
          <w:b w:val="1"/>
          <w:bCs w:val="1"/>
          <w:u w:val="single" w:color="auto"/>
          <w:color w:val="0000FF"/>
        </w:rPr>
        <w:t>a mortgagee with respect to any Real Estate owned by any Loan Party, pursuant to which such Person (i) agrees to provide the Lender with access to the Collateral located in or on such Real Estate, (ii) agrees to provide the Lender with a reasonable time to sell and dispose of the Collateral from such Real Estate, and (iii) makes such other agreements with the Lender as the Lender may reasonably require</w:t>
      </w:r>
      <w:r>
        <w:rPr>
          <w:rFonts w:ascii="Arial" w:cs="Arial" w:eastAsia="Arial" w:hAnsi="Arial"/>
          <w:sz w:val="17"/>
          <w:szCs w:val="17"/>
          <w:color w:val="000000"/>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“Collection Account” has the meaning provided in </w:t>
      </w:r>
      <w:r>
        <w:rPr>
          <w:rFonts w:ascii="Arial" w:cs="Arial" w:eastAsia="Arial" w:hAnsi="Arial"/>
          <w:sz w:val="18"/>
          <w:szCs w:val="18"/>
          <w:u w:val="single" w:color="auto"/>
          <w:color w:val="auto"/>
        </w:rPr>
        <w:t>Section 6.12(c).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“Commercial Letter of Credit” means any letter of credit or similar instrument (including, without limitation, Bankers’ Acceptances) issued for the purpose of providing the primary payment mechanism in connection with the purchase of any materials, goods or services by a Loan Party in the ordinary course of business of such Loan Party.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“Commitment” means, as to the Lender, its obligation to (a) make Committed Loans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(b) issue Letters of Credit, in an aggregate principal amount at any one time outstanding not to exceed $[</w:t>
      </w:r>
      <w:r>
        <w:rPr>
          <w:rFonts w:ascii="Arial" w:cs="Arial" w:eastAsia="Arial" w:hAnsi="Arial"/>
          <w:sz w:val="18"/>
          <w:szCs w:val="18"/>
          <w:color w:val="FF0000"/>
          <w:strike w:val="1"/>
        </w:rPr>
        <w:t>50,000,000</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75,000,000</w:t>
      </w:r>
      <w:r>
        <w:rPr>
          <w:rFonts w:ascii="Arial" w:cs="Arial" w:eastAsia="Arial" w:hAnsi="Arial"/>
          <w:sz w:val="18"/>
          <w:szCs w:val="18"/>
          <w:color w:val="auto"/>
        </w:rPr>
        <w:t>, as such amount may be adjusted from time to time in accordance with this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“Commitment Fee Percentage” means one-[</w:t>
      </w:r>
      <w:r>
        <w:rPr>
          <w:rFonts w:ascii="Arial" w:cs="Arial" w:eastAsia="Arial" w:hAnsi="Arial"/>
          <w:sz w:val="18"/>
          <w:szCs w:val="18"/>
          <w:color w:val="FF0000"/>
          <w:strike w:val="1"/>
        </w:rPr>
        <w:t>fourth</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fifth</w:t>
      </w:r>
      <w:r>
        <w:rPr>
          <w:rFonts w:ascii="Arial" w:cs="Arial" w:eastAsia="Arial" w:hAnsi="Arial"/>
          <w:sz w:val="18"/>
          <w:szCs w:val="18"/>
          <w:color w:val="auto"/>
        </w:rPr>
        <w:t xml:space="preserve"> of one percent ([</w:t>
      </w:r>
      <w:r>
        <w:rPr>
          <w:rFonts w:ascii="Arial" w:cs="Arial" w:eastAsia="Arial" w:hAnsi="Arial"/>
          <w:sz w:val="18"/>
          <w:szCs w:val="18"/>
          <w:color w:val="FF0000"/>
          <w:strike w:val="1"/>
        </w:rPr>
        <w:t>0.25</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0.20</w:t>
      </w:r>
      <w:r>
        <w:rPr>
          <w:rFonts w:ascii="Arial" w:cs="Arial" w:eastAsia="Arial" w:hAnsi="Arial"/>
          <w:sz w:val="18"/>
          <w:szCs w:val="18"/>
          <w:color w:val="auto"/>
        </w:rPr>
        <w:t>%) per annum.</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“Committed Borrowing” means a borrowing consisting of simultaneous Committed Loans of the same Type and, in the case of Eurodollar Rate Loans, having the same Interest Period made by the Lender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“Committed Loan”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“Committed Loan Notice” means a notice of (a) a Committed Borrowing, (b) a Conversion of Committed Loans from one Type to the other, or (c) a continuation of Eurodollar Rate Loans, pursuant to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Lender, including any form on an electronic platform or electronic transmission system as shall be approved by the Lender, appropriately completed and signed by a Responsible Officer of the Borrower.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“Commodity Exchange Act” means the Commodity Exchange Act (7 U.S.C. § 1 et seq.).</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“Compliance Certificate”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“Connection Income Taxes”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“Consolidated” means, when used to modify a financial term, test, statement, or report of a Person, the application or preparation of such term, test, statement or report (as applicable) based upon the consolidation, in accordance with GAAP, of the financial condition or operating results of such Person and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w:t>
      </w:r>
    </w:p>
    <w:p>
      <w:pPr>
        <w:spacing w:after="0" w:line="1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“Consolidated EBITDA” means, at any date of determination, an amount equal to Consolidated Net Income of the Borrower and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on a Consolidated basis for the most recently completed Measurement Period, plus </w:t>
      </w:r>
      <w:r>
        <w:rPr>
          <w:rFonts w:ascii="Arial" w:cs="Arial" w:eastAsia="Arial" w:hAnsi="Arial"/>
          <w:sz w:val="16"/>
          <w:szCs w:val="16"/>
          <w:b w:val="1"/>
          <w:bCs w:val="1"/>
          <w:u w:val="single" w:color="auto"/>
          <w:color w:val="0000FF"/>
        </w:rPr>
        <w:t>without duplication</w:t>
      </w:r>
      <w:r>
        <w:rPr>
          <w:rFonts w:ascii="Arial" w:cs="Arial" w:eastAsia="Arial" w:hAnsi="Arial"/>
          <w:sz w:val="16"/>
          <w:szCs w:val="16"/>
          <w:color w:val="auto"/>
        </w:rPr>
        <w:t xml:space="preserve"> (a) the following to the extent deducted [</w:t>
      </w:r>
      <w:r>
        <w:rPr>
          <w:rFonts w:ascii="Arial" w:cs="Arial" w:eastAsia="Arial" w:hAnsi="Arial"/>
          <w:sz w:val="16"/>
          <w:szCs w:val="16"/>
          <w:color w:val="FF0000"/>
          <w:strike w:val="1"/>
        </w:rPr>
        <w:t>in calculating</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from, reducing or excluded from the calculation of</w:t>
      </w:r>
      <w:r>
        <w:rPr>
          <w:rFonts w:ascii="Arial" w:cs="Arial" w:eastAsia="Arial" w:hAnsi="Arial"/>
          <w:sz w:val="16"/>
          <w:szCs w:val="16"/>
          <w:color w:val="auto"/>
        </w:rPr>
        <w:t xml:space="preserve"> such Consolidated Net Income: (i) Consolidated Interest Charges, (ii) the provision for federal, state, local and foreign income [</w:t>
      </w:r>
      <w:r>
        <w:rPr>
          <w:rFonts w:ascii="Arial" w:cs="Arial" w:eastAsia="Arial" w:hAnsi="Arial"/>
          <w:sz w:val="16"/>
          <w:szCs w:val="16"/>
          <w:color w:val="FF0000"/>
          <w:strike w:val="1"/>
        </w:rPr>
        <w:t>Taxes</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taxes</w:t>
      </w:r>
      <w:r>
        <w:rPr>
          <w:rFonts w:ascii="Arial" w:cs="Arial" w:eastAsia="Arial" w:hAnsi="Arial"/>
          <w:sz w:val="16"/>
          <w:szCs w:val="16"/>
          <w:color w:val="auto"/>
        </w:rPr>
        <w:t>, (iii) depreciation and amortization expense, (iv) asset impairment expense, loss on disposal of property and equipment, stock-based compensation expense, and other expenses reducing such Consolidated Net Income, in each case which do not represent a cash item in such period or any future period (in each case of or by the Borrower and its Subsidiaries for such Measurement Period</w:t>
      </w:r>
      <w:r>
        <w:rPr>
          <w:rFonts w:ascii="Arial" w:cs="Arial" w:eastAsia="Arial" w:hAnsi="Arial"/>
          <w:sz w:val="16"/>
          <w:szCs w:val="16"/>
          <w:b w:val="1"/>
          <w:bCs w:val="1"/>
          <w:u w:val="single" w:color="auto"/>
          <w:color w:val="0000FF"/>
        </w:rPr>
        <w:t>, (v</w:t>
      </w:r>
      <w:r>
        <w:rPr>
          <w:rFonts w:ascii="Arial" w:cs="Arial" w:eastAsia="Arial" w:hAnsi="Arial"/>
          <w:sz w:val="16"/>
          <w:szCs w:val="16"/>
          <w:color w:val="auto"/>
        </w:rPr>
        <w:t>)[</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any expenses, fees, charges or losses (other than depreciation and amortization expenses) related to any equity offering or issuance, Investment, acquisition, Disposition, conveyance, refinancing or recapitalization permitted hereunder or the incurrence of Indebtedness permitted to be incurred hereunder (in each case, including any such transaction undertaken but not completed and/or not successful), in each case, excluding expenses, fees, or charges described in clause (vi) of this definition, (vi) any expenses, fees, or charges related to the closing of the transactions under the Loan Documents and any amendment or other modification of the Loans, (vii) to the extent not already included in the Consolidated Net Income, (A) any expenses and charges that are reimbursed by indemnification or other reimbursement provisions in connection with any investment or any sale, conveyance, transfer or other Disposition of assets permitted hereunder and (B) to the extent covered by insurance and actually reimbursed, or, so long as the Borrower has made a determination that there exists reasonable evidence that such amount will in fact be reimbursed by the insurer and only to the extent that such amount is (x) not denied by the applicable carrier in writing within 180 days and (y) in fact reimbursed within 365 days of the date of such evidence (with a deduction for any amount so added back to the extent not so reimbursed within such 365 days), expenses with respect to liability or casualty events or business interruption, (viii) expenses related to the pre-opening, opening or closing of stores for such Measurement Period, and (ix) expenses related to the renovation of stores for such Measurement Period; provided that the aggregate amount of add-backs pursuant to clauses, (v), (viii) and (ix) of this definition shall not exceed not to exceed 15% of Consolidated EBITDA (calculated prior to such add-backs) in any Measurement Period;</w:t>
      </w:r>
      <w:r>
        <w:rPr>
          <w:rFonts w:ascii="Arial" w:cs="Arial" w:eastAsia="Arial" w:hAnsi="Arial"/>
          <w:sz w:val="16"/>
          <w:szCs w:val="16"/>
          <w:b w:val="1"/>
          <w:bCs w:val="1"/>
          <w:color w:val="0000FF"/>
        </w:rPr>
        <w:t xml:space="preserve"> </w:t>
      </w:r>
      <w:r>
        <w:rPr>
          <w:rFonts w:ascii="Arial" w:cs="Arial" w:eastAsia="Arial" w:hAnsi="Arial"/>
          <w:sz w:val="16"/>
          <w:szCs w:val="16"/>
          <w:color w:val="000000"/>
        </w:rPr>
        <w:t>minus (b) the following to the extent included in calculating</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such Consolidated Net Income: (i) federal, state, local and foreign income tax credits and (ii) all non-cash items increasing Consolidated Net Income (in each case of or by Borrower and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000000"/>
        </w:rPr>
        <w:t xml:space="preserve"> Subsidiaries for such Measurement Period), all as determined on a Consolidated basis in accordance with GAAP.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Fixed Charge Coverage Ratio” means, at any date of determination, the ratio of (a) (i) Consolidated EBITDA for such period minus</w:t>
      </w:r>
    </w:p>
    <w:p>
      <w:pPr>
        <w:spacing w:after="0" w:line="46" w:lineRule="exact"/>
        <w:rPr>
          <w:sz w:val="20"/>
          <w:szCs w:val="20"/>
          <w:color w:val="auto"/>
        </w:rPr>
      </w:pPr>
    </w:p>
    <w:p>
      <w:pPr>
        <w:jc w:val="both"/>
        <w:ind w:firstLine="8"/>
        <w:spacing w:after="0" w:line="295" w:lineRule="auto"/>
        <w:tabs>
          <w:tab w:leader="none" w:pos="265"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0000FF"/>
        </w:rPr>
        <w:t>unfinanced portion of</w:t>
      </w:r>
      <w:r>
        <w:rPr>
          <w:rFonts w:ascii="Arial" w:cs="Arial" w:eastAsia="Arial" w:hAnsi="Arial"/>
          <w:sz w:val="16"/>
          <w:szCs w:val="16"/>
          <w:b w:val="1"/>
          <w:bCs w:val="1"/>
          <w:color w:val="0000FF"/>
        </w:rPr>
        <w:t xml:space="preserve"> </w:t>
      </w:r>
      <w:r>
        <w:rPr>
          <w:rFonts w:ascii="Arial" w:cs="Arial" w:eastAsia="Arial" w:hAnsi="Arial"/>
          <w:sz w:val="16"/>
          <w:szCs w:val="16"/>
          <w:color w:val="000000"/>
        </w:rPr>
        <w:t>Capital Expenditures made during such period, minus (iii) the aggregate amount of federal, state, local and foreign income taxes</w:t>
      </w:r>
      <w:r>
        <w:rPr>
          <w:rFonts w:ascii="Arial" w:cs="Arial" w:eastAsia="Arial" w:hAnsi="Arial"/>
          <w:sz w:val="16"/>
          <w:szCs w:val="16"/>
          <w:b w:val="1"/>
          <w:bCs w:val="1"/>
          <w:color w:val="0000FF"/>
        </w:rPr>
        <w:t xml:space="preserve"> </w:t>
      </w:r>
      <w:r>
        <w:rPr>
          <w:rFonts w:ascii="Arial" w:cs="Arial" w:eastAsia="Arial" w:hAnsi="Arial"/>
          <w:sz w:val="16"/>
          <w:szCs w:val="16"/>
          <w:color w:val="000000"/>
        </w:rPr>
        <w:t>paid in cash during such period (but not less than zero) to (b) the sum of (i) Debt Service Charges plus (ii) the aggregate amount of all Restricted Payments, in each case, of or by Borrower and its [</w:t>
      </w:r>
      <w:r>
        <w:rPr>
          <w:rFonts w:ascii="Arial" w:cs="Arial" w:eastAsia="Arial" w:hAnsi="Arial"/>
          <w:sz w:val="16"/>
          <w:szCs w:val="16"/>
          <w:color w:val="FF0000"/>
          <w:strike w:val="1"/>
        </w:rPr>
        <w:t>Subsidiaries</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Restricted Subsidiaries (other than to the Borrower or any of its Restricted Subsidiaries)</w:t>
      </w:r>
      <w:r>
        <w:rPr>
          <w:rFonts w:ascii="Arial" w:cs="Arial" w:eastAsia="Arial" w:hAnsi="Arial"/>
          <w:sz w:val="16"/>
          <w:szCs w:val="16"/>
          <w:color w:val="000000"/>
        </w:rPr>
        <w:t xml:space="preserve"> for the most recently completed Measurement Period, all as determined on a Consolidated basis in accordance with GAAP.</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“Consolidated Interest Charges”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including, without limitation, all commissions, discounts and other fees and charges owed with respect to letters of credit and bankers’ acceptance financing and net costs under Swap Contracts and (b) the portion of rent expense with respect to such period under Capital Lease Obligations that is treated as interest in accordance with GAAP, in each case of or by the Borrower and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for the most recently completed Measurement Period, all as determined on a Consolidated basis in accordance with GAAP[</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 but without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duplication of items already excluded under GAAP: (a) amortization of deferred financing costs, debt issuance costs, commissions, fees and expenses, (b) any expenses resulting from discounting of Indebtedness in connection with the application of recapitalization accounting or purchase accounting, (c) penalties or interest related to taxes and any other amounts of non-cash interest resulting from the effects of acquisition method accounting or pushdown accounting, (d) the accretion or accrual of, or accrued interest on, discounted liabilities (other than accretion of discount on Indebtedness) during such period, (e) non-cash interest expense attributable to the movement of the mark-to-market valuation of Swap Contracts or other derivative instruments, (f) any one-time cash costs associated with breakage in respect of Swap Obligations, and (g) expensing of bridge, arrangement, structuring, commitment or other financing fees</w:t>
      </w:r>
      <w:r>
        <w:rPr>
          <w:rFonts w:ascii="Arial" w:cs="Arial" w:eastAsia="Arial" w:hAnsi="Arial"/>
          <w:sz w:val="16"/>
          <w:szCs w:val="16"/>
          <w:color w:val="000000"/>
        </w:rPr>
        <w:t>.</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“Consolidated Net Income” means, as of any date of determination, the net income of the Borrower and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for the most recently completed Measurement Period, all as determined on a Consolidated basis in accordance with GAAP, provided, however, that there shall be excluded </w:t>
      </w:r>
      <w:r>
        <w:rPr>
          <w:rFonts w:ascii="Arial" w:cs="Arial" w:eastAsia="Arial" w:hAnsi="Arial"/>
          <w:sz w:val="17"/>
          <w:szCs w:val="17"/>
          <w:b w:val="1"/>
          <w:bCs w:val="1"/>
          <w:u w:val="single" w:color="auto"/>
          <w:color w:val="0000FF"/>
        </w:rPr>
        <w:t>without duplication</w:t>
      </w:r>
      <w:r>
        <w:rPr>
          <w:rFonts w:ascii="Arial" w:cs="Arial" w:eastAsia="Arial" w:hAnsi="Arial"/>
          <w:sz w:val="17"/>
          <w:szCs w:val="17"/>
          <w:color w:val="auto"/>
        </w:rPr>
        <w:t xml:space="preserve"> (a) extraordinary gains and extraordinary losses for such Measurement Period, (b) the income (or loss) of any </w:t>
      </w:r>
      <w:r>
        <w:rPr>
          <w:rFonts w:ascii="Arial" w:cs="Arial" w:eastAsia="Arial" w:hAnsi="Arial"/>
          <w:sz w:val="17"/>
          <w:szCs w:val="17"/>
          <w:b w:val="1"/>
          <w:bCs w:val="1"/>
          <w:u w:val="single" w:color="auto"/>
          <w:color w:val="0000FF"/>
        </w:rPr>
        <w:t>Person that is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not a Restricted</w:t>
      </w:r>
      <w:r>
        <w:rPr>
          <w:rFonts w:ascii="Arial" w:cs="Arial" w:eastAsia="Arial" w:hAnsi="Arial"/>
          <w:sz w:val="17"/>
          <w:szCs w:val="17"/>
          <w:b w:val="1"/>
          <w:bCs w:val="1"/>
          <w:color w:val="0000FF"/>
        </w:rPr>
        <w:t xml:space="preserve"> </w:t>
      </w:r>
      <w:r>
        <w:rPr>
          <w:rFonts w:ascii="Arial" w:cs="Arial" w:eastAsia="Arial" w:hAnsi="Arial"/>
          <w:sz w:val="17"/>
          <w:szCs w:val="17"/>
          <w:color w:val="000000"/>
        </w:rPr>
        <w:t>Subsidiary during such Measurement Period [</w:t>
      </w:r>
      <w:r>
        <w:rPr>
          <w:rFonts w:ascii="Arial" w:cs="Arial" w:eastAsia="Arial" w:hAnsi="Arial"/>
          <w:sz w:val="17"/>
          <w:szCs w:val="17"/>
          <w:color w:val="FF0000"/>
          <w:strike w:val="1"/>
        </w:rPr>
        <w:t>in which any other Person has a joint interest,</w:t>
      </w:r>
      <w:r>
        <w:rPr>
          <w:rFonts w:ascii="Arial" w:cs="Arial" w:eastAsia="Arial" w:hAnsi="Arial"/>
          <w:sz w:val="17"/>
          <w:szCs w:val="17"/>
          <w:b w:val="1"/>
          <w:bCs w:val="1"/>
          <w:color w:val="0000FF"/>
        </w:rPr>
        <w:t xml:space="preserve"> </w:t>
      </w:r>
      <w:r>
        <w:rPr>
          <w:rFonts w:ascii="Arial" w:cs="Arial" w:eastAsia="Arial" w:hAnsi="Arial"/>
          <w:sz w:val="17"/>
          <w:szCs w:val="17"/>
          <w:color w:val="000000"/>
        </w:rPr>
        <w:t>]except to the extent of the amount of cash</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dividends or other distributions actually paid in cash to the Borrower </w:t>
      </w:r>
      <w:r>
        <w:rPr>
          <w:rFonts w:ascii="Arial" w:cs="Arial" w:eastAsia="Arial" w:hAnsi="Arial"/>
          <w:sz w:val="17"/>
          <w:szCs w:val="17"/>
          <w:b w:val="1"/>
          <w:bCs w:val="1"/>
          <w:u w:val="single" w:color="auto"/>
          <w:color w:val="0000FF"/>
        </w:rPr>
        <w:t>or a Restricted Subsidiary</w:t>
      </w:r>
      <w:r>
        <w:rPr>
          <w:rFonts w:ascii="Arial" w:cs="Arial" w:eastAsia="Arial" w:hAnsi="Arial"/>
          <w:sz w:val="17"/>
          <w:szCs w:val="17"/>
          <w:color w:val="000000"/>
        </w:rPr>
        <w:t xml:space="preserve"> during such [</w:t>
      </w:r>
      <w:r>
        <w:rPr>
          <w:rFonts w:ascii="Arial" w:cs="Arial" w:eastAsia="Arial" w:hAnsi="Arial"/>
          <w:sz w:val="17"/>
          <w:szCs w:val="17"/>
          <w:color w:val="FF0000"/>
          <w:strike w:val="1"/>
        </w:rPr>
        <w:t>period</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Measurement Period</w:t>
      </w:r>
      <w:r>
        <w:rPr>
          <w:rFonts w:ascii="Arial" w:cs="Arial" w:eastAsia="Arial" w:hAnsi="Arial"/>
          <w:sz w:val="17"/>
          <w:szCs w:val="17"/>
          <w:color w:val="000000"/>
        </w:rPr>
        <w:t xml:space="preserve">, (c) the income (or loss) of such Subsidiary during such Measurement Period and accrued prior to the date it becomes a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000000"/>
        </w:rPr>
        <w:t xml:space="preserve"> Subsidiary[ </w:t>
      </w:r>
      <w:r>
        <w:rPr>
          <w:rFonts w:ascii="Arial" w:cs="Arial" w:eastAsia="Arial" w:hAnsi="Arial"/>
          <w:sz w:val="17"/>
          <w:szCs w:val="17"/>
          <w:color w:val="FF0000"/>
          <w:strike w:val="1"/>
        </w:rPr>
        <w:t>of the Borrower or</w:t>
      </w:r>
      <w:r>
        <w:rPr>
          <w:rFonts w:ascii="Arial" w:cs="Arial" w:eastAsia="Arial" w:hAnsi="Arial"/>
          <w:sz w:val="17"/>
          <w:szCs w:val="17"/>
          <w:color w:val="000000"/>
        </w:rPr>
        <w:t xml:space="preserve"> </w:t>
      </w:r>
      <w:r>
        <w:rPr>
          <w:rFonts w:ascii="Arial" w:cs="Arial" w:eastAsia="Arial" w:hAnsi="Arial"/>
          <w:sz w:val="17"/>
          <w:szCs w:val="17"/>
          <w:color w:val="FF0000"/>
          <w:strike w:val="1"/>
        </w:rPr>
        <w:t>any of its Subsidiaries</w:t>
      </w:r>
      <w:r>
        <w:rPr>
          <w:rFonts w:ascii="Arial" w:cs="Arial" w:eastAsia="Arial" w:hAnsi="Arial"/>
          <w:sz w:val="17"/>
          <w:szCs w:val="17"/>
          <w:color w:val="000000"/>
        </w:rPr>
        <w:t>] or is merged into or consolidated with Borrower or any of its</w:t>
      </w:r>
      <w:r>
        <w:rPr>
          <w:rFonts w:ascii="Arial" w:cs="Arial" w:eastAsia="Arial" w:hAnsi="Arial"/>
          <w:sz w:val="17"/>
          <w:szCs w:val="17"/>
          <w:color w:val="FF0000"/>
        </w:rPr>
        <w:t xml:space="preserve">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FF0000"/>
        </w:rPr>
        <w:t xml:space="preserve"> </w:t>
      </w:r>
      <w:r>
        <w:rPr>
          <w:rFonts w:ascii="Arial" w:cs="Arial" w:eastAsia="Arial" w:hAnsi="Arial"/>
          <w:sz w:val="17"/>
          <w:szCs w:val="17"/>
          <w:color w:val="000000"/>
        </w:rPr>
        <w:t>Subsidiaries or that Person’s assets are acquired by the</w:t>
      </w:r>
      <w:r>
        <w:rPr>
          <w:rFonts w:ascii="Arial" w:cs="Arial" w:eastAsia="Arial" w:hAnsi="Arial"/>
          <w:sz w:val="17"/>
          <w:szCs w:val="17"/>
          <w:color w:val="FF0000"/>
        </w:rPr>
        <w:t xml:space="preserve"> </w:t>
      </w:r>
      <w:r>
        <w:rPr>
          <w:rFonts w:ascii="Arial" w:cs="Arial" w:eastAsia="Arial" w:hAnsi="Arial"/>
          <w:sz w:val="17"/>
          <w:szCs w:val="17"/>
          <w:color w:val="000000"/>
        </w:rPr>
        <w:t xml:space="preserve">Borrower 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000000"/>
        </w:rPr>
        <w:t xml:space="preserve"> Subsidiaries,[ </w:t>
      </w:r>
      <w:r>
        <w:rPr>
          <w:rFonts w:ascii="Arial" w:cs="Arial" w:eastAsia="Arial" w:hAnsi="Arial"/>
          <w:sz w:val="17"/>
          <w:szCs w:val="17"/>
          <w:color w:val="FF0000"/>
          <w:strike w:val="1"/>
        </w:rPr>
        <w:t>and</w:t>
      </w:r>
      <w:r>
        <w:rPr>
          <w:rFonts w:ascii="Arial" w:cs="Arial" w:eastAsia="Arial" w:hAnsi="Arial"/>
          <w:sz w:val="17"/>
          <w:szCs w:val="17"/>
          <w:color w:val="000000"/>
        </w:rPr>
        <w:t>] (d) the income of any [</w:t>
      </w:r>
      <w:r>
        <w:rPr>
          <w:rFonts w:ascii="Arial" w:cs="Arial" w:eastAsia="Arial" w:hAnsi="Arial"/>
          <w:sz w:val="17"/>
          <w:szCs w:val="17"/>
          <w:color w:val="FF0000"/>
          <w:strike w:val="1"/>
        </w:rPr>
        <w:t>direct or indirect</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Restricted</w:t>
      </w:r>
      <w:r>
        <w:rPr>
          <w:rFonts w:ascii="Arial" w:cs="Arial" w:eastAsia="Arial" w:hAnsi="Arial"/>
          <w:sz w:val="17"/>
          <w:szCs w:val="17"/>
          <w:color w:val="000000"/>
        </w:rPr>
        <w:t xml:space="preserve"> Subsidiary[ </w:t>
      </w:r>
      <w:r>
        <w:rPr>
          <w:rFonts w:ascii="Arial" w:cs="Arial" w:eastAsia="Arial" w:hAnsi="Arial"/>
          <w:sz w:val="17"/>
          <w:szCs w:val="17"/>
          <w:color w:val="FF0000"/>
          <w:strike w:val="1"/>
        </w:rPr>
        <w:t>of Borrower</w:t>
      </w:r>
      <w:r>
        <w:rPr>
          <w:rFonts w:ascii="Arial" w:cs="Arial" w:eastAsia="Arial" w:hAnsi="Arial"/>
          <w:sz w:val="17"/>
          <w:szCs w:val="17"/>
          <w:color w:val="000000"/>
        </w:rPr>
        <w:t xml:space="preserve">] to the extent that the declaration or payment of dividends or similar distributions by that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000000"/>
        </w:rPr>
        <w:t xml:space="preserve"> Subsidiary of that income is not at the time permitted by operation of the terms of its Organization Documents or any agreement, instrument, judgment, decree, order, statute, rule or governmental regulation applicable to that </w:t>
      </w:r>
      <w:r>
        <w:rPr>
          <w:rFonts w:ascii="Arial" w:cs="Arial" w:eastAsia="Arial" w:hAnsi="Arial"/>
          <w:sz w:val="17"/>
          <w:szCs w:val="17"/>
          <w:b w:val="1"/>
          <w:bCs w:val="1"/>
          <w:u w:val="single" w:color="auto"/>
          <w:color w:val="0000FF"/>
        </w:rPr>
        <w:t>Restricted</w:t>
      </w:r>
      <w:r>
        <w:rPr>
          <w:rFonts w:ascii="Arial" w:cs="Arial" w:eastAsia="Arial" w:hAnsi="Arial"/>
          <w:sz w:val="17"/>
          <w:szCs w:val="17"/>
          <w:b w:val="1"/>
          <w:bCs w:val="1"/>
          <w:color w:val="0000FF"/>
        </w:rPr>
        <w:t xml:space="preserve"> </w:t>
      </w:r>
      <w:r>
        <w:rPr>
          <w:rFonts w:ascii="Arial" w:cs="Arial" w:eastAsia="Arial" w:hAnsi="Arial"/>
          <w:sz w:val="17"/>
          <w:szCs w:val="17"/>
          <w:color w:val="000000"/>
        </w:rPr>
        <w:t>Subsidiary, except that the Borrower’s equity in any net loss of any such</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Restricted</w:t>
      </w:r>
      <w:r>
        <w:rPr>
          <w:rFonts w:ascii="Arial" w:cs="Arial" w:eastAsia="Arial" w:hAnsi="Arial"/>
          <w:sz w:val="17"/>
          <w:szCs w:val="17"/>
          <w:b w:val="1"/>
          <w:bCs w:val="1"/>
          <w:color w:val="0000FF"/>
        </w:rPr>
        <w:t xml:space="preserve"> </w:t>
      </w:r>
      <w:r>
        <w:rPr>
          <w:rFonts w:ascii="Arial" w:cs="Arial" w:eastAsia="Arial" w:hAnsi="Arial"/>
          <w:sz w:val="17"/>
          <w:szCs w:val="17"/>
          <w:color w:val="000000"/>
        </w:rPr>
        <w:t>Subsidiary for such Measurement Period shall be included</w:t>
      </w:r>
      <w:r>
        <w:rPr>
          <w:rFonts w:ascii="Arial" w:cs="Arial" w:eastAsia="Arial" w:hAnsi="Arial"/>
          <w:sz w:val="17"/>
          <w:szCs w:val="17"/>
          <w:b w:val="1"/>
          <w:bCs w:val="1"/>
          <w:color w:val="0000FF"/>
        </w:rPr>
        <w:t xml:space="preserve"> </w:t>
      </w:r>
      <w:r>
        <w:rPr>
          <w:rFonts w:ascii="Arial" w:cs="Arial" w:eastAsia="Arial" w:hAnsi="Arial"/>
          <w:sz w:val="17"/>
          <w:szCs w:val="17"/>
          <w:color w:val="000000"/>
        </w:rPr>
        <w:t>in determining Consolidated Net Income</w:t>
      </w:r>
      <w:r>
        <w:rPr>
          <w:rFonts w:ascii="Arial" w:cs="Arial" w:eastAsia="Arial" w:hAnsi="Arial"/>
          <w:sz w:val="17"/>
          <w:szCs w:val="17"/>
          <w:b w:val="1"/>
          <w:bCs w:val="1"/>
          <w:u w:val="single" w:color="auto"/>
          <w:color w:val="0000FF"/>
        </w:rPr>
        <w:t>, (e) any non-cash goodwill or other intangible asset impairment charge or write-off, (f) any non-cash net</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 xml:space="preserve">unrealized gains and losses resulting from Swap Contracts, and (g) any non-cash purchase accounting effects </w:t>
      </w:r>
      <w:r>
        <w:rPr>
          <w:rFonts w:ascii="Arial" w:cs="Arial" w:eastAsia="Arial" w:hAnsi="Arial"/>
          <w:sz w:val="17"/>
          <w:szCs w:val="17"/>
          <w:u w:val="single" w:color="auto"/>
          <w:color w:val="00C000"/>
        </w:rPr>
        <w:t>including, but not limited to,</w:t>
      </w:r>
      <w:r>
        <w:rPr>
          <w:rFonts w:ascii="Arial" w:cs="Arial" w:eastAsia="Arial" w:hAnsi="Arial"/>
          <w:sz w:val="17"/>
          <w:szCs w:val="17"/>
          <w:b w:val="1"/>
          <w:bCs w:val="1"/>
          <w:u w:val="single" w:color="auto"/>
          <w:color w:val="0000FF"/>
        </w:rPr>
        <w:t xml:space="preserve"> effects in connection with deferred rent payments and tenant allowance amortization and adjustments, adjustments to inventory, property and equipment, software and other intangible assets and deferred revenue in component amounts required or permitted by GAAP and related authoritative pronouncements (including the effects of such adjustments pushed down to the Borrower and the Restricted Subsidiaries), as a result of any consummated acquisition, or the amortization or write-off of any amounts thereof (including any write-off of in process research and development)</w:t>
      </w:r>
      <w:r>
        <w:rPr>
          <w:rFonts w:ascii="Arial" w:cs="Arial" w:eastAsia="Arial" w:hAnsi="Arial"/>
          <w:sz w:val="17"/>
          <w:szCs w:val="17"/>
          <w:color w:val="000000"/>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“Contractual Obligation” means, as to any Person, any provision of any agreement, instrument or other undertaking to which such Person is a party or by which it or any of its property is bound.</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“Convert”, “Conversion” and “Converted” each refers to a conversion of Committed Loans of one Type into Committed Loans of the other Type.</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means the lower of cost or market value of Inventory, based upon the Borrower’s accounting practices, known to the Lender, which practices are in effect on the [</w:t>
      </w:r>
      <w:r>
        <w:rPr>
          <w:rFonts w:ascii="Arial" w:cs="Arial" w:eastAsia="Arial" w:hAnsi="Arial"/>
          <w:sz w:val="18"/>
          <w:szCs w:val="18"/>
          <w:color w:val="FF0000"/>
          <w:strike w:val="1"/>
        </w:rPr>
        <w:t>Closing</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Third Amendment Effective</w:t>
      </w:r>
      <w:r>
        <w:rPr>
          <w:rFonts w:ascii="Arial" w:cs="Arial" w:eastAsia="Arial" w:hAnsi="Arial"/>
          <w:sz w:val="18"/>
          <w:szCs w:val="18"/>
          <w:color w:val="auto"/>
        </w:rPr>
        <w:t xml:space="preserve"> Date as such calculated cost is determined from invoices received by the Borrower, the Borrower’s purchase journals or the Borrower’s stock ledger. “Cost” does not include inventory capitalization costs or other non-purchase price charges (such as freight) used in the Borrower’s calculation of cost of goods sold.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“Covenant Compliance Event” means[ </w:t>
      </w:r>
      <w:r>
        <w:rPr>
          <w:rFonts w:ascii="Arial" w:cs="Arial" w:eastAsia="Arial" w:hAnsi="Arial"/>
          <w:sz w:val="16"/>
          <w:szCs w:val="16"/>
          <w:color w:val="FF0000"/>
          <w:strike w:val="1"/>
        </w:rPr>
        <w:t>either (a) that an Event of Default has occurred and is continuing, or (b)</w:t>
      </w:r>
      <w:r>
        <w:rPr>
          <w:rFonts w:ascii="Arial" w:cs="Arial" w:eastAsia="Arial" w:hAnsi="Arial"/>
          <w:sz w:val="16"/>
          <w:szCs w:val="16"/>
          <w:color w:val="auto"/>
        </w:rPr>
        <w:t>] Availability at any time is less than the greater of (i) [</w:t>
      </w:r>
      <w:r>
        <w:rPr>
          <w:rFonts w:ascii="Arial" w:cs="Arial" w:eastAsia="Arial" w:hAnsi="Arial"/>
          <w:sz w:val="16"/>
          <w:szCs w:val="16"/>
          <w:color w:val="FF0000"/>
          <w:strike w:val="1"/>
        </w:rPr>
        <w:t>twelve and one-half</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ten</w:t>
      </w:r>
      <w:r>
        <w:rPr>
          <w:rFonts w:ascii="Arial" w:cs="Arial" w:eastAsia="Arial" w:hAnsi="Arial"/>
          <w:sz w:val="16"/>
          <w:szCs w:val="16"/>
          <w:color w:val="auto"/>
        </w:rPr>
        <w:t xml:space="preserve"> percent ([</w:t>
      </w:r>
      <w:r>
        <w:rPr>
          <w:rFonts w:ascii="Arial" w:cs="Arial" w:eastAsia="Arial" w:hAnsi="Arial"/>
          <w:sz w:val="16"/>
          <w:szCs w:val="16"/>
          <w:color w:val="FF0000"/>
          <w:strike w:val="1"/>
        </w:rPr>
        <w:t>12.5</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10.0</w:t>
      </w:r>
      <w:r>
        <w:rPr>
          <w:rFonts w:ascii="Arial" w:cs="Arial" w:eastAsia="Arial" w:hAnsi="Arial"/>
          <w:sz w:val="16"/>
          <w:szCs w:val="16"/>
          <w:color w:val="auto"/>
        </w:rPr>
        <w:t>%) of the Loan Cap and (ii) $[</w:t>
      </w:r>
      <w:r>
        <w:rPr>
          <w:rFonts w:ascii="Arial" w:cs="Arial" w:eastAsia="Arial" w:hAnsi="Arial"/>
          <w:sz w:val="16"/>
          <w:szCs w:val="16"/>
          <w:color w:val="FF0000"/>
          <w:strike w:val="1"/>
        </w:rPr>
        <w:t>5,000,000</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6,000,000</w:t>
      </w:r>
      <w:r>
        <w:rPr>
          <w:rFonts w:ascii="Arial" w:cs="Arial" w:eastAsia="Arial" w:hAnsi="Arial"/>
          <w:sz w:val="16"/>
          <w:szCs w:val="16"/>
          <w:color w:val="auto"/>
        </w:rPr>
        <w:t>. For purposes hereof, the occurrence of a Covenant Compliance Event shall be deemed continuing [</w:t>
      </w:r>
      <w:r>
        <w:rPr>
          <w:rFonts w:ascii="Arial" w:cs="Arial" w:eastAsia="Arial" w:hAnsi="Arial"/>
          <w:sz w:val="16"/>
          <w:szCs w:val="16"/>
          <w:color w:val="FF0000"/>
          <w:strike w:val="1"/>
        </w:rPr>
        <w:t>(i) so long as such Event of Default has not been waived, and/or (ii) if the Covenant</w:t>
      </w:r>
      <w:r>
        <w:rPr>
          <w:rFonts w:ascii="Arial" w:cs="Arial" w:eastAsia="Arial" w:hAnsi="Arial"/>
          <w:sz w:val="16"/>
          <w:szCs w:val="16"/>
          <w:color w:val="auto"/>
        </w:rPr>
        <w:t xml:space="preserve"> </w:t>
      </w:r>
      <w:r>
        <w:rPr>
          <w:rFonts w:ascii="Arial" w:cs="Arial" w:eastAsia="Arial" w:hAnsi="Arial"/>
          <w:sz w:val="16"/>
          <w:szCs w:val="16"/>
          <w:color w:val="FF0000"/>
          <w:strike w:val="1"/>
        </w:rPr>
        <w:t>Compliance Event arises as a result of the Borrower’s failure to achieve Availability as required hereunder,</w:t>
      </w:r>
      <w:r>
        <w:rPr>
          <w:rFonts w:ascii="Arial" w:cs="Arial" w:eastAsia="Arial" w:hAnsi="Arial"/>
          <w:sz w:val="16"/>
          <w:szCs w:val="16"/>
          <w:color w:val="FF0000"/>
        </w:rPr>
        <w:t xml:space="preserve"> </w:t>
      </w:r>
      <w:r>
        <w:rPr>
          <w:rFonts w:ascii="Arial" w:cs="Arial" w:eastAsia="Arial" w:hAnsi="Arial"/>
          <w:sz w:val="16"/>
          <w:szCs w:val="16"/>
          <w:color w:val="000000"/>
        </w:rPr>
        <w:t>]until Availability has exceeded the greater of</w:t>
      </w:r>
    </w:p>
    <w:p>
      <w:pPr>
        <w:spacing w:after="0" w:line="1" w:lineRule="exact"/>
        <w:rPr>
          <w:sz w:val="20"/>
          <w:szCs w:val="20"/>
          <w:color w:val="auto"/>
        </w:rPr>
      </w:pPr>
    </w:p>
    <w:p>
      <w:pPr>
        <w:jc w:val="both"/>
        <w:ind w:firstLine="8"/>
        <w:spacing w:after="0" w:line="290" w:lineRule="auto"/>
        <w:tabs>
          <w:tab w:leader="none" w:pos="242"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color w:val="FF0000"/>
          <w:strike w:val="1"/>
        </w:rPr>
        <w:t>twelve and one-half</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ten</w:t>
      </w:r>
      <w:r>
        <w:rPr>
          <w:rFonts w:ascii="Arial" w:cs="Arial" w:eastAsia="Arial" w:hAnsi="Arial"/>
          <w:sz w:val="16"/>
          <w:szCs w:val="16"/>
          <w:color w:val="auto"/>
        </w:rPr>
        <w:t xml:space="preserve"> percent ([</w:t>
      </w:r>
      <w:r>
        <w:rPr>
          <w:rFonts w:ascii="Arial" w:cs="Arial" w:eastAsia="Arial" w:hAnsi="Arial"/>
          <w:sz w:val="16"/>
          <w:szCs w:val="16"/>
          <w:color w:val="FF0000"/>
          <w:strike w:val="1"/>
        </w:rPr>
        <w:t>12.5</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10.0</w:t>
      </w:r>
      <w:r>
        <w:rPr>
          <w:rFonts w:ascii="Arial" w:cs="Arial" w:eastAsia="Arial" w:hAnsi="Arial"/>
          <w:sz w:val="16"/>
          <w:szCs w:val="16"/>
          <w:color w:val="auto"/>
        </w:rPr>
        <w:t>%) of the Loan Cap and (ii) $[</w:t>
      </w:r>
      <w:r>
        <w:rPr>
          <w:rFonts w:ascii="Arial" w:cs="Arial" w:eastAsia="Arial" w:hAnsi="Arial"/>
          <w:sz w:val="16"/>
          <w:szCs w:val="16"/>
          <w:color w:val="FF0000"/>
          <w:strike w:val="1"/>
        </w:rPr>
        <w:t>5,000,000</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6,000,000</w:t>
      </w:r>
      <w:r>
        <w:rPr>
          <w:rFonts w:ascii="Arial" w:cs="Arial" w:eastAsia="Arial" w:hAnsi="Arial"/>
          <w:sz w:val="16"/>
          <w:szCs w:val="16"/>
          <w:color w:val="auto"/>
        </w:rPr>
        <w:t xml:space="preserve"> for [</w:t>
      </w:r>
      <w:r>
        <w:rPr>
          <w:rFonts w:ascii="Arial" w:cs="Arial" w:eastAsia="Arial" w:hAnsi="Arial"/>
          <w:sz w:val="16"/>
          <w:szCs w:val="16"/>
          <w:color w:val="FF0000"/>
          <w:strike w:val="1"/>
        </w:rPr>
        <w:t>sixty</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thirty</w:t>
      </w:r>
      <w:r>
        <w:rPr>
          <w:rFonts w:ascii="Arial" w:cs="Arial" w:eastAsia="Arial" w:hAnsi="Arial"/>
          <w:sz w:val="16"/>
          <w:szCs w:val="16"/>
          <w:color w:val="auto"/>
        </w:rPr>
        <w:t xml:space="preserve"> ([</w:t>
      </w:r>
      <w:r>
        <w:rPr>
          <w:rFonts w:ascii="Arial" w:cs="Arial" w:eastAsia="Arial" w:hAnsi="Arial"/>
          <w:sz w:val="16"/>
          <w:szCs w:val="16"/>
          <w:color w:val="FF0000"/>
          <w:strike w:val="1"/>
        </w:rPr>
        <w:t>60</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30</w:t>
      </w:r>
      <w:r>
        <w:rPr>
          <w:rFonts w:ascii="Arial" w:cs="Arial" w:eastAsia="Arial" w:hAnsi="Arial"/>
          <w:sz w:val="16"/>
          <w:szCs w:val="16"/>
          <w:color w:val="auto"/>
        </w:rPr>
        <w:t>) consecutive [</w:t>
      </w:r>
      <w:r>
        <w:rPr>
          <w:rFonts w:ascii="Arial" w:cs="Arial" w:eastAsia="Arial" w:hAnsi="Arial"/>
          <w:sz w:val="16"/>
          <w:szCs w:val="16"/>
          <w:color w:val="FF0000"/>
          <w:strike w:val="1"/>
        </w:rPr>
        <w:t>Business</w:t>
      </w:r>
      <w:r>
        <w:rPr>
          <w:rFonts w:ascii="Arial" w:cs="Arial" w:eastAsia="Arial" w:hAnsi="Arial"/>
          <w:sz w:val="16"/>
          <w:szCs w:val="16"/>
          <w:color w:val="auto"/>
        </w:rPr>
        <w:t xml:space="preserve"> </w:t>
      </w:r>
      <w:r>
        <w:rPr>
          <w:rFonts w:ascii="Arial" w:cs="Arial" w:eastAsia="Arial" w:hAnsi="Arial"/>
          <w:sz w:val="16"/>
          <w:szCs w:val="16"/>
          <w:color w:val="FF0000"/>
          <w:strike w:val="1"/>
        </w:rPr>
        <w:t>Days</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calendar days</w:t>
      </w:r>
      <w:r>
        <w:rPr>
          <w:rFonts w:ascii="Arial" w:cs="Arial" w:eastAsia="Arial" w:hAnsi="Arial"/>
          <w:sz w:val="16"/>
          <w:szCs w:val="16"/>
          <w:color w:val="000000"/>
        </w:rPr>
        <w:t>, in which case a Covenant Compliance Event shall no longer be deemed to be continuing for purposes of this Agreement[</w:t>
      </w:r>
      <w:r>
        <w:rPr>
          <w:rFonts w:ascii="Arial" w:cs="Arial" w:eastAsia="Arial" w:hAnsi="Arial"/>
          <w:sz w:val="16"/>
          <w:szCs w:val="16"/>
          <w:color w:val="FF0000"/>
          <w:strike w:val="1"/>
        </w:rPr>
        <w:t>; provided</w:t>
      </w:r>
      <w:r>
        <w:rPr>
          <w:rFonts w:ascii="Arial" w:cs="Arial" w:eastAsia="Arial" w:hAnsi="Arial"/>
          <w:sz w:val="16"/>
          <w:szCs w:val="16"/>
          <w:color w:val="FF0000"/>
        </w:rPr>
        <w:t xml:space="preserve"> </w:t>
      </w:r>
      <w:r>
        <w:rPr>
          <w:rFonts w:ascii="Arial" w:cs="Arial" w:eastAsia="Arial" w:hAnsi="Arial"/>
          <w:sz w:val="16"/>
          <w:szCs w:val="16"/>
          <w:color w:val="FF0000"/>
          <w:strike w:val="1"/>
        </w:rPr>
        <w:t>that a Covenant Compliance Event shall be deemed continuing (even if an Event of Default is no longer continuing and/or Availability exceeds the required amount for sixty (60) consecutive Business Days) at all times after a Covenant Compliance Event has occurred and been discontinued on three (3) occasion(s) after the Closing Date</w:t>
      </w:r>
      <w:r>
        <w:rPr>
          <w:rFonts w:ascii="Arial" w:cs="Arial" w:eastAsia="Arial" w:hAnsi="Arial"/>
          <w:sz w:val="16"/>
          <w:szCs w:val="16"/>
          <w:color w:val="000000"/>
          <w:strike w:val="1"/>
        </w:rPr>
        <w:t>]. The termination of a Covenant Compliance Event as provided herein shall in no way limit, waive or delay the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occurrence of a subsequent Covenant Compliance Event in the event that the conditions set forth in this definition again arise.</w:t>
      </w:r>
    </w:p>
    <w:p>
      <w:pPr>
        <w:spacing w:after="0" w:line="16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Card Advance Rate” means ninety percent (90%).</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“Credit Card [</w:t>
      </w:r>
      <w:r>
        <w:rPr>
          <w:rFonts w:ascii="Arial" w:cs="Arial" w:eastAsia="Arial" w:hAnsi="Arial"/>
          <w:sz w:val="18"/>
          <w:szCs w:val="18"/>
          <w:color w:val="FF0000"/>
          <w:strike w:val="1"/>
        </w:rPr>
        <w:t>Notifications” has the meaning provided in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Section 6.12(a)(i</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Notification” means a notification substantially in the form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Exhibit F (or such other form reasonably satisfactory to the Lender</w:t>
      </w:r>
      <w:r>
        <w:rPr>
          <w:rFonts w:ascii="Arial" w:cs="Arial" w:eastAsia="Arial" w:hAnsi="Arial"/>
          <w:sz w:val="18"/>
          <w:szCs w:val="18"/>
          <w:color w:val="000000"/>
        </w:rPr>
        <w: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“Credit Card Receivables” means each “payment intangible” (as defined in the UCC) together with all income, payments and proceeds thereof, owed by an Acceptable Credit Card Issuer to a Loan Party resulting from charges by a customer of a Loan Party on credit or debit cards issued by such Acceptable Credit Card Issuer in connection with the sale of goods by a Loan Party, or services performed by a Loan Party, in each case in the ordinary course of its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Extensions” mean each of the following: (a) a Committed Borrowing and (b) an L/C Credit Extension.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“Credit Party” or “Credit Parties” means (a) individually, (i) the Lender and its Affiliates, (ii) the L/C Issuer, (iii) each beneficiary of each indemnification obligation undertaken by any Loan Party under any Loan Document, (iv) any other Person to whom Obligations under this Agreement and other Loan Documents are owing, and (v) the successors and assigns of each of the foregoing, and (b) collectively, all of the foregoing.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“Credit Party Expenses” means (a) all reasonable out-of-pocket expenses incurred by the Lender and its Affiliates, in connection with this Agreement and the other Loan Documents, including without limitation (i) the reasonable fees, charges and disbursements of (A) counsel for the Lender,</w:t>
      </w:r>
    </w:p>
    <w:p>
      <w:pPr>
        <w:jc w:val="both"/>
        <w:ind w:firstLine="8"/>
        <w:spacing w:after="0" w:line="268" w:lineRule="auto"/>
        <w:tabs>
          <w:tab w:leader="none" w:pos="3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outside consultants for the Lender, (C) appraisers, (D) commercial finance examiners, and (E) all such out-of-pocket expenses incurred during any workout, restructuring or negotiations in respect of the Obligations, (ii) in connection with (A) the preparation, negotiation, administration, management, execution and delivery of this Agreement and the other Loan Documents or any amendments, modifications or waivers of the provisions thereof (whether or not the transactions contemplated hereby or thereby shall be consummated), (B) the enforcement or protection of their rights in connection with this Agreement or the Loan Documents or efforts to preserve, protect, collect, or enforce the Collateral or in connection with any proceeding under any Debtor Relief Laws, or (C) any workout, restructuring or negotiations in respect of any Obligations, and (iii) all customary fees and charges (as adjusted from time to time) of the Lender with respect to the disbursement of funds (or the receipt of funds) to or for the account of Borrower (whether by wire transfer or otherwise), together with any out-of-pocket costs and expenses incurred in connection therewith, and (b) with respect to the L/C Issuer, and its Affiliates, all reasonable out-of-pocket expenses incurred in connection with the issuance, amendment, renewal or extension of any Letter of Credit or any demand for payment thereunder.</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“Customer Credit Liabilities” means at any time, the aggregate remaining value at such time of (a) outstanding gift certificates and gift cards of the Borrower entitling the holder thereof to use all or a portion of the certificate or gift card to pay all or a portion of the purchase price for any Inventory, (b) outstanding merchandise credits of the Borrower, and (c) layaway obligations of the Borrower.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“DDA” means each checking, savings or other demand deposit account maintained by any of the Loan Parties. All funds in each DDA shall be conclusively presumed to be Collateral and proceeds of Collateral and the Lender shall have no duty to inquire as to the source of the amounts on deposit in any DDA.</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Service Charges” means for any Measurement Period, the sum of (a) Consolidated Interest Charges paid or required to be paid for such Measurement Period, plus (b) principal payments made or required to be made on account of Indebtedness (excluding the Obligations and any Synthetic Lease Obligations but including, without limitation, Capital Lease Obligations) for such Measurement Period, in each case determined on a Consolidated basis in accordance with GAAP.</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“Debtor Relief Laws”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“Default”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“Default Rate” means (a) when used with respect to Loans, an interest rate equal to the interest rate (including the Applicable Margin) otherwise applicable to such Loan plus two percent (2%) per annum, (b) when used with respect to Letter of Credit Fees, a rate equal to the Applicable Rate for Standby Letters of Credit or Commercial Letters of Credit, as applicable, plus two percent (2%) per annum, and (c) with respect to all other Obligations, an interest rate equal to the Base Rate, plus the then Applicable Margin, plus two percent (2%) per annum.</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“Designated Jurisdiction” means any country or territory to the extent that such country or territory itself is the subject of any [</w:t>
      </w:r>
      <w:r>
        <w:rPr>
          <w:rFonts w:ascii="Arial" w:cs="Arial" w:eastAsia="Arial" w:hAnsi="Arial"/>
          <w:sz w:val="18"/>
          <w:szCs w:val="18"/>
          <w:color w:val="FF0000"/>
          <w:strike w:val="1"/>
        </w:rPr>
        <w:t>Sanction</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comprehensive Sanctions (currently, Crimea, Cuba, Iran, North Korea and Syria)</w:t>
      </w:r>
      <w:r>
        <w:rPr>
          <w:rFonts w:ascii="Arial" w:cs="Arial" w:eastAsia="Arial" w:hAnsi="Arial"/>
          <w:sz w:val="18"/>
          <w:szCs w:val="18"/>
          <w:color w:val="auto"/>
        </w:rPr>
        <w:t>.</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“Disclosure Schedule” means that certain Disclosure Schedule, dated as of the [</w:t>
      </w:r>
      <w:r>
        <w:rPr>
          <w:rFonts w:ascii="Arial" w:cs="Arial" w:eastAsia="Arial" w:hAnsi="Arial"/>
          <w:sz w:val="18"/>
          <w:szCs w:val="18"/>
          <w:color w:val="FF0000"/>
          <w:strike w:val="1"/>
        </w:rPr>
        <w:t>date hereof</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Third Amendment Effective Date</w:t>
      </w:r>
      <w:r>
        <w:rPr>
          <w:rFonts w:ascii="Arial" w:cs="Arial" w:eastAsia="Arial" w:hAnsi="Arial"/>
          <w:sz w:val="18"/>
          <w:szCs w:val="18"/>
          <w:color w:val="auto"/>
        </w:rPr>
        <w:t>, executed and delivered by the Borrower to the Lender.</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“Disposition” or “Dispose” means the sale, transfer, license, lease or other disposition (including any sale and leaseback transaction), whether in one transaction or in a series of transactions and whether effected pursuant to a Division or otherwise, of any property (including, without limitation, in the case of any Loan Party, any Equity Interests owned by such Loan Party, but excluding Equity Interests issued by such Loan Party, in each case as long as no Change of Control results therefrom) by any Person (or the granting of any option or other right to do any of the foregoing), including any sale, assignment, transfer or other disposal, with or without recourse, of any notes or accounts receivable or any rights and claims associated therewith .</w:t>
      </w:r>
    </w:p>
    <w:p>
      <w:pPr>
        <w:spacing w:after="0" w:line="16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“Disqualified Stock” means any Equity Interest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date on which the Loans mature;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only the portion of such Equity Interests which so matures or is mandatorily redeemable, is so convertible or exchangeable or is so redeemable at the option of the holder thereof prior to such date shall be deemed to be Disqualified Stock, (ii) with respect to any Equity Interests issued to any employee or to any plan for the benefit of employees of the Borrower or its Subsidiaries or by any such plan to such employees, such Equity Interest shall not constitute Disqualified Stock solely because it (A) may be required to be repurchased by the Borrower or one of its Subsidiaries in order to satisfy applicable statutory or regulatory obligations or as a result of such employee’s termination, resignation, death or disability or (B) includes provisions that allow employees, at their option, to settle their tax obligations in respect thereof with a tender of a portion of such Equity Interests back to the Borrower or a Subsidiary thereof, and (iii) any class of Equity Interest that by its terms authorizes the Borrower or a Subsidiary thereof to satisfy its obligations thereunder solely by delivery of an Equity Interest that is not Disqualified Stock shall not be deemed to be Disqualified Stock. Notwithstanding the preceding sentence, any Equity Interest that would constitute Disqualified Stock solely because the holders thereof have the right to require a Loan Party to repurchase such Equity Interest upon the occurrence of a change of control or an asset sale shall not constitute Disqualified Stock. The amount of Disqualified Stock deemed to be outstanding at any time for purposes of this Agreement will be the maximum amount that the Borrower and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may become obligated to pay upon maturity of, or pursuant to any mandatory redemption provisions of, such Disqualified Stock or portion thereof, plus accrued dividends.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“Dividing Person” has the meaning provided in the definition of “Division”.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“Division”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“Division Successor”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“Dollars” and “$” mean lawful money of the United States.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right="20" w:firstLine="8"/>
        <w:spacing w:after="0" w:line="260"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“EEA Member Country”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“Eligible Assignee” means (a) the Lender or any of its Affiliates; (b) a bank, insurance company, or company engaged in the business of making commercial loans, which Person, together with its Affiliates, has a combined capital and surplus in excess of $250,000,000; (c) an Approved Fund; (d) any Person to whom a Credit Party assigns its rights and obligations under this Agreement as part of an assignment and transfer of such Credit Party’s rights in and to a material portion of such Credit Party’s portfolio of asset based credit facilities, and (e) any other Person (other than a natural Person) [</w:t>
      </w:r>
      <w:r>
        <w:rPr>
          <w:rFonts w:ascii="Arial" w:cs="Arial" w:eastAsia="Arial" w:hAnsi="Arial"/>
          <w:sz w:val="17"/>
          <w:szCs w:val="17"/>
          <w:color w:val="FF0000"/>
          <w:strike w:val="1"/>
        </w:rPr>
        <w:t>satisfying</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with</w:t>
      </w:r>
      <w:r>
        <w:rPr>
          <w:rFonts w:ascii="Arial" w:cs="Arial" w:eastAsia="Arial" w:hAnsi="Arial"/>
          <w:sz w:val="17"/>
          <w:szCs w:val="17"/>
          <w:color w:val="auto"/>
        </w:rPr>
        <w:t xml:space="preserve"> the [</w:t>
      </w:r>
      <w:r>
        <w:rPr>
          <w:rFonts w:ascii="Arial" w:cs="Arial" w:eastAsia="Arial" w:hAnsi="Arial"/>
          <w:sz w:val="17"/>
          <w:szCs w:val="17"/>
          <w:color w:val="FF0000"/>
          <w:strike w:val="1"/>
        </w:rPr>
        <w:t>requirements of</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Section 9.06</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Borrower’s prior written consent which shall not be (i) unreasonably withheld, conditioned or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delayed or (ii) required during the continuance of an Event of Default; provided that the Borrower shall be deemed to have consented under clause</w:t>
      </w:r>
      <w:r>
        <w:rPr>
          <w:rFonts w:ascii="Arial" w:cs="Arial" w:eastAsia="Arial" w:hAnsi="Arial"/>
          <w:sz w:val="17"/>
          <w:szCs w:val="17"/>
          <w:b w:val="1"/>
          <w:bCs w:val="1"/>
          <w:color w:val="0000FF"/>
        </w:rPr>
        <w:t xml:space="preserve"> </w:t>
      </w:r>
      <w:r>
        <w:rPr>
          <w:rFonts w:ascii="Arial" w:cs="Arial" w:eastAsia="Arial" w:hAnsi="Arial"/>
          <w:sz w:val="17"/>
          <w:szCs w:val="17"/>
          <w:color w:val="000000"/>
        </w:rPr>
        <w:t>(</w:t>
      </w:r>
      <w:r>
        <w:rPr>
          <w:rFonts w:ascii="Arial" w:cs="Arial" w:eastAsia="Arial" w:hAnsi="Arial"/>
          <w:sz w:val="17"/>
          <w:szCs w:val="17"/>
          <w:u w:val="single" w:color="auto"/>
          <w:color w:val="000000"/>
        </w:rPr>
        <w:t>[</w:t>
      </w:r>
      <w:r>
        <w:rPr>
          <w:rFonts w:ascii="Arial" w:cs="Arial" w:eastAsia="Arial" w:hAnsi="Arial"/>
          <w:sz w:val="17"/>
          <w:szCs w:val="17"/>
          <w:u w:val="single" w:color="auto"/>
          <w:color w:val="FF0000"/>
          <w:strike w:val="1"/>
        </w:rPr>
        <w:t>b</w:t>
      </w:r>
      <w:r>
        <w:rPr>
          <w:rFonts w:ascii="Arial" w:cs="Arial" w:eastAsia="Arial" w:hAnsi="Arial"/>
          <w:sz w:val="17"/>
          <w:szCs w:val="17"/>
          <w:u w:val="single" w:color="auto"/>
          <w:color w:val="000000"/>
        </w:rPr>
        <w:t>]</w:t>
      </w:r>
      <w:r>
        <w:rPr>
          <w:rFonts w:ascii="Arial" w:cs="Arial" w:eastAsia="Arial" w:hAnsi="Arial"/>
          <w:sz w:val="17"/>
          <w:szCs w:val="17"/>
          <w:b w:val="1"/>
          <w:bCs w:val="1"/>
          <w:u w:val="single" w:color="auto"/>
          <w:color w:val="0000FF"/>
        </w:rPr>
        <w:t>e</w:t>
      </w:r>
      <w:r>
        <w:rPr>
          <w:rFonts w:ascii="Arial" w:cs="Arial" w:eastAsia="Arial" w:hAnsi="Arial"/>
          <w:sz w:val="17"/>
          <w:szCs w:val="17"/>
          <w:color w:val="000000"/>
        </w:rPr>
        <w:t>) [</w:t>
      </w:r>
      <w:r>
        <w:rPr>
          <w:rFonts w:ascii="Arial" w:cs="Arial" w:eastAsia="Arial" w:hAnsi="Arial"/>
          <w:sz w:val="17"/>
          <w:szCs w:val="17"/>
          <w:color w:val="FF0000"/>
          <w:strike w:val="1"/>
        </w:rPr>
        <w:t>hereof</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unless it shall have objected thereto by written notice to the Lender within ten (10) Business Days after having received notice</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of a failure to respond to such request for consent;</w:t>
      </w:r>
      <w:r>
        <w:rPr>
          <w:rFonts w:ascii="Arial" w:cs="Arial" w:eastAsia="Arial" w:hAnsi="Arial"/>
          <w:sz w:val="17"/>
          <w:szCs w:val="17"/>
          <w:b w:val="1"/>
          <w:bCs w:val="1"/>
          <w:color w:val="0000FF"/>
        </w:rPr>
        <w:t xml:space="preserve"> </w:t>
      </w:r>
      <w:r>
        <w:rPr>
          <w:rFonts w:ascii="Arial" w:cs="Arial" w:eastAsia="Arial" w:hAnsi="Arial"/>
          <w:sz w:val="17"/>
          <w:szCs w:val="17"/>
          <w:u w:val="single" w:color="auto"/>
          <w:color w:val="000000"/>
        </w:rPr>
        <w:t>provided</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further</w:t>
      </w:r>
      <w:r>
        <w:rPr>
          <w:rFonts w:ascii="Arial" w:cs="Arial" w:eastAsia="Arial" w:hAnsi="Arial"/>
          <w:sz w:val="17"/>
          <w:szCs w:val="17"/>
          <w:b w:val="1"/>
          <w:bCs w:val="1"/>
          <w:color w:val="0000FF"/>
        </w:rPr>
        <w:t xml:space="preserve"> </w:t>
      </w:r>
      <w:r>
        <w:rPr>
          <w:rFonts w:ascii="Arial" w:cs="Arial" w:eastAsia="Arial" w:hAnsi="Arial"/>
          <w:sz w:val="17"/>
          <w:szCs w:val="17"/>
          <w:color w:val="000000"/>
        </w:rPr>
        <w:t>that notwithstanding the foregoing, “Eligible Assignee” shall not include a Loan</w:t>
      </w:r>
      <w:r>
        <w:rPr>
          <w:rFonts w:ascii="Arial" w:cs="Arial" w:eastAsia="Arial" w:hAnsi="Arial"/>
          <w:sz w:val="17"/>
          <w:szCs w:val="17"/>
          <w:b w:val="1"/>
          <w:bCs w:val="1"/>
          <w:color w:val="0000FF"/>
        </w:rPr>
        <w:t xml:space="preserve"> </w:t>
      </w:r>
      <w:r>
        <w:rPr>
          <w:rFonts w:ascii="Arial" w:cs="Arial" w:eastAsia="Arial" w:hAnsi="Arial"/>
          <w:sz w:val="17"/>
          <w:szCs w:val="17"/>
          <w:color w:val="000000"/>
        </w:rPr>
        <w:t>Party or any of its respective [</w:t>
      </w:r>
      <w:r>
        <w:rPr>
          <w:rFonts w:ascii="Arial" w:cs="Arial" w:eastAsia="Arial" w:hAnsi="Arial"/>
          <w:sz w:val="17"/>
          <w:szCs w:val="17"/>
          <w:color w:val="FF0000"/>
          <w:strike w:val="1"/>
        </w:rPr>
        <w:t>Affiliates or</w:t>
      </w:r>
      <w:r>
        <w:rPr>
          <w:rFonts w:ascii="Arial" w:cs="Arial" w:eastAsia="Arial" w:hAnsi="Arial"/>
          <w:sz w:val="17"/>
          <w:szCs w:val="17"/>
          <w:color w:val="000000"/>
        </w:rPr>
        <w:t>] Subsidiaries.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“Eligible Credit Card Receivables” means at the time of any determination thereof, each Credit Card Receivable that satisfies the following criteria: such Credit Card Receivable (i) has been earned by performance and represents the bona fide amounts due to the Borrower from an Acceptable Credit Card Issuer or a credit card payment processor, and in each case is originated in the ordinary course of business of the Borrower, and (ii) is not ineligible for inclusion in the calculation of the Borrowing Base pursuant to any of clauses (a) through (j) below as determined by the Lender in its [</w:t>
      </w:r>
      <w:r>
        <w:rPr>
          <w:rFonts w:ascii="Arial" w:cs="Arial" w:eastAsia="Arial" w:hAnsi="Arial"/>
          <w:sz w:val="17"/>
          <w:szCs w:val="17"/>
          <w:color w:val="FF0000"/>
          <w:strike w:val="1"/>
        </w:rPr>
        <w:t>reasonable discretion</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Permitted Discretion</w:t>
      </w:r>
      <w:r>
        <w:rPr>
          <w:rFonts w:ascii="Arial" w:cs="Arial" w:eastAsia="Arial" w:hAnsi="Arial"/>
          <w:sz w:val="17"/>
          <w:szCs w:val="17"/>
          <w:color w:val="auto"/>
        </w:rPr>
        <w:t>. Without limiting the foregoing, to qualify as an Eligible Credit Card Receivable, an Account shall indicate no Person other than the Borrower as payee or remittance party. In determining the amount to be so included, the face amount of an Account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the Borrower may be obligated to rebate to a customer, a credit card payment processor, or credit card issuer pursuant to the terms of any agreement or understanding (written or oral)) and (ii) the aggregate amount of all cash received in respect of such Account but not yet applied by the Loan Parties to reduce the amount of such Credit Card Receivable. Except as otherwise agreed by the Lender, any Credit Card Receivable included within any of the following categories shall not constitute an Eligible Credit Card Receivable:</w:t>
      </w:r>
    </w:p>
    <w:p>
      <w:pPr>
        <w:spacing w:after="0" w:line="179" w:lineRule="exact"/>
        <w:rPr>
          <w:sz w:val="20"/>
          <w:szCs w:val="20"/>
          <w:color w:val="auto"/>
        </w:rPr>
      </w:pPr>
    </w:p>
    <w:p>
      <w:pPr>
        <w:ind w:left="2080" w:hanging="776"/>
        <w:spacing w:after="0"/>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Credit Card Receivable which do not constitute an “Account” (as defined in the UCC);</w:t>
      </w:r>
    </w:p>
    <w:p>
      <w:pPr>
        <w:spacing w:after="0" w:line="221" w:lineRule="exact"/>
        <w:rPr>
          <w:rFonts w:ascii="Arial" w:cs="Arial" w:eastAsia="Arial" w:hAnsi="Arial"/>
          <w:sz w:val="18"/>
          <w:szCs w:val="18"/>
          <w:color w:val="auto"/>
        </w:rPr>
      </w:pPr>
    </w:p>
    <w:p>
      <w:pPr>
        <w:ind w:left="2100" w:hanging="796"/>
        <w:spacing w:after="0"/>
        <w:tabs>
          <w:tab w:leader="none" w:pos="2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Credit Card Receivables that have been outstanding for more than [</w:t>
      </w:r>
      <w:r>
        <w:rPr>
          <w:rFonts w:ascii="Arial" w:cs="Arial" w:eastAsia="Arial" w:hAnsi="Arial"/>
          <w:sz w:val="16"/>
          <w:szCs w:val="16"/>
          <w:color w:val="FF0000"/>
          <w:strike w:val="1"/>
        </w:rPr>
        <w:t>five</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seven</w:t>
      </w:r>
      <w:r>
        <w:rPr>
          <w:rFonts w:ascii="Arial" w:cs="Arial" w:eastAsia="Arial" w:hAnsi="Arial"/>
          <w:sz w:val="16"/>
          <w:szCs w:val="16"/>
          <w:color w:val="auto"/>
        </w:rPr>
        <w:t xml:space="preserve"> ([</w:t>
      </w:r>
      <w:r>
        <w:rPr>
          <w:rFonts w:ascii="Arial" w:cs="Arial" w:eastAsia="Arial" w:hAnsi="Arial"/>
          <w:sz w:val="16"/>
          <w:szCs w:val="16"/>
          <w:color w:val="FF0000"/>
          <w:strike w:val="1"/>
        </w:rPr>
        <w:t>5</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7</w:t>
      </w:r>
      <w:r>
        <w:rPr>
          <w:rFonts w:ascii="Arial" w:cs="Arial" w:eastAsia="Arial" w:hAnsi="Arial"/>
          <w:sz w:val="16"/>
          <w:szCs w:val="16"/>
          <w:color w:val="auto"/>
        </w:rPr>
        <w:t>) Business Days from the date of sale;</w:t>
      </w:r>
    </w:p>
    <w:p>
      <w:pPr>
        <w:spacing w:after="0" w:line="252" w:lineRule="exact"/>
        <w:rPr>
          <w:rFonts w:ascii="Arial" w:cs="Arial" w:eastAsia="Arial" w:hAnsi="Arial"/>
          <w:sz w:val="16"/>
          <w:szCs w:val="16"/>
          <w:color w:val="auto"/>
        </w:rPr>
      </w:pPr>
    </w:p>
    <w:p>
      <w:pPr>
        <w:jc w:val="both"/>
        <w:ind w:left="660" w:firstLine="644"/>
        <w:spacing w:after="0" w:line="263" w:lineRule="auto"/>
        <w:tabs>
          <w:tab w:leader="none" w:pos="21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Credit Card Receivables (i) that are not subject to a perfected first-priority security interest in favor of the Lender, or (ii) with respect to which the Borrower does not have good and valid title thereto, free and clear of any Lien (other than Liens granted to the Lender pursuant to the Security Documents);</w:t>
      </w:r>
    </w:p>
    <w:p>
      <w:pPr>
        <w:spacing w:after="0" w:line="183" w:lineRule="exact"/>
        <w:rPr>
          <w:rFonts w:ascii="Arial" w:cs="Arial" w:eastAsia="Arial" w:hAnsi="Arial"/>
          <w:sz w:val="18"/>
          <w:szCs w:val="18"/>
          <w:color w:val="auto"/>
        </w:rPr>
      </w:pPr>
    </w:p>
    <w:p>
      <w:pPr>
        <w:ind w:left="660" w:firstLine="644"/>
        <w:spacing w:after="0" w:line="277" w:lineRule="auto"/>
        <w:tabs>
          <w:tab w:leader="none" w:pos="23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Credit Card Receivables which are disputed, are with recourse, or with respect to which a claim, counterclaim, offset or chargeback has been asserted (to the extent of such claim, counterclaim, offset or chargeback);</w:t>
      </w:r>
    </w:p>
    <w:p>
      <w:pPr>
        <w:spacing w:after="0" w:line="170" w:lineRule="exact"/>
        <w:rPr>
          <w:rFonts w:ascii="Arial" w:cs="Arial" w:eastAsia="Arial" w:hAnsi="Arial"/>
          <w:sz w:val="18"/>
          <w:szCs w:val="18"/>
          <w:color w:val="auto"/>
        </w:rPr>
      </w:pPr>
    </w:p>
    <w:p>
      <w:pPr>
        <w:ind w:left="660" w:firstLine="644"/>
        <w:spacing w:after="0" w:line="308" w:lineRule="auto"/>
        <w:tabs>
          <w:tab w:leader="none" w:pos="2349" w:val="left"/>
        </w:tabs>
        <w:numPr>
          <w:ilvl w:val="0"/>
          <w:numId w:val="21"/>
        </w:numPr>
        <w:rPr>
          <w:rFonts w:ascii="Arial" w:cs="Arial" w:eastAsia="Arial" w:hAnsi="Arial"/>
          <w:sz w:val="17"/>
          <w:szCs w:val="17"/>
          <w:color w:val="auto"/>
        </w:rPr>
      </w:pPr>
      <w:r>
        <w:rPr>
          <w:rFonts w:ascii="Arial" w:cs="Arial" w:eastAsia="Arial" w:hAnsi="Arial"/>
          <w:sz w:val="17"/>
          <w:szCs w:val="17"/>
          <w:color w:val="auto"/>
        </w:rPr>
        <w:t>Credit Card Receivables as to which a credit card issuer or a credit card payment processor has the right under certain circumstances to require a Loan Party to repurchase the Accounts from such credit card issuer or credit card payment processor;</w:t>
      </w:r>
    </w:p>
    <w:p>
      <w:pPr>
        <w:spacing w:after="0" w:line="146" w:lineRule="exact"/>
        <w:rPr>
          <w:rFonts w:ascii="Arial" w:cs="Arial" w:eastAsia="Arial" w:hAnsi="Arial"/>
          <w:sz w:val="17"/>
          <w:szCs w:val="17"/>
          <w:color w:val="auto"/>
        </w:rPr>
      </w:pPr>
    </w:p>
    <w:p>
      <w:pPr>
        <w:ind w:left="660" w:firstLine="644"/>
        <w:spacing w:after="0" w:line="277" w:lineRule="auto"/>
        <w:tabs>
          <w:tab w:leader="none" w:pos="21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Credit Card Receivables due from a credit card issuer or credit card payment processor of the applicable credit card which is the subject of any bankruptcy or insolvency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2220" w:hanging="916"/>
        <w:spacing w:after="0"/>
        <w:tabs>
          <w:tab w:leader="none" w:pos="2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Credit Card Receivables which are not a valid, legally enforceable obligation of the applicable credit card issuer with respect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660" w:firstLine="644"/>
        <w:spacing w:after="0" w:line="277" w:lineRule="auto"/>
        <w:tabs>
          <w:tab w:leader="none" w:pos="22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Credit Card Receivables which do not conform to all representations, warranties or other provisions in the Loan Documents relating to Credit Card Receivables;</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22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Credit Card Receivables which are evidenced by “chattel paper” or an “instrument” of any kind unless such “chattel paper” or “instrument” is in the possession of the Lender, and to the extent necessary or appropriate, endorsed to the Lender; or</w:t>
      </w:r>
    </w:p>
    <w:p>
      <w:pPr>
        <w:spacing w:after="0" w:line="142" w:lineRule="exact"/>
        <w:rPr>
          <w:rFonts w:ascii="Arial" w:cs="Arial" w:eastAsia="Arial" w:hAnsi="Arial"/>
          <w:sz w:val="17"/>
          <w:szCs w:val="17"/>
          <w:color w:val="auto"/>
        </w:rPr>
      </w:pPr>
    </w:p>
    <w:p>
      <w:pPr>
        <w:ind w:left="660" w:right="20" w:firstLine="644"/>
        <w:spacing w:after="0" w:line="312" w:lineRule="auto"/>
        <w:tabs>
          <w:tab w:leader="none" w:pos="2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Credit Card Receivables which the Lender[ </w:t>
      </w:r>
      <w:r>
        <w:rPr>
          <w:rFonts w:ascii="Arial" w:cs="Arial" w:eastAsia="Arial" w:hAnsi="Arial"/>
          <w:sz w:val="17"/>
          <w:szCs w:val="17"/>
          <w:color w:val="FF0000"/>
          <w:strike w:val="1"/>
        </w:rPr>
        <w:t>reasonably</w:t>
      </w:r>
      <w:r>
        <w:rPr>
          <w:rFonts w:ascii="Arial" w:cs="Arial" w:eastAsia="Arial" w:hAnsi="Arial"/>
          <w:sz w:val="17"/>
          <w:szCs w:val="17"/>
          <w:color w:val="auto"/>
        </w:rPr>
        <w:t xml:space="preserve">] determines </w:t>
      </w:r>
      <w:r>
        <w:rPr>
          <w:rFonts w:ascii="Arial" w:cs="Arial" w:eastAsia="Arial" w:hAnsi="Arial"/>
          <w:sz w:val="17"/>
          <w:szCs w:val="17"/>
          <w:b w:val="1"/>
          <w:bCs w:val="1"/>
          <w:color w:val="0000FF"/>
        </w:rPr>
        <w:t>in its Permitted Discretion</w:t>
      </w:r>
      <w:r>
        <w:rPr>
          <w:rFonts w:ascii="Arial" w:cs="Arial" w:eastAsia="Arial" w:hAnsi="Arial"/>
          <w:sz w:val="17"/>
          <w:szCs w:val="17"/>
          <w:color w:val="auto"/>
        </w:rPr>
        <w:t xml:space="preserve"> to be uncertain of collection[ </w:t>
      </w:r>
      <w:r>
        <w:rPr>
          <w:rFonts w:ascii="Arial" w:cs="Arial" w:eastAsia="Arial" w:hAnsi="Arial"/>
          <w:sz w:val="17"/>
          <w:szCs w:val="17"/>
          <w:color w:val="FF0000"/>
          <w:strike w:val="1"/>
        </w:rPr>
        <w:t>or which do not meet such other reasonable eligibility criteria for Credit Card Receivables as the Lender may determine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-181610</wp:posOffset>
            </wp:positionV>
            <wp:extent cx="13627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-198755</wp:posOffset>
            </wp:positionV>
            <wp:extent cx="13627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“Eligible Inventory” means, as of the date of determination thereof, without duplication, items of Inventory of the Borrower that are finished goods, merchantable and readily saleable to the public in the ordinary course of the Borrower’s business meeting the criteria to be eligible for inclusion in the calculation of the Borrowing Base, in each case that, except as otherwise agreed by the Lender, (A) complies with each of the representations and warranties respecting Inventory made by the Borrower in the Loan Documents, and (B) is not excluded as ineligible for inclusion in the calculation of the Borrowing Base by virtue of one or more of the criteria set forth below as determined by the Lender in its [</w:t>
      </w:r>
      <w:r>
        <w:rPr>
          <w:rFonts w:ascii="Arial" w:cs="Arial" w:eastAsia="Arial" w:hAnsi="Arial"/>
          <w:sz w:val="16"/>
          <w:szCs w:val="16"/>
          <w:color w:val="FF0000"/>
          <w:strike w:val="1"/>
        </w:rPr>
        <w:t>reasonable discretion</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Permitted Discretion</w:t>
      </w:r>
      <w:r>
        <w:rPr>
          <w:rFonts w:ascii="Arial" w:cs="Arial" w:eastAsia="Arial" w:hAnsi="Arial"/>
          <w:sz w:val="16"/>
          <w:szCs w:val="16"/>
          <w:color w:val="auto"/>
        </w:rPr>
        <w:t>. Except as otherwise agreed by the Lender, in its discretion, the following items of Inventory shall not be included in Eligible Inventory:</w:t>
      </w:r>
    </w:p>
    <w:p>
      <w:pPr>
        <w:spacing w:after="0" w:line="164" w:lineRule="exact"/>
        <w:rPr>
          <w:sz w:val="20"/>
          <w:szCs w:val="20"/>
          <w:color w:val="auto"/>
        </w:rPr>
      </w:pPr>
    </w:p>
    <w:p>
      <w:pPr>
        <w:ind w:left="660" w:right="20" w:firstLine="644"/>
        <w:spacing w:after="0" w:line="277" w:lineRule="auto"/>
        <w:tabs>
          <w:tab w:leader="none" w:pos="22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Inventory that is not solely owned by the Borrower or the Borrower does not have good and valid title thereto free and clear of any Lien (other than Liens granted to the Lender pursuant to the Security Documents);</w:t>
      </w:r>
    </w:p>
    <w:p>
      <w:pPr>
        <w:spacing w:after="0" w:line="170" w:lineRule="exact"/>
        <w:rPr>
          <w:rFonts w:ascii="Arial" w:cs="Arial" w:eastAsia="Arial" w:hAnsi="Arial"/>
          <w:sz w:val="18"/>
          <w:szCs w:val="18"/>
          <w:color w:val="auto"/>
        </w:rPr>
      </w:pPr>
    </w:p>
    <w:p>
      <w:pPr>
        <w:ind w:left="2220" w:hanging="916"/>
        <w:spacing w:after="0"/>
        <w:tabs>
          <w:tab w:leader="none" w:pos="2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Inventory that is leased by or is on consignment to the Borrower or which is consigned by the Borrower to a Person which 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not a Loan Party;</w:t>
      </w:r>
    </w:p>
    <w:p>
      <w:pPr>
        <w:spacing w:after="0" w:line="210" w:lineRule="exact"/>
        <w:rPr>
          <w:rFonts w:ascii="Arial" w:cs="Arial" w:eastAsia="Arial" w:hAnsi="Arial"/>
          <w:sz w:val="16"/>
          <w:szCs w:val="16"/>
          <w:color w:val="auto"/>
        </w:rPr>
      </w:pPr>
    </w:p>
    <w:p>
      <w:pPr>
        <w:jc w:val="both"/>
        <w:ind w:left="660" w:firstLine="644"/>
        <w:spacing w:after="0" w:line="270" w:lineRule="auto"/>
        <w:tabs>
          <w:tab w:leader="none" w:pos="22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Inventory that is not located in the United States (excluding territories or possessions of the United States) or is at a location in the United States that is not owned or leased by the Borrower except (i) Inventory in transit between such owned or leased locations, (ii) </w:t>
      </w:r>
      <w:r>
        <w:rPr>
          <w:rFonts w:ascii="Arial" w:cs="Arial" w:eastAsia="Arial" w:hAnsi="Arial"/>
          <w:sz w:val="17"/>
          <w:szCs w:val="17"/>
          <w:b w:val="1"/>
          <w:bCs w:val="1"/>
          <w:u w:val="single" w:color="auto"/>
          <w:color w:val="0000FF"/>
        </w:rPr>
        <w:t>so long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as such Inventory is in the United States,</w:t>
      </w:r>
      <w:r>
        <w:rPr>
          <w:rFonts w:ascii="Arial" w:cs="Arial" w:eastAsia="Arial" w:hAnsi="Arial"/>
          <w:sz w:val="17"/>
          <w:szCs w:val="17"/>
          <w:b w:val="1"/>
          <w:bCs w:val="1"/>
          <w:color w:val="0000FF"/>
        </w:rPr>
        <w:t xml:space="preserve"> </w:t>
      </w:r>
      <w:r>
        <w:rPr>
          <w:rFonts w:ascii="Arial" w:cs="Arial" w:eastAsia="Arial" w:hAnsi="Arial"/>
          <w:sz w:val="17"/>
          <w:szCs w:val="17"/>
          <w:color w:val="000000"/>
        </w:rPr>
        <w:t>to the extent that the Borrower has furnished the Lender with (A) any UCC financing statements or</w:t>
      </w:r>
      <w:r>
        <w:rPr>
          <w:rFonts w:ascii="Arial" w:cs="Arial" w:eastAsia="Arial" w:hAnsi="Arial"/>
          <w:sz w:val="17"/>
          <w:szCs w:val="17"/>
          <w:b w:val="1"/>
          <w:bCs w:val="1"/>
          <w:color w:val="0000FF"/>
        </w:rPr>
        <w:t xml:space="preserve"> </w:t>
      </w:r>
      <w:r>
        <w:rPr>
          <w:rFonts w:ascii="Arial" w:cs="Arial" w:eastAsia="Arial" w:hAnsi="Arial"/>
          <w:sz w:val="17"/>
          <w:szCs w:val="17"/>
          <w:color w:val="000000"/>
        </w:rPr>
        <w:t>other documents that the Lender may determine to be necessary to perfect its security interest in such Inventory at such location, and (B) a Collateral Access Agreement executed by the Person owning any such location, or (iii) Inventory in the possession of a [</w:t>
      </w:r>
      <w:r>
        <w:rPr>
          <w:rFonts w:ascii="Arial" w:cs="Arial" w:eastAsia="Arial" w:hAnsi="Arial"/>
          <w:sz w:val="17"/>
          <w:szCs w:val="17"/>
          <w:color w:val="FF0000"/>
          <w:strike w:val="1"/>
        </w:rPr>
        <w:t>consolidator</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logistics</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services provider or other third party</w:t>
      </w:r>
      <w:r>
        <w:rPr>
          <w:rFonts w:ascii="Arial" w:cs="Arial" w:eastAsia="Arial" w:hAnsi="Arial"/>
          <w:sz w:val="17"/>
          <w:szCs w:val="17"/>
          <w:b w:val="1"/>
          <w:bCs w:val="1"/>
          <w:color w:val="0000FF"/>
        </w:rPr>
        <w:t xml:space="preserve"> </w:t>
      </w:r>
      <w:r>
        <w:rPr>
          <w:rFonts w:ascii="Arial" w:cs="Arial" w:eastAsia="Arial" w:hAnsi="Arial"/>
          <w:sz w:val="17"/>
          <w:szCs w:val="17"/>
          <w:color w:val="000000"/>
        </w:rPr>
        <w:t>retained by and acting for and on behalf of the Borrower for the handling and delivery of Inventory to the</w:t>
      </w:r>
      <w:r>
        <w:rPr>
          <w:rFonts w:ascii="Arial" w:cs="Arial" w:eastAsia="Arial" w:hAnsi="Arial"/>
          <w:sz w:val="17"/>
          <w:szCs w:val="17"/>
          <w:b w:val="1"/>
          <w:bCs w:val="1"/>
          <w:color w:val="0000FF"/>
        </w:rPr>
        <w:t xml:space="preserve"> </w:t>
      </w:r>
      <w:r>
        <w:rPr>
          <w:rFonts w:ascii="Arial" w:cs="Arial" w:eastAsia="Arial" w:hAnsi="Arial"/>
          <w:sz w:val="17"/>
          <w:szCs w:val="17"/>
          <w:color w:val="000000"/>
        </w:rPr>
        <w:t>Borrower’s locations in the ordinary course of business, subject to (A) verification thereof as determined to be necessary by the Lender or as requested by the Borrower from time to time and (B) the Borrower furnishing the Lender with a Collateral Access Agreement executed by the [</w:t>
      </w:r>
      <w:r>
        <w:rPr>
          <w:rFonts w:ascii="Arial" w:cs="Arial" w:eastAsia="Arial" w:hAnsi="Arial"/>
          <w:sz w:val="17"/>
          <w:szCs w:val="17"/>
          <w:color w:val="FF0000"/>
          <w:strike w:val="1"/>
        </w:rPr>
        <w:t>consolidator</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logistics services provider or such other third party</w:t>
      </w:r>
      <w:r>
        <w:rPr>
          <w:rFonts w:ascii="Arial" w:cs="Arial" w:eastAsia="Arial" w:hAnsi="Arial"/>
          <w:sz w:val="17"/>
          <w:szCs w:val="17"/>
          <w:color w:val="000000"/>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firstLine="644"/>
        <w:spacing w:after="0" w:line="277" w:lineRule="auto"/>
        <w:tabs>
          <w:tab w:leader="none" w:pos="21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that is located in a distribution center (but, for clarity, not Store locations) leased by Borrower unless the applicable lessor has delivered to the Lender a Collateral Access Agreement;</w:t>
      </w:r>
    </w:p>
    <w:p>
      <w:pPr>
        <w:spacing w:after="0" w:line="170" w:lineRule="exact"/>
        <w:rPr>
          <w:rFonts w:ascii="Arial" w:cs="Arial" w:eastAsia="Arial" w:hAnsi="Arial"/>
          <w:sz w:val="18"/>
          <w:szCs w:val="18"/>
          <w:color w:val="auto"/>
        </w:rPr>
      </w:pPr>
    </w:p>
    <w:p>
      <w:pPr>
        <w:jc w:val="both"/>
        <w:ind w:left="660" w:firstLine="644"/>
        <w:spacing w:after="0" w:line="255" w:lineRule="auto"/>
        <w:tabs>
          <w:tab w:leader="none" w:pos="22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that is comprised of goods which (i) are damaged,</w:t>
      </w:r>
      <w:r>
        <w:rPr>
          <w:rFonts w:ascii="Arial" w:cs="Arial" w:eastAsia="Arial" w:hAnsi="Arial"/>
          <w:sz w:val="18"/>
          <w:szCs w:val="18"/>
          <w:color w:val="FF0000"/>
          <w:strike w:val="1"/>
        </w:rPr>
        <w:t>(f)</w:t>
      </w:r>
      <w:r>
        <w:rPr>
          <w:rFonts w:ascii="Arial" w:cs="Arial" w:eastAsia="Arial" w:hAnsi="Arial"/>
          <w:sz w:val="18"/>
          <w:szCs w:val="18"/>
          <w:color w:val="auto"/>
        </w:rPr>
        <w:t xml:space="preserve"> defective, “seconds,” or otherwise unmerchantable, (ii) are to be returned to the vendor, (iii) are custom items, work-in-process, raw materials, or that constitute samples, spare parts, promotional, marketing, labels, bags and other packaging and shipping materials or supplies used or consumed in the Borrower’s business, (iv) are not in compliance with all standards imposed by any Governmental Authority having regulatory authority over such Inventory, its use or sale, (v) are bill and hold goods, or (vi) without duplication of the foregoing, are in locations 98, 861, 864, 867, 868, 869, 871, 874, 877, 878, or 879 of the Borrower’s stock ledger;</w:t>
      </w:r>
    </w:p>
    <w:p>
      <w:pPr>
        <w:spacing w:after="0" w:line="192" w:lineRule="exact"/>
        <w:rPr>
          <w:rFonts w:ascii="Arial" w:cs="Arial" w:eastAsia="Arial" w:hAnsi="Arial"/>
          <w:sz w:val="18"/>
          <w:szCs w:val="18"/>
          <w:color w:val="auto"/>
        </w:rPr>
      </w:pPr>
    </w:p>
    <w:p>
      <w:pPr>
        <w:ind w:left="2200" w:hanging="896"/>
        <w:spacing w:after="0"/>
        <w:tabs>
          <w:tab w:leader="none" w:pos="2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that is not subject to a perfected first-priority security interest in favor of the Lender;</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Inventory that is not insured in compliance with the provisions of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2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that is subject to any licensing, patent, royalty, trademark, trade name or copyright agreement with any third party from which the Borrower or any of its Subsidiaries has received notice of a dispute in respect of any such agreement; or</w:t>
      </w:r>
    </w:p>
    <w:p>
      <w:pPr>
        <w:spacing w:after="0" w:line="170" w:lineRule="exact"/>
        <w:rPr>
          <w:rFonts w:ascii="Arial" w:cs="Arial" w:eastAsia="Arial" w:hAnsi="Arial"/>
          <w:sz w:val="18"/>
          <w:szCs w:val="18"/>
          <w:color w:val="auto"/>
        </w:rPr>
      </w:pPr>
    </w:p>
    <w:p>
      <w:pPr>
        <w:jc w:val="both"/>
        <w:ind w:left="720" w:right="60" w:firstLine="649"/>
        <w:spacing w:after="0" w:line="296" w:lineRule="auto"/>
        <w:tabs>
          <w:tab w:leader="none" w:pos="2478"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Inventory acquired in a Permitted Acquisition or which is not of the type usually sold in the ordinary course of the Borrower’s business, unless and until the Lender has </w:t>
      </w:r>
      <w:r>
        <w:rPr>
          <w:rFonts w:ascii="Arial" w:cs="Arial" w:eastAsia="Arial" w:hAnsi="Arial"/>
          <w:sz w:val="16"/>
          <w:szCs w:val="16"/>
          <w:b w:val="1"/>
          <w:bCs w:val="1"/>
          <w:u w:val="single" w:color="auto"/>
          <w:color w:val="0000FF"/>
        </w:rPr>
        <w:t>(i)</w:t>
      </w:r>
      <w:r>
        <w:rPr>
          <w:rFonts w:ascii="Arial" w:cs="Arial" w:eastAsia="Arial" w:hAnsi="Arial"/>
          <w:sz w:val="16"/>
          <w:szCs w:val="16"/>
          <w:color w:val="auto"/>
        </w:rPr>
        <w:t xml:space="preserve"> completed or received (A) an appraisal of such Inventory from appraisers satisfactory to the Lender and establishes Inventory Reserves (if applicable) therefor, and otherwise agrees that such Inventory shall be deemed Eligible Inventory, and (B) such other due diligence as the Lender may </w:t>
      </w:r>
      <w:r>
        <w:rPr>
          <w:rFonts w:ascii="Arial" w:cs="Arial" w:eastAsia="Arial" w:hAnsi="Arial"/>
          <w:sz w:val="16"/>
          <w:szCs w:val="16"/>
          <w:b w:val="1"/>
          <w:bCs w:val="1"/>
          <w:u w:val="single" w:color="auto"/>
          <w:color w:val="0000FF"/>
        </w:rPr>
        <w:t>reasonably</w:t>
      </w:r>
      <w:r>
        <w:rPr>
          <w:rFonts w:ascii="Arial" w:cs="Arial" w:eastAsia="Arial" w:hAnsi="Arial"/>
          <w:sz w:val="16"/>
          <w:szCs w:val="16"/>
          <w:color w:val="auto"/>
        </w:rPr>
        <w:t xml:space="preserve"> require, all of the results of the foregoing to be reasonably satisfactory to the Lender</w:t>
      </w:r>
      <w:r>
        <w:rPr>
          <w:rFonts w:ascii="Arial" w:cs="Arial" w:eastAsia="Arial" w:hAnsi="Arial"/>
          <w:sz w:val="16"/>
          <w:szCs w:val="16"/>
          <w:b w:val="1"/>
          <w:bCs w:val="1"/>
          <w:u w:val="single" w:color="auto"/>
          <w:color w:val="0000FF"/>
        </w:rPr>
        <w:t>, or (ii) determined in its sole discretion that such a due diligence investigation is not necessary</w:t>
      </w:r>
      <w:r>
        <w:rPr>
          <w:rFonts w:ascii="Arial" w:cs="Arial" w:eastAsia="Arial" w:hAnsi="Arial"/>
          <w:sz w:val="16"/>
          <w:szCs w:val="16"/>
          <w:color w:val="auto"/>
        </w:rPr>
        <w:t>.</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“Environment” means ambient air, indoor air, surface water, groundwater, drinking water, soil, surface and subsurface strata, and natural resources such as wetland, flora and fauna.</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“Environmental Laws” means any and all Federal, state, local, and foreign statutes, laws (including common law), regulations, standards, ordinances, rules, judgments, </w:t>
      </w:r>
      <w:r>
        <w:rPr>
          <w:rFonts w:ascii="Arial" w:cs="Arial" w:eastAsia="Arial" w:hAnsi="Arial"/>
          <w:sz w:val="18"/>
          <w:szCs w:val="18"/>
          <w:b w:val="1"/>
          <w:bCs w:val="1"/>
          <w:u w:val="single" w:color="auto"/>
          <w:color w:val="0000FF"/>
        </w:rPr>
        <w:t>binding</w:t>
      </w:r>
      <w:r>
        <w:rPr>
          <w:rFonts w:ascii="Arial" w:cs="Arial" w:eastAsia="Arial" w:hAnsi="Arial"/>
          <w:sz w:val="18"/>
          <w:szCs w:val="18"/>
          <w:color w:val="auto"/>
        </w:rPr>
        <w:t xml:space="preserve"> interpretations, orders, decrees, permits, </w:t>
      </w:r>
      <w:r>
        <w:rPr>
          <w:rFonts w:ascii="Arial" w:cs="Arial" w:eastAsia="Arial" w:hAnsi="Arial"/>
          <w:sz w:val="18"/>
          <w:szCs w:val="18"/>
          <w:b w:val="1"/>
          <w:bCs w:val="1"/>
          <w:color w:val="0000FF"/>
        </w:rPr>
        <w:t>binding</w:t>
      </w:r>
      <w:r>
        <w:rPr>
          <w:rFonts w:ascii="Arial" w:cs="Arial" w:eastAsia="Arial" w:hAnsi="Arial"/>
          <w:sz w:val="18"/>
          <w:szCs w:val="18"/>
          <w:color w:val="auto"/>
        </w:rPr>
        <w:t xml:space="preserve">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 air emissions and discharges to waste or public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-427990</wp:posOffset>
            </wp:positionV>
            <wp:extent cx="5568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-427990</wp:posOffset>
            </wp:positionV>
            <wp:extent cx="5314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-445135</wp:posOffset>
            </wp:positionV>
            <wp:extent cx="534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“Environmental Liability”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20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“Environmental Permit” means any permit, certification, registration, approval, identification number, license or other authorization required under any Environmental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“Equipment” has the meaning set forth in the UCC.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“Equity Interests”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“ERISA” means the Employee Retirement Income Security Act of 1974.</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“ERISA Affiliate”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“ERISA Event”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21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“Eurodollar Borrowing” means a Committed Borrowing comprised of Eurodollar Rate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“Eurodollar Rate” means:</w:t>
      </w:r>
    </w:p>
    <w:p>
      <w:pPr>
        <w:spacing w:after="0" w:line="225" w:lineRule="exact"/>
        <w:rPr>
          <w:sz w:val="20"/>
          <w:szCs w:val="20"/>
          <w:color w:val="auto"/>
        </w:rPr>
      </w:pPr>
    </w:p>
    <w:p>
      <w:pPr>
        <w:jc w:val="both"/>
        <w:ind w:left="660" w:firstLine="644"/>
        <w:spacing w:after="0" w:line="255" w:lineRule="auto"/>
        <w:tabs>
          <w:tab w:leader="none" w:pos="21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any Interest Period with respect to a Eurodollar Rate Loan, the rate per annum equal to the London Interbank Offered Rate as administered by ICE Benchmark Administration (or any other Person that takes over the administration of such rate for U.S. Dollars for a period equal in length to such Interest Period) (“LIBOR”) as published on the applicable Bloomberg screen page (or such other commercially available source providing such quotations as may be designated by the Lender from time to time) at approximately 11:00 a.m., London time, two Business Days prior to the commencement of such Interest Period, for Dollar deposits (for delivery on the first day of such Interest Period) with a term equivalent to such Interest Period;</w:t>
      </w:r>
    </w:p>
    <w:p>
      <w:pPr>
        <w:spacing w:after="0" w:line="192" w:lineRule="exact"/>
        <w:rPr>
          <w:rFonts w:ascii="Arial" w:cs="Arial" w:eastAsia="Arial" w:hAnsi="Arial"/>
          <w:sz w:val="18"/>
          <w:szCs w:val="18"/>
          <w:color w:val="auto"/>
        </w:rPr>
      </w:pPr>
    </w:p>
    <w:p>
      <w:pPr>
        <w:jc w:val="both"/>
        <w:ind w:left="660" w:firstLine="644"/>
        <w:spacing w:after="0" w:line="263" w:lineRule="auto"/>
        <w:tabs>
          <w:tab w:leader="none" w:pos="23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 LIBOR, at or about 11:00 a.m., London time determined two London Banking Days prior to such date for U.S. Dollar deposits with a term of one month commencing that day; and</w:t>
      </w:r>
    </w:p>
    <w:p>
      <w:pPr>
        <w:spacing w:after="0" w:line="179" w:lineRule="exact"/>
        <w:rPr>
          <w:rFonts w:ascii="Arial" w:cs="Arial" w:eastAsia="Arial" w:hAnsi="Arial"/>
          <w:sz w:val="18"/>
          <w:szCs w:val="18"/>
          <w:color w:val="auto"/>
        </w:rPr>
      </w:pPr>
    </w:p>
    <w:p>
      <w:pPr>
        <w:ind w:left="660" w:right="20" w:firstLine="644"/>
        <w:spacing w:after="0" w:line="282" w:lineRule="auto"/>
        <w:tabs>
          <w:tab w:leader="none" w:pos="22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if the Eurodollar Rate shall be less than </w:t>
      </w:r>
      <w:r>
        <w:rPr>
          <w:rFonts w:ascii="Arial" w:cs="Arial" w:eastAsia="Arial" w:hAnsi="Arial"/>
          <w:sz w:val="18"/>
          <w:szCs w:val="18"/>
          <w:b w:val="1"/>
          <w:bCs w:val="1"/>
          <w:u w:val="single" w:color="auto"/>
          <w:color w:val="0000FF"/>
        </w:rPr>
        <w:t>one-fourth of</w:t>
      </w:r>
      <w:r>
        <w:rPr>
          <w:rFonts w:ascii="Arial" w:cs="Arial" w:eastAsia="Arial" w:hAnsi="Arial"/>
          <w:sz w:val="18"/>
          <w:szCs w:val="18"/>
          <w:color w:val="auto"/>
        </w:rPr>
        <w:t xml:space="preserve"> one percent ([</w:t>
      </w:r>
      <w:r>
        <w:rPr>
          <w:rFonts w:ascii="Arial" w:cs="Arial" w:eastAsia="Arial" w:hAnsi="Arial"/>
          <w:sz w:val="18"/>
          <w:szCs w:val="18"/>
          <w:color w:val="FF0000"/>
          <w:strike w:val="1"/>
        </w:rPr>
        <w:t>1.00</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0.25</w:t>
      </w:r>
      <w:r>
        <w:rPr>
          <w:rFonts w:ascii="Arial" w:cs="Arial" w:eastAsia="Arial" w:hAnsi="Arial"/>
          <w:sz w:val="18"/>
          <w:szCs w:val="18"/>
          <w:color w:val="auto"/>
        </w:rPr>
        <w:t xml:space="preserve">%), such rate shall be deemed </w:t>
      </w:r>
      <w:r>
        <w:rPr>
          <w:rFonts w:ascii="Arial" w:cs="Arial" w:eastAsia="Arial" w:hAnsi="Arial"/>
          <w:sz w:val="18"/>
          <w:szCs w:val="18"/>
          <w:b w:val="1"/>
          <w:bCs w:val="1"/>
          <w:u w:val="single" w:color="auto"/>
          <w:color w:val="0000FF"/>
        </w:rPr>
        <w:t>one-fourth of</w:t>
      </w:r>
      <w:r>
        <w:rPr>
          <w:rFonts w:ascii="Arial" w:cs="Arial" w:eastAsia="Arial" w:hAnsi="Arial"/>
          <w:sz w:val="18"/>
          <w:szCs w:val="18"/>
          <w:color w:val="auto"/>
        </w:rPr>
        <w:t xml:space="preserve"> one percent ([</w:t>
      </w:r>
      <w:r>
        <w:rPr>
          <w:rFonts w:ascii="Arial" w:cs="Arial" w:eastAsia="Arial" w:hAnsi="Arial"/>
          <w:sz w:val="18"/>
          <w:szCs w:val="18"/>
          <w:color w:val="FF0000"/>
          <w:strike w:val="1"/>
        </w:rPr>
        <w:t>1.00</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0.25</w:t>
      </w:r>
      <w:r>
        <w:rPr>
          <w:rFonts w:ascii="Arial" w:cs="Arial" w:eastAsia="Arial" w:hAnsi="Arial"/>
          <w:sz w:val="18"/>
          <w:szCs w:val="18"/>
          <w:color w:val="auto"/>
        </w:rPr>
        <w:t>%) for purposes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“Eurodollar Rate Loan” means a Committed Loan that bears interest at a rate based on clause (a) of the definition of the Eurodollar Rate.</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“Event of Default” has the meaning specified in Section 8.01. An Event of Default shall be deemed to be continuing unless and until that Event of Default has been duly waived as provided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“Excluded Account” has the meaning specified in the Security Agreement.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“Excluded Swap Obligation” means, with respect to any Loan Party, any Swap Obligation if, and to the extent that, all or a portion of the guaranty of such Loan Party under the Facility Guaranty of, or the grant under a Loan Document by such Loan Party of a security interest to secure, such Swap Obligation (or any guaranty thereof) is or becomes illegal under the Commodity Exchange Act (or the application or official interpretation thereof) by virtue of such Loan Party’s failure for any reason to constitute an “eligible contract participant” as defined in the Commodity Exchange Act (determined after giving effect to Section 9.23 hereof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illegal.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22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“Excluded Taxes” means, with respect to the Lender, the L/C Issuer or any other recipient of any payment to be made by or on account of any obligation of the Loan Parties hereunder any of the following Taxes imposed on or with respect to any such Person or required to be withheld or deducted from a payment to such Person, (a) Taxes imposed on or measured by net income (however denominated), franchise Taxes, and branch profits Taxes, in each case, (i) imposed as a result of such Person being organized under the laws of, or having its principal office or, in the case of the Lender, the Lender’s Office being located in, the jurisdiction imposing such Tax (or any political subdivision thereof) or (ii) that are Other Connection Taxes, (b) in the case of the Lender, U.S. federal withholding Taxes imposed on amounts payable to or for the account of the Lender with respect to an applicable interest in a Loan or Commitment pursuant to a law in effect on the date on which (i) the Lender acquires such interest in the Loan or Commitment or (ii) the Lender changes the Lender’s Office, except in each case to the extent that, pursuant to Section 3.01(b) or (c), amounts with respect to such Taxes were payable either to the Lender’s assignor immediately before the Lender became a party hereto or to the Lender immediately before it changed the Lender’s Office, (c</w:t>
      </w:r>
      <w:r>
        <w:rPr>
          <w:rFonts w:ascii="Arial" w:cs="Arial" w:eastAsia="Arial" w:hAnsi="Arial"/>
          <w:sz w:val="16"/>
          <w:szCs w:val="16"/>
          <w:b w:val="1"/>
          <w:bCs w:val="1"/>
          <w:u w:val="single" w:color="auto"/>
          <w:color w:val="0000FF"/>
        </w:rPr>
        <w:t>) Taxes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attributable to such Person’s failure to comply with Section 3.01(f) and (d</w:t>
      </w:r>
      <w:r>
        <w:rPr>
          <w:rFonts w:ascii="Arial" w:cs="Arial" w:eastAsia="Arial" w:hAnsi="Arial"/>
          <w:sz w:val="16"/>
          <w:szCs w:val="16"/>
          <w:color w:val="000000"/>
        </w:rPr>
        <w:t>) any U.S. federal withholding Taxes imposed pursuant to FATCA.</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“Executive Order” has the meaning set forth in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“Existing Credit Agreement” means that certain Credit Agreement dated as of March 26, 2008 among the Borrower, the Guarantors, and Bank of America, N.A., as Lender, as the same has been amended, from time to time thereafter prior to the date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“Extraordinary Receipt” means any cash received by or paid to or for the account of any Person not in the ordinary course of business.</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“Facility Guaranty” means the Guaranty made by the Guarantors in favor of the Lender and the other Credit Parties, in form reasonably satisfactory to the Lender.</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u w:val="single" w:color="auto"/>
          <w:color w:val="0000FF"/>
        </w:rPr>
        <w:t>“Fair Market Value”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“FATCA” means Sections 1471 through 1474 of the Code, as of the date of this Agreement (or any amended or successor version that is substantively comparable and not materially more onerous to comply with)[ </w:t>
      </w:r>
      <w:r>
        <w:rPr>
          <w:rFonts w:ascii="Arial" w:cs="Arial" w:eastAsia="Arial" w:hAnsi="Arial"/>
          <w:sz w:val="16"/>
          <w:szCs w:val="16"/>
          <w:color w:val="FF0000"/>
          <w:strike w:val="1"/>
        </w:rPr>
        <w:t>and</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any current or future regulations or official interpretations thereof[ </w:t>
      </w:r>
      <w:r>
        <w:rPr>
          <w:rFonts w:ascii="Arial" w:cs="Arial" w:eastAsia="Arial" w:hAnsi="Arial"/>
          <w:sz w:val="16"/>
          <w:szCs w:val="16"/>
          <w:color w:val="FF0000"/>
          <w:strike w:val="1"/>
        </w:rPr>
        <w:t>and</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any agreements entered into pursuant to Section 1471(b)(1) of the Code </w:t>
      </w:r>
      <w:r>
        <w:rPr>
          <w:rFonts w:ascii="Arial" w:cs="Arial" w:eastAsia="Arial" w:hAnsi="Arial"/>
          <w:sz w:val="16"/>
          <w:szCs w:val="16"/>
          <w:b w:val="1"/>
          <w:bCs w:val="1"/>
          <w:u w:val="single" w:color="auto"/>
          <w:color w:val="0000FF"/>
        </w:rPr>
        <w:t>and any fiscal or regulatory legislation, rules or practices adopted pursuant to</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any intergovernmental agreement, treaty or convention among Governmental Authorities and implementing such Sections of the Code</w:t>
      </w:r>
      <w:r>
        <w:rPr>
          <w:rFonts w:ascii="Arial" w:cs="Arial" w:eastAsia="Arial" w:hAnsi="Arial"/>
          <w:sz w:val="16"/>
          <w:szCs w:val="16"/>
          <w:color w:val="000000"/>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23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“Federal Funds Rate”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Federal Funds Rate as so determined would be less than zero, such rate shall be deemed to be zero for purposes of this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“Fee Letter” means the letter agreement, dated October 27, 2011, among the Borrower and the Lender.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“Fiscal Month” means any fiscal month of any Fiscal Year, which month shall generally end on the Saturday closest to the end of each calendar month in accordance with the fiscal accounting calendar of the Loan Parties.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“Fiscal Quarter” means any fiscal quarter of any Fiscal Year, which quarters shall generally end on the Saturday closest to the end of each April, July, October and January of such Fiscal Year in accordance with the fiscal accounting calendar of the Loan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“Fiscal Year” means any period of twelve (12) consecutive months ending on the Saturday closest to January 31 of any calendar year.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“Foreign Assets Control Regulations” has the meaning set forth in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“FRB” means the Board of Governors of the Federal Reserve System of the United States.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“Fund” means any Person (other than a natural person) that is (or will be) engaged in making, purchasing, holding or otherwise investing in commercial loans and similar extensions of credit in the ordinary course of its business.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“Governmental Authority”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24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“Guarantee”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The term “Guarantee” as a verb has a corresponding meaning.</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“Guarantor” means (a) each Subsidiary of the Borrower existing on the [</w:t>
      </w:r>
      <w:r>
        <w:rPr>
          <w:rFonts w:ascii="Arial" w:cs="Arial" w:eastAsia="Arial" w:hAnsi="Arial"/>
          <w:sz w:val="17"/>
          <w:szCs w:val="17"/>
          <w:color w:val="FF0000"/>
          <w:strike w:val="1"/>
        </w:rPr>
        <w:t>Closing</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Third Amendment Effective</w:t>
      </w:r>
      <w:r>
        <w:rPr>
          <w:rFonts w:ascii="Arial" w:cs="Arial" w:eastAsia="Arial" w:hAnsi="Arial"/>
          <w:sz w:val="17"/>
          <w:szCs w:val="17"/>
          <w:color w:val="auto"/>
        </w:rPr>
        <w:t xml:space="preserve"> Date and each other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w:t>
      </w:r>
      <w:r>
        <w:rPr>
          <w:rFonts w:ascii="Arial" w:cs="Arial" w:eastAsia="Arial" w:hAnsi="Arial"/>
          <w:sz w:val="17"/>
          <w:szCs w:val="17"/>
          <w:color w:val="FF0000"/>
          <w:strike w:val="1"/>
        </w:rPr>
        <w:t>of the Borrower</w:t>
      </w:r>
      <w:r>
        <w:rPr>
          <w:rFonts w:ascii="Arial" w:cs="Arial" w:eastAsia="Arial" w:hAnsi="Arial"/>
          <w:sz w:val="17"/>
          <w:szCs w:val="17"/>
          <w:color w:val="auto"/>
        </w:rPr>
        <w:t>] that shall be required to execute and deliver a Facility Guaranty pursuant to Section 6.11 and (b) with respect to any Swap Obligation of a Specified Loan Party (determined before giving effect to Section 9.23 under the Facility Guaranty), the Borrower.</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“Hazardous Materials”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“Honor Date”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“Increase Effective Date” shall have the meaning provided therefor in </w:t>
      </w:r>
      <w:r>
        <w:rPr>
          <w:rFonts w:ascii="Arial" w:cs="Arial" w:eastAsia="Arial" w:hAnsi="Arial"/>
          <w:sz w:val="18"/>
          <w:szCs w:val="18"/>
          <w:u w:val="single" w:color="auto"/>
          <w:color w:val="auto"/>
        </w:rPr>
        <w:t>Section 2.12(b)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“Indebtedness”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660" w:firstLine="644"/>
        <w:spacing w:after="0" w:line="277" w:lineRule="auto"/>
        <w:tabs>
          <w:tab w:leader="none" w:pos="22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left="660" w:firstLine="644"/>
        <w:spacing w:after="0" w:line="277" w:lineRule="auto"/>
        <w:tabs>
          <w:tab w:leader="none" w:pos="2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25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1880" w:hanging="576"/>
        <w:spacing w:after="0"/>
        <w:tabs>
          <w:tab w:leader="none" w:pos="1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225" w:lineRule="exact"/>
        <w:rPr>
          <w:rFonts w:ascii="Arial" w:cs="Arial" w:eastAsia="Arial" w:hAnsi="Arial"/>
          <w:sz w:val="18"/>
          <w:szCs w:val="18"/>
          <w:color w:val="auto"/>
        </w:rPr>
      </w:pPr>
    </w:p>
    <w:p>
      <w:pPr>
        <w:ind w:left="660" w:firstLine="644"/>
        <w:spacing w:after="0" w:line="308" w:lineRule="auto"/>
        <w:tabs>
          <w:tab w:leader="none" w:pos="18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obligations of such Person to pay the deferred purchase price of property or services (other than trade accounts payable in the ordinary course of business and[</w:t>
      </w:r>
      <w:r>
        <w:rPr>
          <w:rFonts w:ascii="Arial" w:cs="Arial" w:eastAsia="Arial" w:hAnsi="Arial"/>
          <w:sz w:val="17"/>
          <w:szCs w:val="17"/>
          <w:color w:val="FF0000"/>
          <w:strike w:val="1"/>
        </w:rPr>
        <w:t>, in each case, not past due for more than sixty (60) days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consistent with past practices</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660" w:firstLine="644"/>
        <w:spacing w:after="0" w:line="263" w:lineRule="auto"/>
        <w:tabs>
          <w:tab w:leader="none" w:pos="18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3" w:lineRule="exact"/>
        <w:rPr>
          <w:rFonts w:ascii="Arial" w:cs="Arial" w:eastAsia="Arial" w:hAnsi="Arial"/>
          <w:sz w:val="18"/>
          <w:szCs w:val="18"/>
          <w:color w:val="auto"/>
        </w:rPr>
      </w:pPr>
    </w:p>
    <w:p>
      <w:pPr>
        <w:ind w:left="1840" w:hanging="536"/>
        <w:spacing w:after="0"/>
        <w:tabs>
          <w:tab w:leader="none" w:pos="1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Attributable Indebtedness of such Person;</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8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all obligations of such Person to purchase, redeem, retire, defease or otherwise make any payment in respect of any Equity Interest in such Person or any other Person (including, without limitation, Disqualified Stock), or any warrant, right or option to acquire such Equity Interest,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 and</w:t>
      </w:r>
    </w:p>
    <w:p>
      <w:pPr>
        <w:spacing w:after="0" w:line="186" w:lineRule="exact"/>
        <w:rPr>
          <w:rFonts w:ascii="Arial" w:cs="Arial" w:eastAsia="Arial" w:hAnsi="Arial"/>
          <w:sz w:val="18"/>
          <w:szCs w:val="18"/>
          <w:color w:val="auto"/>
        </w:rPr>
      </w:pPr>
    </w:p>
    <w:p>
      <w:pPr>
        <w:ind w:left="1860" w:hanging="556"/>
        <w:spacing w:after="0"/>
        <w:tabs>
          <w:tab w:leader="none" w:pos="1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“Indemnified Taxes” means Taxes</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other than Excluded Taxes</w:t>
      </w:r>
      <w:r>
        <w:rPr>
          <w:rFonts w:ascii="Arial" w:cs="Arial" w:eastAsia="Arial" w:hAnsi="Arial"/>
          <w:sz w:val="18"/>
          <w:szCs w:val="18"/>
          <w:b w:val="1"/>
          <w:bCs w:val="1"/>
          <w:u w:val="single" w:color="auto"/>
          <w:color w:val="0000FF"/>
        </w:rPr>
        <w:t>, imposed on or with respect to any payment made by or on account of any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obligation of any Loan Party under any Loan Document</w:t>
      </w:r>
      <w:r>
        <w:rPr>
          <w:rFonts w:ascii="Arial" w:cs="Arial" w:eastAsia="Arial" w:hAnsi="Arial"/>
          <w:sz w:val="18"/>
          <w:szCs w:val="18"/>
          <w:color w:val="000000"/>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“Indemnitees” has the meaning specified in </w:t>
      </w:r>
      <w:r>
        <w:rPr>
          <w:rFonts w:ascii="Arial" w:cs="Arial" w:eastAsia="Arial" w:hAnsi="Arial"/>
          <w:sz w:val="18"/>
          <w:szCs w:val="18"/>
          <w:u w:val="single" w:color="auto"/>
          <w:color w:val="auto"/>
        </w:rPr>
        <w:t>Section 9.04(b)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“Information” has the meaning specified in </w:t>
      </w:r>
      <w:r>
        <w:rPr>
          <w:rFonts w:ascii="Arial" w:cs="Arial" w:eastAsia="Arial" w:hAnsi="Arial"/>
          <w:sz w:val="18"/>
          <w:szCs w:val="18"/>
          <w:u w:val="single" w:color="auto"/>
          <w:color w:val="auto"/>
        </w:rPr>
        <w:t>Section 9.07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“Intellectual Property” means all present and future: trade secrets, know-how and other proprietary information; trademarks, trademark applications, internet domain names, service marks, trade dress, trade names, business names, designs, logos, slogans (and all translations, adaptations, derivations and combinations of the foregoing) indicia and other source and/or business identifiers, and all registrations or applications for registrations which have heretofore been or may hereafter be issued thereon throughout the world; copyrights and copyright applications; (including copyrights for computer programs) and all tangible and intangible property embodying the copyrights, unpatented inventions (whether or not patentable); patents and patent applications; industrial design applications and registered industrial designs; license agreements related to any of the foregoing and income therefrom; books, records, writings, computer tapes or disks, flow diagrams, specification sheets, computer software, source codes, object codes, executable code, data, databases and other physical manifestations, embodiments or incorporations of any of the foregoing; all other intellectual property; and all common law and other rights throughout the world in and to all of the foregoing.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26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Payment Date” means, (a) as to any Eurodollar Rate Loan, the last day of each Interest Period applicable to such Loan and the Maturity Date; provided, however, that if any Interest Period for a Eurodollar Rate Loan exceeds three (3) months, the respective dates that fall every three (3) months after the beginning of such Interest Period shall also be Interest Payment Dates; and (b) as to any Base Rate Loan, the first day of each calendar month, or if such day is not a Business Day, on the next succeeding Business Day, and the Maturity Date.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“Interest Period”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jc w:val="both"/>
        <w:ind w:left="1300" w:firstLine="652"/>
        <w:spacing w:after="0" w:line="263" w:lineRule="auto"/>
        <w:tabs>
          <w:tab w:leader="none" w:pos="24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83" w:lineRule="exact"/>
        <w:rPr>
          <w:rFonts w:ascii="Arial" w:cs="Arial" w:eastAsia="Arial" w:hAnsi="Arial"/>
          <w:sz w:val="18"/>
          <w:szCs w:val="18"/>
          <w:color w:val="auto"/>
        </w:rPr>
      </w:pPr>
    </w:p>
    <w:p>
      <w:pPr>
        <w:ind w:left="2520" w:hanging="568"/>
        <w:spacing w:after="0"/>
        <w:tabs>
          <w:tab w:leader="none" w:pos="2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 and</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the provisions of clause (iii), no Interest Period shall have a duration of less than one (1) month, and if any Interest Period applicable to a Eurodollar Borrowing would be for a shorter period, such Interest Period shall not be available hereunder.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hereof, the date of a Committed Borrowing initially shall be the date on which such Committed Borrowing is made and thereafter shall be the effective date of the most recent Conversion or continuation of such Committed Borrowing.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“Internal Control Event” means (i) a material weakness in the Borrower’s and/or its Subsidiaries’ internal controls over financial reporting that</w:t>
      </w:r>
      <w:r>
        <w:rPr>
          <w:rFonts w:ascii="Arial" w:cs="Arial" w:eastAsia="Arial" w:hAnsi="Arial"/>
          <w:sz w:val="18"/>
          <w:szCs w:val="18"/>
          <w:color w:val="auto"/>
        </w:rPr>
        <w:t xml:space="preserve"> </w:t>
      </w:r>
      <w:r>
        <w:rPr>
          <w:rFonts w:ascii="Arial" w:cs="Arial" w:eastAsia="Arial" w:hAnsi="Arial"/>
          <w:sz w:val="18"/>
          <w:szCs w:val="18"/>
          <w:color w:val="FF0000"/>
          <w:strike w:val="1"/>
        </w:rPr>
        <w:t>could reasonably be expected to have, either individually or in the aggregate, a Material Adverse Effect, or (ii) fraud related to the business of the Borrower and its Subsidiaries that involves management or other employees who have a significant role in the Borrower’s and/or its Subsidiaries’ internal controls over financial reporting.</w:t>
      </w:r>
      <w:r>
        <w:rPr>
          <w:rFonts w:ascii="Arial" w:cs="Arial" w:eastAsia="Arial" w:hAnsi="Arial"/>
          <w:sz w:val="18"/>
          <w:szCs w:val="18"/>
          <w:color w:val="000000"/>
          <w:strike w:val="1"/>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27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“Inventory” has the meaning given that term in the UCC, and shall also include, without limitation, all: (a) goods which (i) are leased by a Person as lessor, (ii) are held by a Person for sale or lease or to be furnished under a contract of service, (iii) are furnished by a Person under a contract of service, or (iv) consist of raw materials, work in process, or materials used or consumed in a business; (b) goods of said description in transit; (c) goods of said description which are returned, repossessed or rejected; and (d) packaging, advertising, and shipping materials related to any of the foregoing.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“Inventory Advance Rate” means sixty percent (60%).</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“Inventory Reserves” means such reserves as may be established from time to time by the Lender in its [</w:t>
      </w:r>
      <w:r>
        <w:rPr>
          <w:rFonts w:ascii="Arial" w:cs="Arial" w:eastAsia="Arial" w:hAnsi="Arial"/>
          <w:sz w:val="18"/>
          <w:szCs w:val="18"/>
          <w:color w:val="FF0000"/>
          <w:strike w:val="1"/>
        </w:rPr>
        <w:t>reasonable discretion</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Permitted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Discretion</w:t>
      </w:r>
      <w:r>
        <w:rPr>
          <w:rFonts w:ascii="Arial" w:cs="Arial" w:eastAsia="Arial" w:hAnsi="Arial"/>
          <w:sz w:val="18"/>
          <w:szCs w:val="18"/>
          <w:b w:val="1"/>
          <w:bCs w:val="1"/>
          <w:color w:val="0000FF"/>
        </w:rPr>
        <w:t xml:space="preserve"> </w:t>
      </w:r>
      <w:r>
        <w:rPr>
          <w:rFonts w:ascii="Arial" w:cs="Arial" w:eastAsia="Arial" w:hAnsi="Arial"/>
          <w:sz w:val="18"/>
          <w:szCs w:val="18"/>
          <w:color w:val="000000"/>
        </w:rPr>
        <w:t>with respect to the determination of the saleability, at retail, of the Eligible Inventory, which reflect such other factors as affect the market value</w:t>
      </w:r>
      <w:r>
        <w:rPr>
          <w:rFonts w:ascii="Arial" w:cs="Arial" w:eastAsia="Arial" w:hAnsi="Arial"/>
          <w:sz w:val="18"/>
          <w:szCs w:val="18"/>
          <w:b w:val="1"/>
          <w:bCs w:val="1"/>
          <w:color w:val="0000FF"/>
        </w:rPr>
        <w:t xml:space="preserve"> </w:t>
      </w:r>
      <w:r>
        <w:rPr>
          <w:rFonts w:ascii="Arial" w:cs="Arial" w:eastAsia="Arial" w:hAnsi="Arial"/>
          <w:sz w:val="18"/>
          <w:szCs w:val="18"/>
          <w:color w:val="000000"/>
        </w:rPr>
        <w:t>of the Eligible Inventory or which reflect claims and liabilities that the Lender determines will need to be satisfied in connection with the realization upon the Inventory</w:t>
      </w:r>
      <w:r>
        <w:rPr>
          <w:rFonts w:ascii="Arial" w:cs="Arial" w:eastAsia="Arial" w:hAnsi="Arial"/>
          <w:sz w:val="18"/>
          <w:szCs w:val="18"/>
          <w:b w:val="1"/>
          <w:bCs w:val="1"/>
          <w:u w:val="single" w:color="auto"/>
          <w:color w:val="0000FF"/>
        </w:rPr>
        <w:t>, without duplication of any other reserves or items that are otherwise addressed or excluded through eligibility criteria</w:t>
      </w:r>
      <w:r>
        <w:rPr>
          <w:rFonts w:ascii="Arial" w:cs="Arial" w:eastAsia="Arial" w:hAnsi="Arial"/>
          <w:sz w:val="18"/>
          <w:szCs w:val="18"/>
          <w:color w:val="000000"/>
        </w:rPr>
        <w:t>. Without limiting the generality of the foregoing, Inventory Reserves may, in the Lender’s [</w:t>
      </w:r>
      <w:r>
        <w:rPr>
          <w:rFonts w:ascii="Arial" w:cs="Arial" w:eastAsia="Arial" w:hAnsi="Arial"/>
          <w:sz w:val="18"/>
          <w:szCs w:val="18"/>
          <w:color w:val="FF0000"/>
          <w:strike w:val="1"/>
        </w:rPr>
        <w:t>reasonable discretion</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Permitted Discretion</w:t>
      </w:r>
      <w:r>
        <w:rPr>
          <w:rFonts w:ascii="Arial" w:cs="Arial" w:eastAsia="Arial" w:hAnsi="Arial"/>
          <w:sz w:val="18"/>
          <w:szCs w:val="18"/>
          <w:color w:val="000000"/>
        </w:rPr>
        <w:t>, include (but are not limited to) reserves based on:</w:t>
      </w:r>
    </w:p>
    <w:p>
      <w:pPr>
        <w:spacing w:after="0" w:line="191" w:lineRule="exact"/>
        <w:rPr>
          <w:sz w:val="20"/>
          <w:szCs w:val="20"/>
          <w:color w:val="auto"/>
        </w:rPr>
      </w:pPr>
    </w:p>
    <w:p>
      <w:pPr>
        <w:ind w:left="1860" w:hanging="556"/>
        <w:spacing w:after="0"/>
        <w:tabs>
          <w:tab w:leader="none" w:pos="1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Obsolescence;</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Shrink;</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Imbalance;</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in Inventory character;</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in Inventory composition;</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in Inventory mix;</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Mark-downs (both permanent and point of sale);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Retail mark-ons and mark-ups inconsistent with prior period practice and performance, industry standards, current business plans or advertising calendar and planned advertising events.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“Investment”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or (c) any Acquisition, or (d) any other investment of money or capital. For purposes of covenant compliance, the amount of any Investment shall be the amount actually invested, without adjustment for subsequent increases or decreases in the value of such Investment.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“IRS” means the United States Internal Revenue Service.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28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0000FF"/>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“ISP” means, with respect to any Letter of Credit, the “International Standby Practices 1998” published by the Institute of International Banking Law &amp; Practice (or such later version thereof as may be in effect at the time of issuance).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“Issuer Documents” means with respect to any Letter of Credit, the Letter of Credit Application, and any other document, agreement and instrument entered into by the L/C Issuer and the Borrower (or 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or in favor of the L/C Issuer and relating to any such Letter of Credit.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“Joinder Agreement” means an agreement, in form satisfactory to the Lender pursuant to which, among other things, a Person becomes a party to, and bound by the terms of, this Agreement and/or the other Loan Documents in the same capacity and to the same extent as either the Borrower or a Guarantor, as the Lender may determine.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“Landlord Lien State” means such state(s) in which a landlord’s claim for rent may have priority over the Lien of the Lender in any of the Collateral.</w:t>
      </w:r>
    </w:p>
    <w:p>
      <w:pPr>
        <w:spacing w:after="0" w:line="1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“Laws” means, collectively, all international, foreign, Federal, state and local statutes, treaties, rules, </w:t>
      </w:r>
      <w:r>
        <w:rPr>
          <w:rFonts w:ascii="Arial" w:cs="Arial" w:eastAsia="Arial" w:hAnsi="Arial"/>
          <w:sz w:val="16"/>
          <w:szCs w:val="16"/>
          <w:b w:val="1"/>
          <w:bCs w:val="1"/>
          <w:u w:val="single" w:color="auto"/>
          <w:color w:val="0000FF"/>
        </w:rPr>
        <w:t>binding</w:t>
      </w:r>
      <w:r>
        <w:rPr>
          <w:rFonts w:ascii="Arial" w:cs="Arial" w:eastAsia="Arial" w:hAnsi="Arial"/>
          <w:sz w:val="16"/>
          <w:szCs w:val="16"/>
          <w:color w:val="auto"/>
        </w:rPr>
        <w:t xml:space="preserve"> guidelines, regulations, ordinances, codes and administrative or judicial precedents or authorities, including the </w:t>
      </w:r>
      <w:r>
        <w:rPr>
          <w:rFonts w:ascii="Arial" w:cs="Arial" w:eastAsia="Arial" w:hAnsi="Arial"/>
          <w:sz w:val="16"/>
          <w:szCs w:val="16"/>
          <w:b w:val="1"/>
          <w:bCs w:val="1"/>
          <w:u w:val="single" w:color="auto"/>
          <w:color w:val="0000FF"/>
        </w:rPr>
        <w:t>binding</w:t>
      </w:r>
      <w:r>
        <w:rPr>
          <w:rFonts w:ascii="Arial" w:cs="Arial" w:eastAsia="Arial" w:hAnsi="Arial"/>
          <w:sz w:val="16"/>
          <w:szCs w:val="16"/>
          <w:color w:val="auto"/>
        </w:rPr>
        <w:t xml:space="preserve"> interpretation or administration thereof by any Governmental Authority charged with the enforcement, interpretation or administration thereof, and all applicable administrative orders, directed duties, [</w:t>
      </w:r>
      <w:r>
        <w:rPr>
          <w:rFonts w:ascii="Arial" w:cs="Arial" w:eastAsia="Arial" w:hAnsi="Arial"/>
          <w:sz w:val="16"/>
          <w:szCs w:val="16"/>
          <w:color w:val="FF0000"/>
          <w:strike w:val="1"/>
        </w:rPr>
        <w:t>requests,</w:t>
      </w:r>
      <w:r>
        <w:rPr>
          <w:rFonts w:ascii="Arial" w:cs="Arial" w:eastAsia="Arial" w:hAnsi="Arial"/>
          <w:sz w:val="16"/>
          <w:szCs w:val="16"/>
          <w:color w:val="auto"/>
        </w:rPr>
        <w:t xml:space="preserve"> ]licenses, authorizations and permits of, and </w:t>
      </w:r>
      <w:r>
        <w:rPr>
          <w:rFonts w:ascii="Arial" w:cs="Arial" w:eastAsia="Arial" w:hAnsi="Arial"/>
          <w:sz w:val="16"/>
          <w:szCs w:val="16"/>
          <w:b w:val="1"/>
          <w:bCs w:val="1"/>
          <w:u w:val="single" w:color="auto"/>
          <w:color w:val="0000FF"/>
        </w:rPr>
        <w:t>binding</w:t>
      </w:r>
      <w:r>
        <w:rPr>
          <w:rFonts w:ascii="Arial" w:cs="Arial" w:eastAsia="Arial" w:hAnsi="Arial"/>
          <w:sz w:val="16"/>
          <w:szCs w:val="16"/>
          <w:color w:val="auto"/>
        </w:rPr>
        <w:t xml:space="preserve"> agreements with, any Governmental Authority, in each case whether or not having the force of law.</w:t>
      </w:r>
    </w:p>
    <w:p>
      <w:pPr>
        <w:spacing w:after="0" w:line="15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“L/C Borrowing” means an extension of credit resulting from a drawing under any Letter of Credit which has not been reimbursed on the date when made or refinanced as a Committed Borrowing.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“L/C Credit Extension” means, with respect to any Letter of Credit, the issuance thereof or extension of the expiry date thereof, or the increase of the amount thereof.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“L/C Issuer” means the Lender, in its capacity as issuer of Letters of Credit hereunder. The L/C Issuer may, in its discretion, arrange for one or more Letters of Credit to be issued by Affiliates of the L/C Issuer, in which case the term “L/C Issuer” shall include any such Affiliate with respect to Letters of Credit issued by such Affiliate.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“L/C Obligations” means, as at any date of determination, the aggregate undrawn amount available to be drawn under all outstanding Letters of Credit plus the aggregate of all Unreimbursed Amounts, including all L/C Borrowings. For purposes of computing the amounts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Letter of Credit has expired by its terms but any amount may still be drawn thereunder by reason of the operation of any Rule under the ISP or any Article of UCP 600, such Letter of Credit shall be deemed to be “outstanding” in the amount so remaining available to be drawn.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29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“Lease” means any agreement, whether written or oral, no matter how styled or structured, pursuant to which a Loan Party is entitled to the use or occupancy of any real property for any period of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 has the meaning specified in the introductory paragraph hereto.</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“Lender’s Office” means the Lender’s address and, as appropriate, account as set forth on Schedule 9.02 hereto, or such other address or account as the Lender may from time to time notify the Borrower, which office may include any Affiliate of the Lender or any domestic or foreign branch of the Lender or such Affiliate. Unless the context otherwise requires each reference to the Lender shall include its applicable Lending Office.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“Letter of Credit” means each Banker’s Acceptance, each Standby Letter of Credit and each Commercial Letter of Credit issued hereunder.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“Letter of Credit Application” means an application and agreement for the issuance or amendment of a Letter of Credit in the form from time to time in use by the L/C Issuer.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“Letter of Credit Expiration Date” means the day that is seven (7) days prior to the Maturity Date then in effect (or, if such day is not a Business Day, the next preceding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“Letter of Credit Fee”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“Letter of Credit Sublimit” means an amount equal to $[</w:t>
      </w:r>
      <w:r>
        <w:rPr>
          <w:rFonts w:ascii="Arial" w:cs="Arial" w:eastAsia="Arial" w:hAnsi="Arial"/>
          <w:sz w:val="18"/>
          <w:szCs w:val="18"/>
          <w:color w:val="FF0000"/>
          <w:strike w:val="1"/>
        </w:rPr>
        <w:t>5,000,000</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20,000,000</w:t>
      </w:r>
      <w:r>
        <w:rPr>
          <w:rFonts w:ascii="Arial" w:cs="Arial" w:eastAsia="Arial" w:hAnsi="Arial"/>
          <w:sz w:val="18"/>
          <w:szCs w:val="18"/>
          <w:color w:val="auto"/>
        </w:rPr>
        <w:t>. The Letter of Credit Sublimit is part of, and not in addition to, the Commitment. A permanent reduction of the Commitment shall not require a corresponding pro rata reduction in the Letter of Credit Sublimit; provided, however, that if the Commitment is reduced to an amount less than the Letter of Credit Sublimit, then the Letter of Credit Sublimit shall be reduced to an amount equal to (or, at Borrower’s option, less than) the Commitment.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“LIBOR” has the meaning specified in the definition of Eurodollar Rate.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“LIBOR Screen Rate” means the LIBOR quote on the applicable screen page the Lender designates to determine LIBOR (or such other commercially available source providing such quotations as may be designated by the Lender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“LIBOR Successor Rate” has the meaning specified in </w:t>
      </w:r>
      <w:r>
        <w:rPr>
          <w:rFonts w:ascii="Arial" w:cs="Arial" w:eastAsia="Arial" w:hAnsi="Arial"/>
          <w:sz w:val="18"/>
          <w:szCs w:val="18"/>
          <w:u w:val="single" w:color="auto"/>
          <w:color w:val="auto"/>
        </w:rPr>
        <w:t>Section 3.03(c)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“LIBOR Successor Rate Conforming Changes” means, with respect to any proposed LIBOR Successor Rate, any conforming changes to the definition of Base Rate, Interest Period, timing and frequency of determining rates and making payments of interest and other technical, administrative or operational matters </w:t>
      </w:r>
      <w:r>
        <w:rPr>
          <w:rFonts w:ascii="Arial" w:cs="Arial" w:eastAsia="Arial" w:hAnsi="Arial"/>
          <w:sz w:val="17"/>
          <w:szCs w:val="17"/>
          <w:b w:val="1"/>
          <w:bCs w:val="1"/>
          <w:u w:val="single" w:color="auto"/>
          <w:color w:val="0000FF"/>
        </w:rPr>
        <w:t>(including, for the avoidance of doubt, the definition of Business Day, timing of borrowing requests or prepayment, conversion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or continuation notices and length of lookback periods)</w:t>
      </w:r>
      <w:r>
        <w:rPr>
          <w:rFonts w:ascii="Arial" w:cs="Arial" w:eastAsia="Arial" w:hAnsi="Arial"/>
          <w:sz w:val="17"/>
          <w:szCs w:val="17"/>
          <w:b w:val="1"/>
          <w:bCs w:val="1"/>
          <w:color w:val="0000FF"/>
        </w:rPr>
        <w:t xml:space="preserve"> </w:t>
      </w:r>
      <w:r>
        <w:rPr>
          <w:rFonts w:ascii="Arial" w:cs="Arial" w:eastAsia="Arial" w:hAnsi="Arial"/>
          <w:sz w:val="17"/>
          <w:szCs w:val="17"/>
          <w:color w:val="000000"/>
        </w:rPr>
        <w:t>as may be appropriate, in the discretion of the Lender, to reflect the adoption and</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implementation of such LIBOR Successor Rate and to permit the administration thereof by the Lender in a manner substantially consistent with market practice (or, if the Lender determines that adoption of any portion of such market practice is not administratively feasible or that no market practice for the administration of such LIBOR Successor Rate exists, in such other manner of administration as the Lender determines is reasonably necessary in connection with the administration of this Agreement </w:t>
      </w:r>
      <w:r>
        <w:rPr>
          <w:rFonts w:ascii="Arial" w:cs="Arial" w:eastAsia="Arial" w:hAnsi="Arial"/>
          <w:sz w:val="17"/>
          <w:szCs w:val="17"/>
          <w:b w:val="1"/>
          <w:bCs w:val="1"/>
          <w:u w:val="single" w:color="auto"/>
          <w:color w:val="0000FF"/>
        </w:rPr>
        <w:t>and any other Loan Document</w:t>
      </w:r>
      <w:r>
        <w:rPr>
          <w:rFonts w:ascii="Arial" w:cs="Arial" w:eastAsia="Arial" w:hAnsi="Arial"/>
          <w:sz w:val="17"/>
          <w:szCs w:val="17"/>
          <w:color w:val="000000"/>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30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7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FF0000"/>
          <w:strike w:val="1"/>
        </w:rPr>
        <w:t>Page</w:t>
      </w:r>
      <w:r>
        <w:rPr>
          <w:rFonts w:ascii="Arial" w:cs="Arial" w:eastAsia="Arial" w:hAnsi="Arial"/>
          <w:sz w:val="15"/>
          <w:szCs w:val="15"/>
          <w:b w:val="1"/>
          <w:bCs w:val="1"/>
          <w:color w:val="auto"/>
        </w:rPr>
        <w:t>]</w:t>
      </w:r>
    </w:p>
    <w:p>
      <w:pPr>
        <w:spacing w:after="0" w:line="24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“Lien” means (a) any mortgage, deed of trust, pledge, hypothecation, assignment, deposit arrangement, encumbrance, lien (statutory or other), charge, or preference, priority or other security interest or preferential arrangement in the nature of a security interest of any kind or nature whatsoever (including any conditional sale, Capital Lease Obligation, Synthetic Lease Obligation, or other title retention agreement, any easement, right of way or other encumbrance on title to real property, and any financing lease having substantially the same economic effect as any of the foregoing) and (b) in the case of securities, any purchase option, call or similar right of a third party with respect to such securities.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“Liquidation” means the exercise by the Lender of those rights and remedies accorded to the Lender under the Loan Documents and applicable Laws as a creditor of the Loan Parties with respect to the realization on the Collateral, including (after the occurrence and during the continuation of an Event of Default) the conduct by the Loan Parties acting with the consent of the Lender, of any public, private or “going-out-of-business”, “store closing” or other similar sale or any other disposition of the Collateral for the purpose of liquidating the Collateral. Derivations of the word “Liquidation” (such as “Liquidate”) are used with like meaning in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“Loan” means an extension of credit by the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Committed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“Loan Account” has the meaning assigned to such term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 Cap” means, at any time of determination, the lesser of (a) the Commitment [</w:t>
      </w:r>
      <w:r>
        <w:rPr>
          <w:rFonts w:ascii="Arial" w:cs="Arial" w:eastAsia="Arial" w:hAnsi="Arial"/>
          <w:sz w:val="18"/>
          <w:szCs w:val="18"/>
          <w:color w:val="FF0000"/>
          <w:strike w:val="1"/>
        </w:rPr>
        <w:t>or</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and</w:t>
      </w:r>
      <w:r>
        <w:rPr>
          <w:rFonts w:ascii="Arial" w:cs="Arial" w:eastAsia="Arial" w:hAnsi="Arial"/>
          <w:sz w:val="18"/>
          <w:szCs w:val="18"/>
          <w:color w:val="auto"/>
        </w:rPr>
        <w:t xml:space="preserve"> (b) the Borrowing Base.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“Loan Documents” means this Agreement, each Note, each Issuer Document, the Fee Letter, all Borrowing Base Certificates, the Blocked Account Agreements, the Credit Card Notifications, the Security Documents, the Facility Guaranty and any other instrument or agreement now or hereafter executed and delivered in connection herewith, or in connection with any transaction arising out of any Cash Management Services and Bank Products provided by the Lender or any of its Affiliates, each as amended and in effect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 Parties” means, collectively, the Borrower and each Guarantor.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31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7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FF0000"/>
          <w:strike w:val="1"/>
        </w:rPr>
        <w:t>Page</w:t>
      </w:r>
      <w:r>
        <w:rPr>
          <w:rFonts w:ascii="Arial" w:cs="Arial" w:eastAsia="Arial" w:hAnsi="Arial"/>
          <w:sz w:val="15"/>
          <w:szCs w:val="15"/>
          <w:b w:val="1"/>
          <w:bCs w:val="1"/>
          <w:color w:val="auto"/>
        </w:rPr>
        <w:t>]</w:t>
      </w:r>
    </w:p>
    <w:p>
      <w:pPr>
        <w:spacing w:after="0" w:line="24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“London Banking Day” means any day on which dealings in Dollar deposits are conducted by and between banks in the London interbank eurodollar market.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“Material Adverse Effect” means (a) a material adverse change in, or a material adverse effect upon, the operations, business, properties, [</w:t>
      </w:r>
      <w:r>
        <w:rPr>
          <w:rFonts w:ascii="Arial" w:cs="Arial" w:eastAsia="Arial" w:hAnsi="Arial"/>
          <w:sz w:val="17"/>
          <w:szCs w:val="17"/>
          <w:color w:val="FF0000"/>
          <w:strike w:val="1"/>
        </w:rPr>
        <w:t>liabilities (actual or contingent),</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or</w:t>
      </w:r>
      <w:r>
        <w:rPr>
          <w:rFonts w:ascii="Arial" w:cs="Arial" w:eastAsia="Arial" w:hAnsi="Arial"/>
          <w:sz w:val="17"/>
          <w:szCs w:val="17"/>
          <w:color w:val="auto"/>
        </w:rPr>
        <w:t xml:space="preserve"> condition (financial or otherwise) [</w:t>
      </w:r>
      <w:r>
        <w:rPr>
          <w:rFonts w:ascii="Arial" w:cs="Arial" w:eastAsia="Arial" w:hAnsi="Arial"/>
          <w:sz w:val="17"/>
          <w:szCs w:val="17"/>
          <w:color w:val="FF0000"/>
          <w:strike w:val="1"/>
        </w:rPr>
        <w:t>or prospects</w:t>
      </w:r>
      <w:r>
        <w:rPr>
          <w:rFonts w:ascii="Arial" w:cs="Arial" w:eastAsia="Arial" w:hAnsi="Arial"/>
          <w:sz w:val="17"/>
          <w:szCs w:val="17"/>
          <w:color w:val="auto"/>
        </w:rPr>
        <w:t xml:space="preserve"> ]of the Borrower and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the [</w:t>
      </w:r>
      <w:r>
        <w:rPr>
          <w:rFonts w:ascii="Arial" w:cs="Arial" w:eastAsia="Arial" w:hAnsi="Arial"/>
          <w:sz w:val="17"/>
          <w:szCs w:val="17"/>
          <w:color w:val="FF0000"/>
          <w:strike w:val="1"/>
        </w:rPr>
        <w:t>Second</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Third</w:t>
      </w:r>
      <w:r>
        <w:rPr>
          <w:rFonts w:ascii="Arial" w:cs="Arial" w:eastAsia="Arial" w:hAnsi="Arial"/>
          <w:sz w:val="17"/>
          <w:szCs w:val="17"/>
          <w:color w:val="auto"/>
        </w:rPr>
        <w:t xml:space="preserve"> Amendment Effective Date, the temporary closure of the Loan Parties’ store locations and other operational disruptions affecting the Loan Parties, in each case as a direct result of the COVID-19 pandemic, shall not be deemed to have resulted in a Material Adverse Effect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(b) a material impairment of the ability of the Borrower and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taken as a whole to perform their obligations under the Loan Documents; or (c) a material impairment of the rights and remedies of the Lender under the Loan Documents or a material adverse effect upon the [</w:t>
      </w:r>
      <w:r>
        <w:rPr>
          <w:rFonts w:ascii="Arial" w:cs="Arial" w:eastAsia="Arial" w:hAnsi="Arial"/>
          <w:sz w:val="17"/>
          <w:szCs w:val="17"/>
          <w:color w:val="FF0000"/>
          <w:strike w:val="1"/>
        </w:rPr>
        <w:t>legality,</w:t>
      </w:r>
      <w:r>
        <w:rPr>
          <w:rFonts w:ascii="Arial" w:cs="Arial" w:eastAsia="Arial" w:hAnsi="Arial"/>
          <w:sz w:val="17"/>
          <w:szCs w:val="17"/>
          <w:color w:val="auto"/>
        </w:rPr>
        <w:t xml:space="preserve"> ]validity[</w:t>
      </w:r>
      <w:r>
        <w:rPr>
          <w:rFonts w:ascii="Arial" w:cs="Arial" w:eastAsia="Arial" w:hAnsi="Arial"/>
          <w:sz w:val="17"/>
          <w:szCs w:val="17"/>
          <w:color w:val="FF0000"/>
          <w:strike w:val="1"/>
        </w:rPr>
        <w:t>, binding effect</w:t>
      </w:r>
      <w:r>
        <w:rPr>
          <w:rFonts w:ascii="Arial" w:cs="Arial" w:eastAsia="Arial" w:hAnsi="Arial"/>
          <w:sz w:val="17"/>
          <w:szCs w:val="17"/>
          <w:color w:val="auto"/>
        </w:rPr>
        <w:t xml:space="preserve">] or enforceability of the Loan Documents against the Borrower and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taken as a whole. In determining whether any individual event would result in a Material Adverse Effect, notwithstanding that such event in and of itself does not have such effect, a Material Adverse Effect shall be deemed to have occurred if the cumulative effect of such event and all other then existing events would result in a Material Adverse Effect.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“Material Contract” means, with respect to any Person, each contract to which such Person is a party if the failure to maintain such contract in full force and effect would be reasonably [</w:t>
      </w:r>
      <w:r>
        <w:rPr>
          <w:rFonts w:ascii="Arial" w:cs="Arial" w:eastAsia="Arial" w:hAnsi="Arial"/>
          <w:sz w:val="18"/>
          <w:szCs w:val="18"/>
          <w:color w:val="FF0000"/>
          <w:strike w:val="1"/>
        </w:rPr>
        <w:t>likely</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expected</w:t>
      </w:r>
      <w:r>
        <w:rPr>
          <w:rFonts w:ascii="Arial" w:cs="Arial" w:eastAsia="Arial" w:hAnsi="Arial"/>
          <w:sz w:val="18"/>
          <w:szCs w:val="18"/>
          <w:color w:val="auto"/>
        </w:rPr>
        <w:t xml:space="preserve"> to result in a Material Adverse Effect.</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“Material Indebtedness” means Indebtedness (other than the Obligations) of the Loan Parties in [</w:t>
      </w:r>
      <w:r>
        <w:rPr>
          <w:rFonts w:ascii="Arial" w:cs="Arial" w:eastAsia="Arial" w:hAnsi="Arial"/>
          <w:sz w:val="16"/>
          <w:szCs w:val="16"/>
          <w:color w:val="FF0000"/>
          <w:strike w:val="1"/>
        </w:rPr>
        <w:t>an aggregate</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principal amount exceeding $[</w:t>
      </w:r>
      <w:r>
        <w:rPr>
          <w:rFonts w:ascii="Arial" w:cs="Arial" w:eastAsia="Arial" w:hAnsi="Arial"/>
          <w:sz w:val="16"/>
          <w:szCs w:val="16"/>
          <w:color w:val="FF0000"/>
          <w:strike w:val="1"/>
        </w:rPr>
        <w:t>5,000,000</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20,000,000</w:t>
      </w:r>
      <w:r>
        <w:rPr>
          <w:rFonts w:ascii="Arial" w:cs="Arial" w:eastAsia="Arial" w:hAnsi="Arial"/>
          <w:sz w:val="16"/>
          <w:szCs w:val="16"/>
          <w:color w:val="auto"/>
        </w:rPr>
        <w:t>. For purposes of determining the amount of Material Indebtedness at any time, [</w:t>
      </w:r>
      <w:r>
        <w:rPr>
          <w:rFonts w:ascii="Arial" w:cs="Arial" w:eastAsia="Arial" w:hAnsi="Arial"/>
          <w:sz w:val="16"/>
          <w:szCs w:val="16"/>
          <w:color w:val="FF0000"/>
          <w:strike w:val="1"/>
        </w:rPr>
        <w:t>(a)</w:t>
      </w:r>
      <w:r>
        <w:rPr>
          <w:rFonts w:ascii="Arial" w:cs="Arial" w:eastAsia="Arial" w:hAnsi="Arial"/>
          <w:sz w:val="16"/>
          <w:szCs w:val="16"/>
          <w:color w:val="auto"/>
        </w:rPr>
        <w:t xml:space="preserve"> ]the amount of the obligations in respect of any Swap Contract at such time shall be calculated at the Swap Termination Value thereof[</w:t>
      </w:r>
      <w:r>
        <w:rPr>
          <w:rFonts w:ascii="Arial" w:cs="Arial" w:eastAsia="Arial" w:hAnsi="Arial"/>
          <w:sz w:val="16"/>
          <w:szCs w:val="16"/>
          <w:color w:val="FF0000"/>
          <w:strike w:val="1"/>
        </w:rPr>
        <w:t>, (b) undrawn committed or available amounts shall be included, and</w:t>
      </w:r>
    </w:p>
    <w:p>
      <w:pPr>
        <w:spacing w:after="0" w:line="2" w:lineRule="exact"/>
        <w:rPr>
          <w:sz w:val="20"/>
          <w:szCs w:val="20"/>
          <w:color w:val="auto"/>
        </w:rPr>
      </w:pPr>
    </w:p>
    <w:p>
      <w:pPr>
        <w:ind w:left="660" w:right="1780" w:hanging="652"/>
        <w:spacing w:after="0" w:line="492" w:lineRule="auto"/>
        <w:tabs>
          <w:tab w:leader="none" w:pos="257" w:val="left"/>
        </w:tabs>
        <w:numPr>
          <w:ilvl w:val="0"/>
          <w:numId w:val="31"/>
        </w:numPr>
        <w:rPr>
          <w:rFonts w:ascii="Arial" w:cs="Arial" w:eastAsia="Arial" w:hAnsi="Arial"/>
          <w:sz w:val="18"/>
          <w:szCs w:val="18"/>
          <w:color w:val="FF0000"/>
          <w:strike w:val="1"/>
        </w:rPr>
      </w:pPr>
      <w:r>
        <w:rPr>
          <w:rFonts w:ascii="Arial" w:cs="Arial" w:eastAsia="Arial" w:hAnsi="Arial"/>
          <w:sz w:val="18"/>
          <w:szCs w:val="18"/>
          <w:color w:val="FF0000"/>
          <w:strike w:val="1"/>
        </w:rPr>
        <w:t>all amounts owing to all creditors under any combined or syndicated credit arrangement shall be included, without duplication.</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color w:val="000000"/>
        </w:rPr>
        <w:t>“Maturity Date” means [</w:t>
      </w:r>
      <w:r>
        <w:rPr>
          <w:rFonts w:ascii="Arial" w:cs="Arial" w:eastAsia="Arial" w:hAnsi="Arial"/>
          <w:sz w:val="18"/>
          <w:szCs w:val="18"/>
          <w:color w:val="FF0000"/>
          <w:strike w:val="1"/>
        </w:rPr>
        <w:t>August 18</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April 15</w:t>
      </w:r>
      <w:r>
        <w:rPr>
          <w:rFonts w:ascii="Arial" w:cs="Arial" w:eastAsia="Arial" w:hAnsi="Arial"/>
          <w:sz w:val="18"/>
          <w:szCs w:val="18"/>
          <w:color w:val="000000"/>
        </w:rPr>
        <w:t>, [</w:t>
      </w:r>
      <w:r>
        <w:rPr>
          <w:rFonts w:ascii="Arial" w:cs="Arial" w:eastAsia="Arial" w:hAnsi="Arial"/>
          <w:sz w:val="18"/>
          <w:szCs w:val="18"/>
          <w:color w:val="FF0000"/>
          <w:strike w:val="1"/>
        </w:rPr>
        <w:t>2021</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2026</w:t>
      </w:r>
      <w:r>
        <w:rPr>
          <w:rFonts w:ascii="Arial" w:cs="Arial" w:eastAsia="Arial" w:hAnsi="Arial"/>
          <w:sz w:val="18"/>
          <w:szCs w:val="18"/>
          <w:color w:val="000000"/>
        </w:rPr>
        <w:t>.</w:t>
      </w:r>
    </w:p>
    <w:p>
      <w:pPr>
        <w:spacing w:after="0" w:line="1" w:lineRule="exact"/>
        <w:rPr>
          <w:rFonts w:ascii="Arial" w:cs="Arial" w:eastAsia="Arial" w:hAnsi="Arial"/>
          <w:sz w:val="18"/>
          <w:szCs w:val="18"/>
          <w:color w:val="FF0000"/>
          <w:strike w:val="1"/>
        </w:rPr>
      </w:pPr>
    </w:p>
    <w:p>
      <w:pPr>
        <w:ind w:left="660"/>
        <w:spacing w:after="0"/>
        <w:rPr>
          <w:rFonts w:ascii="Arial" w:cs="Arial" w:eastAsia="Arial" w:hAnsi="Arial"/>
          <w:sz w:val="18"/>
          <w:szCs w:val="18"/>
          <w:color w:val="FF0000"/>
          <w:strike w:val="1"/>
        </w:rPr>
      </w:pPr>
      <w:r>
        <w:rPr>
          <w:rFonts w:ascii="Arial" w:cs="Arial" w:eastAsia="Arial" w:hAnsi="Arial"/>
          <w:sz w:val="18"/>
          <w:szCs w:val="18"/>
          <w:color w:val="auto"/>
        </w:rPr>
        <w:t xml:space="preserve">“Maximum Rate” has the meaning provided therefor in </w:t>
      </w:r>
      <w:r>
        <w:rPr>
          <w:rFonts w:ascii="Arial" w:cs="Arial" w:eastAsia="Arial" w:hAnsi="Arial"/>
          <w:sz w:val="18"/>
          <w:szCs w:val="18"/>
          <w:u w:val="single" w:color="auto"/>
          <w:color w:val="auto"/>
        </w:rPr>
        <w:t>Section 9.09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“Measurement Period” means, at any date of determination, the most recently completed twelve (12) Fiscal Months of the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and any successor thereto.</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“Multiemployer Plan”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32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7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FF0000"/>
          <w:strike w:val="1"/>
        </w:rPr>
        <w:t>Page</w:t>
      </w:r>
      <w:r>
        <w:rPr>
          <w:rFonts w:ascii="Arial" w:cs="Arial" w:eastAsia="Arial" w:hAnsi="Arial"/>
          <w:sz w:val="15"/>
          <w:szCs w:val="15"/>
          <w:b w:val="1"/>
          <w:bCs w:val="1"/>
          <w:color w:val="auto"/>
        </w:rPr>
        <w:t>]</w:t>
      </w:r>
    </w:p>
    <w:p>
      <w:pPr>
        <w:spacing w:after="0" w:line="2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“Multiple Employer Plan” means a Plan which has two or more contributing sponsors (including the Borrower or any ERISA Affiliate) at least two of whom are not under common control, as such a plan is described in Section 4064 of ERISA.</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“Net Proceeds” means (a) with respect to any Disposition by any Loan Party 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or any Extraordinary Receipt received or paid to the account of any Loan Party 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any Indebtedness that is secured by the applicable asset by a Lien permitted hereunder which is senior to the Lender’s Lien on such asset and that is required to be repaid (or to establish an escrow for the future repayment thereof) in connection with such transaction (other than Indebtedness under the Loan Documents), and (B) the reasonable and customary out-of-pocket expenses incurred by such Loan Party or such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in connection with such transaction (including, without limitation, appraisals, and brokerage, legal, title and recording or transfer tax expenses and commissions) paid by any Loan Party to third parties (other than Affiliates)); and (b) with respect to the sale or issuance of any Equity Interest by any Loan Party 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or the incurrence or issuance of any Indebtedness by any Loan Party 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the excess of (i) the sum of the cash and cash equivalents received in connection with such transaction over (ii) the underwriting discounts and commissions, and other reasonable and customary out-of-pocket expenses, incurred by such Loan Party or such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in connection therewith.</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“Non-Extension Notice Date” has the meaning specified in </w:t>
      </w:r>
      <w:r>
        <w:rPr>
          <w:rFonts w:ascii="Arial" w:cs="Arial" w:eastAsia="Arial" w:hAnsi="Arial"/>
          <w:sz w:val="18"/>
          <w:szCs w:val="18"/>
          <w:u w:val="single" w:color="auto"/>
          <w:color w:val="auto"/>
        </w:rPr>
        <w:t>Section 2.03(b)(iii)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“Note” means (a) a promissory note made by the Borrower in favor of the Lender evidencing Committed Loans made by the Lender,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as amended, supplemented or modified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“NPL” means the National Priorities List under CERCLA.</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“Obligations” means (a) all advances to, and debts (including principal, interest, fees, costs, and expenses), liabilities, obligations, covenants, indemnities, and duties of, any Loan Party arising under any Loan Document or otherwise with respect to any Loan or Letter of Credit (including payments in respect of reimbursement of disbursements, interest thereon and obligations to provide cash collateral therefor), whether direct or indirect (including those acquired by assumption), absolute or contingent, due or to become due, now existing or hereafter arising and including interest, fees, costs, expenses and indemnities that accrue after the commencement by or against any Loan Party or any Affiliate thereof of any proceeding under any Debtor Relief Laws naming such Person as the debtor in such proceeding, regardless of whether such interest, fees costs, expenses and indemnities are allowed claims in such proceeding, and (b) any Other Liabilities; provided that Obligations of a Loan Party shall exclude any Excluded Swap Obligations with respect to such Loan Party.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33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“OFAC” means the Office of Foreign Assets Control of the United States Department of the Treasury.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“Organization Documents”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in each case, all shareholder or other equity holder agreements, voting trusts and similar arrangements to which such Person is a party or which is applicable to its Equity Interests and all other arrangements relating to the Control or management of such Person.</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Connection Taxes” means, with respect to the Lender, the L/C Issuer or any other recipient of any payment to be made by or on account of any obligation of the Loan Parties hereunder, Taxes imposed as a result of a present or former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“Other Liabilities” means any obligation on account of (a) any Cash Management Services furnished to any of the Loan Parties or any of their </w:t>
      </w:r>
      <w:r>
        <w:rPr>
          <w:rFonts w:ascii="Arial" w:cs="Arial" w:eastAsia="Arial" w:hAnsi="Arial"/>
          <w:sz w:val="17"/>
          <w:szCs w:val="17"/>
          <w:b w:val="1"/>
          <w:bCs w:val="1"/>
          <w:u w:val="single" w:color="auto"/>
          <w:color w:val="0000FF"/>
        </w:rPr>
        <w:t>Restricted</w:t>
      </w:r>
      <w:r>
        <w:rPr>
          <w:rFonts w:ascii="Arial" w:cs="Arial" w:eastAsia="Arial" w:hAnsi="Arial"/>
          <w:sz w:val="17"/>
          <w:szCs w:val="17"/>
          <w:b w:val="1"/>
          <w:bCs w:val="1"/>
          <w:color w:val="0000FF"/>
        </w:rPr>
        <w:t xml:space="preserve"> </w:t>
      </w:r>
      <w:r>
        <w:rPr>
          <w:rFonts w:ascii="Arial" w:cs="Arial" w:eastAsia="Arial" w:hAnsi="Arial"/>
          <w:sz w:val="17"/>
          <w:szCs w:val="17"/>
          <w:color w:val="000000"/>
        </w:rPr>
        <w:t>Subsidiaries and/or (b) any Bank Product furnished to any of the Loan Parties and/or any of their</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Restricted</w:t>
      </w:r>
      <w:r>
        <w:rPr>
          <w:rFonts w:ascii="Arial" w:cs="Arial" w:eastAsia="Arial" w:hAnsi="Arial"/>
          <w:sz w:val="17"/>
          <w:szCs w:val="17"/>
          <w:b w:val="1"/>
          <w:bCs w:val="1"/>
          <w:color w:val="0000FF"/>
        </w:rPr>
        <w:t xml:space="preserve"> </w:t>
      </w:r>
      <w:r>
        <w:rPr>
          <w:rFonts w:ascii="Arial" w:cs="Arial" w:eastAsia="Arial" w:hAnsi="Arial"/>
          <w:sz w:val="17"/>
          <w:szCs w:val="17"/>
          <w:color w:val="000000"/>
        </w:rPr>
        <w:t>Subsidiaries.</w:t>
      </w:r>
    </w:p>
    <w:p>
      <w:pPr>
        <w:spacing w:after="0" w:line="14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“Outstanding Amount” means (i) with respect to Committed Loans on any date, the aggregate outstanding principal amount thereof after giving effect to any borrowings and prepayments or repayments of Loans occurring on such date; and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“Overadvance” means a Credit Extension to the extent that, immediately after its having been made, Availability is less than zero.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“Participant” has the meaning specified in </w:t>
      </w:r>
      <w:r>
        <w:rPr>
          <w:rFonts w:ascii="Arial" w:cs="Arial" w:eastAsia="Arial" w:hAnsi="Arial"/>
          <w:sz w:val="18"/>
          <w:szCs w:val="18"/>
          <w:u w:val="single" w:color="auto"/>
          <w:color w:val="auto"/>
        </w:rPr>
        <w:t>Section 9.06(c)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34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7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FF0000"/>
          <w:strike w:val="1"/>
        </w:rPr>
        <w:t>Page</w:t>
      </w:r>
      <w:r>
        <w:rPr>
          <w:rFonts w:ascii="Arial" w:cs="Arial" w:eastAsia="Arial" w:hAnsi="Arial"/>
          <w:sz w:val="15"/>
          <w:szCs w:val="15"/>
          <w:b w:val="1"/>
          <w:bCs w:val="1"/>
          <w:color w:val="auto"/>
        </w:rPr>
        <w:t>]</w:t>
      </w:r>
    </w:p>
    <w:p>
      <w:pPr>
        <w:spacing w:after="0" w:line="24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“Payment Conditions” means, at the time of determination with respect to any specified transaction or payment, that (a) no[ </w:t>
      </w:r>
      <w:r>
        <w:rPr>
          <w:rFonts w:ascii="Arial" w:cs="Arial" w:eastAsia="Arial" w:hAnsi="Arial"/>
          <w:sz w:val="17"/>
          <w:szCs w:val="17"/>
          <w:color w:val="FF0000"/>
          <w:strike w:val="1"/>
        </w:rPr>
        <w:t>Default or</w:t>
      </w:r>
      <w:r>
        <w:rPr>
          <w:rFonts w:ascii="Arial" w:cs="Arial" w:eastAsia="Arial" w:hAnsi="Arial"/>
          <w:sz w:val="17"/>
          <w:szCs w:val="17"/>
          <w:color w:val="auto"/>
        </w:rPr>
        <w:t>] Event of Default then exists or would arise as a result of entering into such transaction or the making of such payment[</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and</w:t>
      </w:r>
      <w:r>
        <w:rPr>
          <w:rFonts w:ascii="Arial" w:cs="Arial" w:eastAsia="Arial" w:hAnsi="Arial"/>
          <w:sz w:val="17"/>
          <w:szCs w:val="17"/>
          <w:color w:val="auto"/>
        </w:rPr>
        <w:t xml:space="preserve"> (b) after giving effect to such transaction or payment, the Pro Forma Availability Condition has been satisfied and the Consolidated Fixed Charge Coverage Ratio, as calculated on a pro-forma basis for the applicable Measurement Period (as if such transaction or payment had been made on the first day of the applicable Measurement Period), is equal to or greater than 1.0:1.0, immediately preceding, and on a pro forma basis on the date thereof, after giving effect to such transaction or payment;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color w:val="FF0000"/>
          <w:strike w:val="1"/>
        </w:rPr>
        <w:t>,</w:t>
      </w:r>
      <w:r>
        <w:rPr>
          <w:rFonts w:ascii="Arial" w:cs="Arial" w:eastAsia="Arial" w:hAnsi="Arial"/>
          <w:sz w:val="17"/>
          <w:szCs w:val="17"/>
          <w:color w:val="auto"/>
        </w:rPr>
        <w:t xml:space="preserve">] that compliance with the Consolidated Fixed Charge Coverage Ratio shall not be required if after giving effect to such transaction or payment[ </w:t>
      </w:r>
      <w:r>
        <w:rPr>
          <w:rFonts w:ascii="Arial" w:cs="Arial" w:eastAsia="Arial" w:hAnsi="Arial"/>
          <w:sz w:val="17"/>
          <w:szCs w:val="17"/>
          <w:color w:val="FF0000"/>
          <w:strike w:val="1"/>
        </w:rPr>
        <w:t>and projected for the succeeding six (6) months following such transaction or payment</w:t>
      </w:r>
      <w:r>
        <w:rPr>
          <w:rFonts w:ascii="Arial" w:cs="Arial" w:eastAsia="Arial" w:hAnsi="Arial"/>
          <w:sz w:val="17"/>
          <w:szCs w:val="17"/>
          <w:color w:val="auto"/>
        </w:rPr>
        <w:t>], Pro Forma Availability shall be no less than [</w:t>
      </w:r>
      <w:r>
        <w:rPr>
          <w:rFonts w:ascii="Arial" w:cs="Arial" w:eastAsia="Arial" w:hAnsi="Arial"/>
          <w:sz w:val="17"/>
          <w:szCs w:val="17"/>
          <w:color w:val="FF0000"/>
          <w:strike w:val="1"/>
        </w:rPr>
        <w:t>30</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greater of (i) 20</w:t>
      </w:r>
      <w:r>
        <w:rPr>
          <w:rFonts w:ascii="Arial" w:cs="Arial" w:eastAsia="Arial" w:hAnsi="Arial"/>
          <w:sz w:val="17"/>
          <w:szCs w:val="17"/>
          <w:color w:val="000000"/>
        </w:rPr>
        <w:t>% of the Loan Cap</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and $11,250,000</w:t>
      </w:r>
      <w:r>
        <w:rPr>
          <w:rFonts w:ascii="Arial" w:cs="Arial" w:eastAsia="Arial" w:hAnsi="Arial"/>
          <w:sz w:val="17"/>
          <w:szCs w:val="17"/>
          <w:color w:val="000000"/>
        </w:rPr>
        <w:t>. Prior to undertaking any transaction or payment which is subject to the Payment Conditions, the</w:t>
      </w:r>
      <w:r>
        <w:rPr>
          <w:rFonts w:ascii="Arial" w:cs="Arial" w:eastAsia="Arial" w:hAnsi="Arial"/>
          <w:sz w:val="17"/>
          <w:szCs w:val="17"/>
          <w:b w:val="1"/>
          <w:bCs w:val="1"/>
          <w:color w:val="0000FF"/>
        </w:rPr>
        <w:t xml:space="preserve"> </w:t>
      </w:r>
      <w:r>
        <w:rPr>
          <w:rFonts w:ascii="Arial" w:cs="Arial" w:eastAsia="Arial" w:hAnsi="Arial"/>
          <w:sz w:val="17"/>
          <w:szCs w:val="17"/>
          <w:color w:val="000000"/>
        </w:rPr>
        <w:t>Loan Parties shall deliver to the Lender evidence of satisfaction of the conditions contained in clause (b) above on a basis (including, without limitation, giving due consideration to results for prior periods) reasonably satisfactory to the Lender.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“PBGC” means the Pension Benefit Guaranty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“PCAOB” means the Public Company Accounting Oversight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“Pension Funding Rules” means the rules of the Code and ERISA regarding minimum funding standards with respect to Pension Plans and set forth in Sections 412, 430, 431, 432 and 436 of the Code and Sections 302, 303, 304 and 305 of ERISA.</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“Pension Plan”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“Permitted Acquisition” means[ </w:t>
      </w:r>
      <w:r>
        <w:rPr>
          <w:rFonts w:ascii="Arial" w:cs="Arial" w:eastAsia="Arial" w:hAnsi="Arial"/>
          <w:sz w:val="18"/>
          <w:szCs w:val="18"/>
          <w:color w:val="FF0000"/>
          <w:strike w:val="1"/>
        </w:rPr>
        <w:t>a Permitted Store Acquisition or</w:t>
      </w:r>
      <w:r>
        <w:rPr>
          <w:rFonts w:ascii="Arial" w:cs="Arial" w:eastAsia="Arial" w:hAnsi="Arial"/>
          <w:sz w:val="18"/>
          <w:szCs w:val="18"/>
          <w:color w:val="auto"/>
        </w:rPr>
        <w:t>] an Acquisition in which all of the following conditions are satisfied:</w:t>
      </w:r>
    </w:p>
    <w:p>
      <w:pPr>
        <w:spacing w:after="0" w:line="225" w:lineRule="exact"/>
        <w:rPr>
          <w:sz w:val="20"/>
          <w:szCs w:val="20"/>
          <w:color w:val="auto"/>
        </w:rPr>
      </w:pPr>
    </w:p>
    <w:p>
      <w:pPr>
        <w:jc w:val="both"/>
        <w:ind w:left="660" w:firstLine="644"/>
        <w:spacing w:after="0" w:line="275" w:lineRule="auto"/>
        <w:tabs>
          <w:tab w:leader="none" w:pos="2398" w:val="left"/>
        </w:tabs>
        <w:numPr>
          <w:ilvl w:val="0"/>
          <w:numId w:val="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color w:val="FF0000"/>
          <w:strike w:val="1"/>
        </w:rPr>
        <w:t>Such Acquisition shall have been approved by the Board of Directors of the Person (or similar governing body if such</w:t>
      </w:r>
      <w:r>
        <w:rPr>
          <w:rFonts w:ascii="Arial" w:cs="Arial" w:eastAsia="Arial" w:hAnsi="Arial"/>
          <w:sz w:val="17"/>
          <w:szCs w:val="17"/>
          <w:color w:val="auto"/>
        </w:rPr>
        <w:t xml:space="preserve"> </w:t>
      </w:r>
      <w:r>
        <w:rPr>
          <w:rFonts w:ascii="Arial" w:cs="Arial" w:eastAsia="Arial" w:hAnsi="Arial"/>
          <w:sz w:val="17"/>
          <w:szCs w:val="17"/>
          <w:color w:val="FF0000"/>
          <w:strike w:val="1"/>
        </w:rPr>
        <w:t>Person is not a corporation) which is the subject of such Acquisition and such Person shall not have announced that it will oppose such Acquisition or shall not have commenced any action which alleges that such Acquisition shall violate applicable Law;</w:t>
      </w:r>
      <w:r>
        <w:rPr>
          <w:rFonts w:ascii="Arial" w:cs="Arial" w:eastAsia="Arial" w:hAnsi="Arial"/>
          <w:sz w:val="17"/>
          <w:szCs w:val="17"/>
          <w:color w:val="000000"/>
          <w:strike w:val="1"/>
        </w:rPr>
        <w:t>]</w:t>
      </w:r>
      <w:r>
        <w:rPr>
          <w:rFonts w:ascii="Arial" w:cs="Arial" w:eastAsia="Arial" w:hAnsi="Arial"/>
          <w:sz w:val="17"/>
          <w:szCs w:val="17"/>
          <w:u w:val="single" w:color="auto"/>
          <w:color w:val="00C000"/>
          <w:strike w:val="1"/>
        </w:rPr>
        <w:t>Any assets acquired shall</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C000"/>
          <w:strike w:val="1"/>
        </w:rPr>
        <w:t>be utilized in, and if the Acquisition involves a merger, consolidation or acquisition of Equity Interests, the Person which is the subject of such Acquisition shall be engaged in, a business otherwise permitted to be engaged in by the Borrower under this Agreement;</w:t>
      </w:r>
    </w:p>
    <w:p>
      <w:pPr>
        <w:spacing w:after="0" w:line="172" w:lineRule="exact"/>
        <w:rPr>
          <w:rFonts w:ascii="Arial" w:cs="Arial" w:eastAsia="Arial" w:hAnsi="Arial"/>
          <w:sz w:val="17"/>
          <w:szCs w:val="17"/>
          <w:color w:val="auto"/>
        </w:rPr>
      </w:pPr>
    </w:p>
    <w:p>
      <w:pPr>
        <w:jc w:val="both"/>
        <w:ind w:left="660" w:firstLine="644"/>
        <w:spacing w:after="0" w:line="314" w:lineRule="auto"/>
        <w:tabs>
          <w:tab w:leader="none" w:pos="2400" w:val="left"/>
        </w:tabs>
        <w:numPr>
          <w:ilvl w:val="0"/>
          <w:numId w:val="32"/>
        </w:numPr>
        <w:rPr>
          <w:rFonts w:ascii="Arial" w:cs="Arial" w:eastAsia="Arial" w:hAnsi="Arial"/>
          <w:sz w:val="16"/>
          <w:szCs w:val="16"/>
          <w:b w:val="1"/>
          <w:bCs w:val="1"/>
          <w:u w:val="single" w:color="auto"/>
          <w:color w:val="0000FF"/>
        </w:rPr>
      </w:pPr>
      <w:r>
        <w:rPr>
          <w:rFonts w:ascii="Arial" w:cs="Arial" w:eastAsia="Arial" w:hAnsi="Arial"/>
          <w:sz w:val="16"/>
          <w:szCs w:val="16"/>
          <w:u w:val="single" w:color="auto"/>
          <w:color w:val="00C000"/>
        </w:rPr>
        <w:t xml:space="preserve">If the Person which is the subject of such Acquisition will be maintained as a </w:t>
      </w:r>
      <w:r>
        <w:rPr>
          <w:rFonts w:ascii="Arial" w:cs="Arial" w:eastAsia="Arial" w:hAnsi="Arial"/>
          <w:sz w:val="16"/>
          <w:szCs w:val="16"/>
          <w:b w:val="1"/>
          <w:bCs w:val="1"/>
          <w:u w:val="single" w:color="auto"/>
          <w:color w:val="0000FF"/>
        </w:rPr>
        <w:t>Restricted Subsidiary, such Restricted</w:t>
      </w:r>
      <w:r>
        <w:rPr>
          <w:rFonts w:ascii="Arial" w:cs="Arial" w:eastAsia="Arial" w:hAnsi="Arial"/>
          <w:sz w:val="16"/>
          <w:szCs w:val="16"/>
          <w:u w:val="single" w:color="auto"/>
          <w:color w:val="00C000"/>
        </w:rPr>
        <w:t xml:space="preserve"> Subsidiary shall have been joined as a </w:t>
      </w:r>
      <w:r>
        <w:rPr>
          <w:rFonts w:ascii="Arial" w:cs="Arial" w:eastAsia="Arial" w:hAnsi="Arial"/>
          <w:sz w:val="16"/>
          <w:szCs w:val="16"/>
          <w:b w:val="1"/>
          <w:bCs w:val="1"/>
          <w:u w:val="single" w:color="auto"/>
          <w:color w:val="0000FF"/>
        </w:rPr>
        <w:t>Guarantor in accordance with Section 6.11,</w:t>
      </w:r>
      <w:r>
        <w:rPr>
          <w:rFonts w:ascii="Arial" w:cs="Arial" w:eastAsia="Arial" w:hAnsi="Arial"/>
          <w:sz w:val="16"/>
          <w:szCs w:val="16"/>
          <w:u w:val="single" w:color="auto"/>
          <w:color w:val="00C000"/>
        </w:rPr>
        <w:t xml:space="preserve"> and the Lender shall have received a first priority security interest in such property of such </w:t>
      </w:r>
      <w:r>
        <w:rPr>
          <w:rFonts w:ascii="Arial" w:cs="Arial" w:eastAsia="Arial" w:hAnsi="Arial"/>
          <w:sz w:val="16"/>
          <w:szCs w:val="16"/>
          <w:b w:val="1"/>
          <w:bCs w:val="1"/>
          <w:u w:val="single" w:color="auto"/>
          <w:color w:val="0000FF"/>
        </w:rPr>
        <w:t>Restricted</w:t>
      </w:r>
      <w:r>
        <w:rPr>
          <w:rFonts w:ascii="Arial" w:cs="Arial" w:eastAsia="Arial" w:hAnsi="Arial"/>
          <w:sz w:val="16"/>
          <w:szCs w:val="16"/>
          <w:u w:val="single" w:color="auto"/>
          <w:color w:val="00C000"/>
        </w:rPr>
        <w:t xml:space="preserve"> Subsidiary of the same nature as constitutes Collateral under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4379595</wp:posOffset>
            </wp:positionH>
            <wp:positionV relativeFrom="paragraph">
              <wp:posOffset>-197485</wp:posOffset>
            </wp:positionV>
            <wp:extent cx="368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35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ind w:left="1860" w:hanging="1216"/>
        <w:spacing w:after="0"/>
        <w:tabs>
          <w:tab w:leader="none" w:pos="1860" w:val="left"/>
        </w:tabs>
        <w:numPr>
          <w:ilvl w:val="0"/>
          <w:numId w:val="33"/>
        </w:numPr>
        <w:rPr>
          <w:rFonts w:ascii="Arial" w:cs="Arial" w:eastAsia="Arial" w:hAnsi="Arial"/>
          <w:sz w:val="16"/>
          <w:szCs w:val="16"/>
          <w:b w:val="1"/>
          <w:bCs w:val="1"/>
          <w:u w:val="single" w:color="auto"/>
          <w:color w:val="0000FF"/>
        </w:rPr>
      </w:pPr>
      <w:r>
        <w:rPr>
          <w:rFonts w:ascii="Arial" w:cs="Arial" w:eastAsia="Arial" w:hAnsi="Arial"/>
          <w:sz w:val="16"/>
          <w:szCs w:val="16"/>
          <w:u w:val="single" w:color="auto"/>
          <w:color w:val="00C000"/>
        </w:rPr>
        <w:t>The Loan Parties shall have satisfied the Payment Conditions</w:t>
      </w:r>
      <w:r>
        <w:rPr>
          <w:rFonts w:ascii="Arial" w:cs="Arial" w:eastAsia="Arial" w:hAnsi="Arial"/>
          <w:sz w:val="16"/>
          <w:szCs w:val="16"/>
          <w:b w:val="1"/>
          <w:bCs w:val="1"/>
          <w:u w:val="single" w:color="auto"/>
          <w:color w:val="0000FF"/>
        </w:rPr>
        <w:t>; provided, however, the satisfaction of the Payment</w:t>
      </w:r>
    </w:p>
    <w:p>
      <w:pPr>
        <w:spacing w:after="0" w:line="50" w:lineRule="exact"/>
        <w:rPr>
          <w:rFonts w:ascii="Arial" w:cs="Arial" w:eastAsia="Arial" w:hAnsi="Arial"/>
          <w:sz w:val="16"/>
          <w:szCs w:val="16"/>
          <w:b w:val="1"/>
          <w:bCs w:val="1"/>
          <w:u w:val="single" w:color="auto"/>
          <w:color w:val="0000FF"/>
        </w:rPr>
      </w:pPr>
    </w:p>
    <w:p>
      <w:pPr>
        <w:jc w:val="both"/>
        <w:spacing w:after="0" w:line="268" w:lineRule="auto"/>
        <w:rPr>
          <w:rFonts w:ascii="Arial" w:cs="Arial" w:eastAsia="Arial" w:hAnsi="Arial"/>
          <w:sz w:val="16"/>
          <w:szCs w:val="16"/>
          <w:b w:val="1"/>
          <w:bCs w:val="1"/>
          <w:u w:val="single" w:color="auto"/>
          <w:color w:val="0000FF"/>
        </w:rPr>
      </w:pPr>
      <w:r>
        <w:rPr>
          <w:rFonts w:ascii="Arial" w:cs="Arial" w:eastAsia="Arial" w:hAnsi="Arial"/>
          <w:sz w:val="17"/>
          <w:szCs w:val="17"/>
          <w:b w:val="1"/>
          <w:bCs w:val="1"/>
          <w:u w:val="single" w:color="auto"/>
          <w:color w:val="0000FF"/>
        </w:rPr>
        <w:t xml:space="preserve">Conditions shall not be required if the Unrestricted Cash Payment Conditions are satisfied and such Acquisition is consummated solely using any combination of Unrestricted Cash, the Borrower’s Equity Interests (so long as no Change of Control would result therefrom) and assets not of type included in the calculation of the Borrowing Base; provided that if Intellectual Property used or useful in connection with the Collateral is Disposed, the purchaser, assignee or other transferee thereof shall agree in writing to be bound by a royalty-free, non-exclusive license of such Intellectual Property in favor of the Lender for use in connection with the exercise of its rights and remedies under the Loan Documents in the Collateral, which license shall be in form and substance </w:t>
      </w:r>
      <w:r>
        <w:rPr>
          <w:rFonts w:ascii="Arial" w:cs="Arial" w:eastAsia="Arial" w:hAnsi="Arial"/>
          <w:sz w:val="17"/>
          <w:szCs w:val="17"/>
          <w:u w:val="single" w:color="auto"/>
          <w:color w:val="00C000"/>
        </w:rPr>
        <w:t>reasonably satisfactory to the</w:t>
      </w:r>
      <w:r>
        <w:rPr>
          <w:rFonts w:ascii="Arial" w:cs="Arial" w:eastAsia="Arial" w:hAnsi="Arial"/>
          <w:sz w:val="17"/>
          <w:szCs w:val="17"/>
          <w:b w:val="1"/>
          <w:bCs w:val="1"/>
          <w:u w:val="single" w:color="auto"/>
          <w:color w:val="0000FF"/>
        </w:rPr>
        <w:t xml:space="preserve"> </w:t>
      </w:r>
      <w:r>
        <w:rPr>
          <w:rFonts w:ascii="Arial" w:cs="Arial" w:eastAsia="Arial" w:hAnsi="Arial"/>
          <w:sz w:val="17"/>
          <w:szCs w:val="17"/>
          <w:u w:val="single" w:color="auto"/>
          <w:color w:val="00C000"/>
        </w:rPr>
        <w:t xml:space="preserve">Lender; </w:t>
      </w:r>
      <w:r>
        <w:rPr>
          <w:rFonts w:ascii="Arial" w:cs="Arial" w:eastAsia="Arial" w:hAnsi="Arial"/>
          <w:sz w:val="17"/>
          <w:szCs w:val="17"/>
          <w:b w:val="1"/>
          <w:bCs w:val="1"/>
          <w:u w:val="single" w:color="auto"/>
          <w:color w:val="0000FF"/>
        </w:rPr>
        <w:t>provided further that in the case of a sub-license of Intellectual Property licensed by the Loan Parties or any Subsidiary to a third</w:t>
      </w:r>
      <w:r>
        <w:rPr>
          <w:rFonts w:ascii="Arial" w:cs="Arial" w:eastAsia="Arial" w:hAnsi="Arial"/>
          <w:sz w:val="17"/>
          <w:szCs w:val="17"/>
          <w:u w:val="single" w:color="auto"/>
          <w:color w:val="00C000"/>
        </w:rPr>
        <w:t xml:space="preserve"> </w:t>
      </w:r>
      <w:r>
        <w:rPr>
          <w:rFonts w:ascii="Arial" w:cs="Arial" w:eastAsia="Arial" w:hAnsi="Arial"/>
          <w:sz w:val="17"/>
          <w:szCs w:val="17"/>
          <w:b w:val="1"/>
          <w:bCs w:val="1"/>
          <w:u w:val="single" w:color="auto"/>
          <w:color w:val="0000FF"/>
        </w:rPr>
        <w:t>party, the transferee thereof shall be required to provide such a license only to the extent to which the applicable license gives such transferee a right to do so; and</w:t>
      </w:r>
    </w:p>
    <w:p>
      <w:pPr>
        <w:spacing w:after="0" w:line="177" w:lineRule="exact"/>
        <w:rPr>
          <w:rFonts w:ascii="Arial" w:cs="Arial" w:eastAsia="Arial" w:hAnsi="Arial"/>
          <w:sz w:val="16"/>
          <w:szCs w:val="16"/>
          <w:b w:val="1"/>
          <w:bCs w:val="1"/>
          <w:u w:val="single" w:color="auto"/>
          <w:color w:val="0000FF"/>
        </w:rPr>
      </w:pPr>
    </w:p>
    <w:p>
      <w:pPr>
        <w:jc w:val="both"/>
        <w:ind w:firstLine="644"/>
        <w:spacing w:after="0" w:line="254" w:lineRule="auto"/>
        <w:tabs>
          <w:tab w:leader="none" w:pos="17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FF0000"/>
          <w:strike w:val="1"/>
        </w:rPr>
        <w:t>The</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Solely to the extent proceeds of the Loan are used to consummate such Acquisition, the</w:t>
      </w:r>
      <w:r>
        <w:rPr>
          <w:rFonts w:ascii="Arial" w:cs="Arial" w:eastAsia="Arial" w:hAnsi="Arial"/>
          <w:sz w:val="18"/>
          <w:szCs w:val="18"/>
          <w:color w:val="auto"/>
        </w:rPr>
        <w:t xml:space="preserve"> Borrower shall have furnished the Lender with [</w:t>
      </w:r>
      <w:r>
        <w:rPr>
          <w:rFonts w:ascii="Arial" w:cs="Arial" w:eastAsia="Arial" w:hAnsi="Arial"/>
          <w:sz w:val="18"/>
          <w:szCs w:val="18"/>
          <w:color w:val="FF0000"/>
          <w:strike w:val="1"/>
        </w:rPr>
        <w:t>thirty</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ten</w:t>
      </w:r>
      <w:r>
        <w:rPr>
          <w:rFonts w:ascii="Arial" w:cs="Arial" w:eastAsia="Arial" w:hAnsi="Arial"/>
          <w:sz w:val="18"/>
          <w:szCs w:val="18"/>
          <w:color w:val="auto"/>
        </w:rPr>
        <w:t xml:space="preserve"> ([</w:t>
      </w:r>
      <w:r>
        <w:rPr>
          <w:rFonts w:ascii="Arial" w:cs="Arial" w:eastAsia="Arial" w:hAnsi="Arial"/>
          <w:sz w:val="18"/>
          <w:szCs w:val="18"/>
          <w:color w:val="FF0000"/>
          <w:strike w:val="1"/>
        </w:rPr>
        <w:t>30</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10</w:t>
      </w:r>
      <w:r>
        <w:rPr>
          <w:rFonts w:ascii="Arial" w:cs="Arial" w:eastAsia="Arial" w:hAnsi="Arial"/>
          <w:sz w:val="18"/>
          <w:szCs w:val="18"/>
          <w:color w:val="auto"/>
        </w:rPr>
        <w:t>) days’ prior written notice of such intended Acquisition and shall have furnished the Lender with a current draft of the Acquisition documents (and final copies thereof as and when executed), appropriate financial statements of the Person which is the subject of such Acquisition, pro forma projected financial statements giving effect to such Acquisition, and if such Acquisition is for a purchase price of $10,000,000 or more, pro forma projected financial statements for the twelve (12) month period following such Acquisition after giving effect to such Acquisition (including balance sheets, cash flows and income statements by month for the acquired Person, individually, and on a Consolidated basis with all Loan Parties), and such other information as the Lender may reasonably require, all of which shall be in form reasonably satisfactory to the Lender[</w:t>
      </w:r>
      <w:r>
        <w:rPr>
          <w:rFonts w:ascii="Arial" w:cs="Arial" w:eastAsia="Arial" w:hAnsi="Arial"/>
          <w:sz w:val="18"/>
          <w:szCs w:val="18"/>
          <w:color w:val="FF0000"/>
          <w:strike w:val="1"/>
        </w:rPr>
        <w:t>;</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5287010</wp:posOffset>
            </wp:positionH>
            <wp:positionV relativeFrom="paragraph">
              <wp:posOffset>-1675130</wp:posOffset>
            </wp:positionV>
            <wp:extent cx="368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83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wp:posOffset>
            </wp:positionH>
            <wp:positionV relativeFrom="paragraph">
              <wp:posOffset>-1537970</wp:posOffset>
            </wp:positionV>
            <wp:extent cx="285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6" w:lineRule="exact"/>
        <w:rPr>
          <w:sz w:val="20"/>
          <w:szCs w:val="20"/>
          <w:color w:val="auto"/>
        </w:rPr>
      </w:pPr>
    </w:p>
    <w:p>
      <w:pPr>
        <w:ind w:left="1520" w:hanging="876"/>
        <w:spacing w:after="0"/>
        <w:tabs>
          <w:tab w:leader="none" w:pos="1520" w:val="left"/>
        </w:tabs>
        <w:numPr>
          <w:ilvl w:val="0"/>
          <w:numId w:val="34"/>
        </w:numPr>
        <w:rPr>
          <w:rFonts w:ascii="Arial" w:cs="Arial" w:eastAsia="Arial" w:hAnsi="Arial"/>
          <w:sz w:val="18"/>
          <w:szCs w:val="18"/>
          <w:color w:val="FF0000"/>
          <w:strike w:val="1"/>
        </w:rPr>
      </w:pPr>
      <w:r>
        <w:rPr>
          <w:rFonts w:ascii="Arial" w:cs="Arial" w:eastAsia="Arial" w:hAnsi="Arial"/>
          <w:sz w:val="18"/>
          <w:szCs w:val="18"/>
          <w:color w:val="auto"/>
        </w:rPr>
        <w:t>[</w:t>
      </w:r>
      <w:r>
        <w:rPr>
          <w:rFonts w:ascii="Arial" w:cs="Arial" w:eastAsia="Arial" w:hAnsi="Arial"/>
          <w:sz w:val="18"/>
          <w:szCs w:val="18"/>
          <w:color w:val="FF0000"/>
          <w:strike w:val="1"/>
        </w:rPr>
        <w:t>The legal structure of the Acquisition shall be</w:t>
      </w:r>
      <w:r>
        <w:rPr>
          <w:rFonts w:ascii="Arial" w:cs="Arial" w:eastAsia="Arial" w:hAnsi="Arial"/>
          <w:sz w:val="18"/>
          <w:szCs w:val="18"/>
          <w:color w:val="auto"/>
        </w:rPr>
        <w:t xml:space="preserve">] </w:t>
      </w:r>
      <w:r>
        <w:rPr>
          <w:rFonts w:ascii="Arial" w:cs="Arial" w:eastAsia="Arial" w:hAnsi="Arial"/>
          <w:sz w:val="18"/>
          <w:szCs w:val="18"/>
          <w:color w:val="00C000"/>
          <w:strike w:val="1"/>
        </w:rPr>
        <w:t>reasonably satisfactory to the Lender;</w:t>
      </w:r>
    </w:p>
    <w:p>
      <w:pPr>
        <w:spacing w:after="0" w:line="225" w:lineRule="exact"/>
        <w:rPr>
          <w:rFonts w:ascii="Arial" w:cs="Arial" w:eastAsia="Arial" w:hAnsi="Arial"/>
          <w:sz w:val="18"/>
          <w:szCs w:val="18"/>
          <w:color w:val="FF0000"/>
          <w:strike w:val="1"/>
        </w:rPr>
      </w:pPr>
    </w:p>
    <w:p>
      <w:pPr>
        <w:jc w:val="both"/>
        <w:ind w:firstLine="644"/>
        <w:spacing w:after="0" w:line="263" w:lineRule="auto"/>
        <w:tabs>
          <w:tab w:leader="none" w:pos="1514" w:val="left"/>
        </w:tabs>
        <w:numPr>
          <w:ilvl w:val="0"/>
          <w:numId w:val="34"/>
        </w:numPr>
        <w:rPr>
          <w:rFonts w:ascii="Arial" w:cs="Arial" w:eastAsia="Arial" w:hAnsi="Arial"/>
          <w:sz w:val="18"/>
          <w:szCs w:val="18"/>
          <w:color w:val="FF0000"/>
          <w:strike w:val="1"/>
        </w:rPr>
      </w:pPr>
      <w:r>
        <w:rPr>
          <w:rFonts w:ascii="Arial" w:cs="Arial" w:eastAsia="Arial" w:hAnsi="Arial"/>
          <w:sz w:val="18"/>
          <w:szCs w:val="18"/>
          <w:color w:val="auto"/>
        </w:rPr>
        <w:t>[</w:t>
      </w:r>
      <w:r>
        <w:rPr>
          <w:rFonts w:ascii="Arial" w:cs="Arial" w:eastAsia="Arial" w:hAnsi="Arial"/>
          <w:sz w:val="18"/>
          <w:szCs w:val="18"/>
          <w:color w:val="FF0000"/>
          <w:strike w:val="1"/>
        </w:rPr>
        <w:t>After giving effect to the Acquisition, if the Acquisition is an Acquisition of Equity Interests, a Loan Party shall acquire and</w:t>
      </w:r>
      <w:r>
        <w:rPr>
          <w:rFonts w:ascii="Arial" w:cs="Arial" w:eastAsia="Arial" w:hAnsi="Arial"/>
          <w:sz w:val="18"/>
          <w:szCs w:val="18"/>
          <w:color w:val="auto"/>
        </w:rPr>
        <w:t xml:space="preserve"> </w:t>
      </w:r>
      <w:r>
        <w:rPr>
          <w:rFonts w:ascii="Arial" w:cs="Arial" w:eastAsia="Arial" w:hAnsi="Arial"/>
          <w:sz w:val="18"/>
          <w:szCs w:val="18"/>
          <w:color w:val="FF0000"/>
          <w:strike w:val="1"/>
        </w:rPr>
        <w:t>own, directly or indirectly, a majority of the Equity Interests in the Person being acquired and shall Control a majority of any voting interests or shall otherwise Control the governance of the Person being acquired;</w:t>
      </w:r>
      <w:r>
        <w:rPr>
          <w:rFonts w:ascii="Arial" w:cs="Arial" w:eastAsia="Arial" w:hAnsi="Arial"/>
          <w:sz w:val="18"/>
          <w:szCs w:val="18"/>
          <w:color w:val="000000"/>
          <w:strike w:val="1"/>
        </w:rPr>
        <w:t>]</w:t>
      </w:r>
    </w:p>
    <w:p>
      <w:pPr>
        <w:spacing w:after="0" w:line="183" w:lineRule="exact"/>
        <w:rPr>
          <w:rFonts w:ascii="Arial" w:cs="Arial" w:eastAsia="Arial" w:hAnsi="Arial"/>
          <w:sz w:val="18"/>
          <w:szCs w:val="18"/>
          <w:color w:val="FF0000"/>
          <w:strike w:val="1"/>
        </w:rPr>
      </w:pPr>
    </w:p>
    <w:p>
      <w:pPr>
        <w:jc w:val="both"/>
        <w:ind w:firstLine="644"/>
        <w:spacing w:after="0" w:line="263" w:lineRule="auto"/>
        <w:tabs>
          <w:tab w:leader="none" w:pos="1725" w:val="left"/>
        </w:tabs>
        <w:numPr>
          <w:ilvl w:val="0"/>
          <w:numId w:val="34"/>
        </w:numPr>
        <w:rPr>
          <w:rFonts w:ascii="Arial" w:cs="Arial" w:eastAsia="Arial" w:hAnsi="Arial"/>
          <w:sz w:val="18"/>
          <w:szCs w:val="18"/>
          <w:color w:val="FF0000"/>
          <w:strike w:val="1"/>
        </w:rPr>
      </w:pPr>
      <w:r>
        <w:rPr>
          <w:rFonts w:ascii="Arial" w:cs="Arial" w:eastAsia="Arial" w:hAnsi="Arial"/>
          <w:sz w:val="18"/>
          <w:szCs w:val="18"/>
          <w:color w:val="00C000"/>
          <w:strike w:val="1"/>
        </w:rPr>
        <w:t>Any assets acquired shall be utilized in, and if the Acquisition involves a merger, consolidation or acquisition of Equity Interests, the Person which is the subject of such Acquisition shall be engaged in, a business otherwise permitted to be engaged in by the Borrower under this Agreement;</w:t>
      </w:r>
    </w:p>
    <w:p>
      <w:pPr>
        <w:spacing w:after="0" w:line="18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36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660" w:firstLine="644"/>
        <w:spacing w:after="0" w:line="279" w:lineRule="auto"/>
        <w:tabs>
          <w:tab w:leader="none" w:pos="2342" w:val="left"/>
        </w:tabs>
        <w:numPr>
          <w:ilvl w:val="0"/>
          <w:numId w:val="35"/>
        </w:numPr>
        <w:rPr>
          <w:rFonts w:ascii="Arial" w:cs="Arial" w:eastAsia="Arial" w:hAnsi="Arial"/>
          <w:sz w:val="17"/>
          <w:szCs w:val="17"/>
          <w:color w:val="FF0000"/>
          <w:strike w:val="1"/>
        </w:rPr>
      </w:pPr>
      <w:r>
        <w:rPr>
          <w:rFonts w:ascii="Arial" w:cs="Arial" w:eastAsia="Arial" w:hAnsi="Arial"/>
          <w:sz w:val="17"/>
          <w:szCs w:val="17"/>
          <w:color w:val="00C000"/>
          <w:strike w:val="1"/>
        </w:rPr>
        <w:t>If the Person which is the subject of such Acquisition will be maintained as a</w:t>
      </w:r>
      <w:r>
        <w:rPr>
          <w:rFonts w:ascii="Arial" w:cs="Arial" w:eastAsia="Arial" w:hAnsi="Arial"/>
          <w:sz w:val="17"/>
          <w:szCs w:val="17"/>
          <w:color w:val="00C000"/>
        </w:rPr>
        <w:t xml:space="preserve"> </w:t>
      </w:r>
      <w:r>
        <w:rPr>
          <w:rFonts w:ascii="Arial" w:cs="Arial" w:eastAsia="Arial" w:hAnsi="Arial"/>
          <w:sz w:val="17"/>
          <w:szCs w:val="17"/>
          <w:color w:val="000000"/>
        </w:rPr>
        <w:t>[</w:t>
      </w:r>
      <w:r>
        <w:rPr>
          <w:rFonts w:ascii="Arial" w:cs="Arial" w:eastAsia="Arial" w:hAnsi="Arial"/>
          <w:sz w:val="17"/>
          <w:szCs w:val="17"/>
          <w:color w:val="FF0000"/>
          <w:strike w:val="1"/>
        </w:rPr>
        <w:t>Subsidiary of a Loan Party, or if the assets</w:t>
      </w:r>
      <w:r>
        <w:rPr>
          <w:rFonts w:ascii="Arial" w:cs="Arial" w:eastAsia="Arial" w:hAnsi="Arial"/>
          <w:sz w:val="17"/>
          <w:szCs w:val="17"/>
          <w:color w:val="00C000"/>
        </w:rPr>
        <w:t xml:space="preserve"> </w:t>
      </w:r>
      <w:r>
        <w:rPr>
          <w:rFonts w:ascii="Arial" w:cs="Arial" w:eastAsia="Arial" w:hAnsi="Arial"/>
          <w:sz w:val="17"/>
          <w:szCs w:val="17"/>
          <w:color w:val="FF0000"/>
          <w:strike w:val="1"/>
        </w:rPr>
        <w:t>acquired in an Acquisition will be transferred to a Subsidiary which is not then a Loan Party, such</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color w:val="00C000"/>
          <w:strike w:val="1"/>
        </w:rPr>
        <w:t>Subsidiary shall have been joined as a</w:t>
      </w:r>
      <w:r>
        <w:rPr>
          <w:rFonts w:ascii="Arial" w:cs="Arial" w:eastAsia="Arial" w:hAnsi="Arial"/>
          <w:sz w:val="17"/>
          <w:szCs w:val="17"/>
          <w:color w:val="FF0000"/>
        </w:rPr>
        <w:t xml:space="preserve"> </w:t>
      </w:r>
      <w:r>
        <w:rPr>
          <w:rFonts w:ascii="Arial" w:cs="Arial" w:eastAsia="Arial" w:hAnsi="Arial"/>
          <w:sz w:val="17"/>
          <w:szCs w:val="17"/>
          <w:color w:val="000000"/>
        </w:rPr>
        <w:t>[</w:t>
      </w:r>
      <w:r>
        <w:rPr>
          <w:rFonts w:ascii="Arial" w:cs="Arial" w:eastAsia="Arial" w:hAnsi="Arial"/>
          <w:sz w:val="17"/>
          <w:szCs w:val="17"/>
          <w:color w:val="FF0000"/>
          <w:strike w:val="1"/>
        </w:rPr>
        <w:t>“Borrower” hereunder or as a Guarantor, as the Lender shall determine</w:t>
      </w:r>
      <w:r>
        <w:rPr>
          <w:rFonts w:ascii="Arial" w:cs="Arial" w:eastAsia="Arial" w:hAnsi="Arial"/>
          <w:sz w:val="17"/>
          <w:szCs w:val="17"/>
          <w:color w:val="000000"/>
        </w:rPr>
        <w:t xml:space="preserve">] </w:t>
      </w:r>
      <w:r>
        <w:rPr>
          <w:rFonts w:ascii="Arial" w:cs="Arial" w:eastAsia="Arial" w:hAnsi="Arial"/>
          <w:sz w:val="17"/>
          <w:szCs w:val="17"/>
          <w:color w:val="00C000"/>
          <w:strike w:val="1"/>
        </w:rPr>
        <w:t>and the Lender shall have received a first priority security interest in such</w:t>
      </w:r>
      <w:r>
        <w:rPr>
          <w:rFonts w:ascii="Arial" w:cs="Arial" w:eastAsia="Arial" w:hAnsi="Arial"/>
          <w:sz w:val="17"/>
          <w:szCs w:val="17"/>
          <w:color w:val="000000"/>
        </w:rPr>
        <w:t xml:space="preserve"> </w:t>
      </w:r>
      <w:r>
        <w:rPr>
          <w:rFonts w:ascii="Arial" w:cs="Arial" w:eastAsia="Arial" w:hAnsi="Arial"/>
          <w:sz w:val="17"/>
          <w:szCs w:val="17"/>
          <w:color w:val="00C000"/>
          <w:strike w:val="1"/>
        </w:rPr>
        <w:t>property of such Subsidiary of the same nature as constitutes Collateral under the Security Agreement;</w:t>
      </w:r>
      <w:r>
        <w:rPr>
          <w:rFonts w:ascii="Arial" w:cs="Arial" w:eastAsia="Arial" w:hAnsi="Arial"/>
          <w:sz w:val="17"/>
          <w:szCs w:val="17"/>
          <w:color w:val="00C000"/>
        </w:rPr>
        <w:t xml:space="preserve"> </w:t>
      </w:r>
      <w:r>
        <w:rPr>
          <w:rFonts w:ascii="Arial" w:cs="Arial" w:eastAsia="Arial" w:hAnsi="Arial"/>
          <w:sz w:val="17"/>
          <w:szCs w:val="17"/>
          <w:color w:val="000000"/>
        </w:rPr>
        <w:t>[</w:t>
      </w:r>
      <w:r>
        <w:rPr>
          <w:rFonts w:ascii="Arial" w:cs="Arial" w:eastAsia="Arial" w:hAnsi="Arial"/>
          <w:sz w:val="17"/>
          <w:szCs w:val="17"/>
          <w:color w:val="FF0000"/>
          <w:strike w:val="1"/>
        </w:rPr>
        <w:t>and</w:t>
      </w:r>
      <w:r>
        <w:rPr>
          <w:rFonts w:ascii="Arial" w:cs="Arial" w:eastAsia="Arial" w:hAnsi="Arial"/>
          <w:sz w:val="17"/>
          <w:szCs w:val="17"/>
          <w:color w:val="000000"/>
        </w:rPr>
        <w:t>]</w:t>
      </w:r>
    </w:p>
    <w:p>
      <w:pPr>
        <w:spacing w:after="0" w:line="171" w:lineRule="exact"/>
        <w:rPr>
          <w:rFonts w:ascii="Arial" w:cs="Arial" w:eastAsia="Arial" w:hAnsi="Arial"/>
          <w:sz w:val="17"/>
          <w:szCs w:val="17"/>
          <w:color w:val="FF0000"/>
          <w:strike w:val="1"/>
        </w:rPr>
      </w:pPr>
    </w:p>
    <w:p>
      <w:pPr>
        <w:ind w:left="2180" w:hanging="876"/>
        <w:spacing w:after="0"/>
        <w:tabs>
          <w:tab w:leader="none" w:pos="2180" w:val="left"/>
        </w:tabs>
        <w:numPr>
          <w:ilvl w:val="0"/>
          <w:numId w:val="35"/>
        </w:numPr>
        <w:rPr>
          <w:rFonts w:ascii="Arial" w:cs="Arial" w:eastAsia="Arial" w:hAnsi="Arial"/>
          <w:sz w:val="18"/>
          <w:szCs w:val="18"/>
          <w:color w:val="FF0000"/>
          <w:strike w:val="1"/>
        </w:rPr>
      </w:pPr>
      <w:r>
        <w:rPr>
          <w:rFonts w:ascii="Arial" w:cs="Arial" w:eastAsia="Arial" w:hAnsi="Arial"/>
          <w:sz w:val="18"/>
          <w:szCs w:val="18"/>
          <w:color w:val="00C000"/>
          <w:strike w:val="1"/>
        </w:rPr>
        <w:t>The Loan Parties shall have satisfied the Payment Conditions</w:t>
      </w:r>
      <w:r>
        <w:rPr>
          <w:rFonts w:ascii="Arial" w:cs="Arial" w:eastAsia="Arial" w:hAnsi="Arial"/>
          <w:sz w:val="18"/>
          <w:szCs w:val="18"/>
          <w:color w:val="000000"/>
        </w:rPr>
        <w:t>[</w:t>
      </w:r>
      <w:r>
        <w:rPr>
          <w:rFonts w:ascii="Arial" w:cs="Arial" w:eastAsia="Arial" w:hAnsi="Arial"/>
          <w:sz w:val="18"/>
          <w:szCs w:val="18"/>
          <w:color w:val="FF0000"/>
          <w:strike w:val="1"/>
        </w:rPr>
        <w:t>.</w:t>
      </w:r>
      <w:r>
        <w:rPr>
          <w:rFonts w:ascii="Arial" w:cs="Arial" w:eastAsia="Arial" w:hAnsi="Arial"/>
          <w:sz w:val="18"/>
          <w:szCs w:val="18"/>
          <w:color w:val="000000"/>
        </w:rPr>
        <w:t>]</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u w:val="single" w:color="auto"/>
          <w:color w:val="0000FF"/>
        </w:rPr>
        <w:t>“Permitted Discretion” means the Lender’s reasonable business judgment (from the perspective of a secured asset-based lender, exercised in good faith in accordance with customary business practices for similar secured asset based lending facilities.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“Permitted Disposition” means any of the following:</w:t>
      </w:r>
    </w:p>
    <w:p>
      <w:pPr>
        <w:spacing w:after="0" w:line="221" w:lineRule="exact"/>
        <w:rPr>
          <w:sz w:val="20"/>
          <w:szCs w:val="20"/>
          <w:color w:val="auto"/>
        </w:rPr>
      </w:pPr>
    </w:p>
    <w:p>
      <w:pPr>
        <w:ind w:left="2180" w:hanging="876"/>
        <w:spacing w:after="0"/>
        <w:tabs>
          <w:tab w:leader="none" w:pos="2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Dispositions of inventory</w:t>
      </w:r>
      <w:r>
        <w:rPr>
          <w:rFonts w:ascii="Arial" w:cs="Arial" w:eastAsia="Arial" w:hAnsi="Arial"/>
          <w:sz w:val="18"/>
          <w:szCs w:val="18"/>
          <w:b w:val="1"/>
          <w:bCs w:val="1"/>
          <w:u w:val="single" w:color="auto"/>
          <w:color w:val="0000FF"/>
        </w:rPr>
        <w:t>, cash and cash equivalents</w:t>
      </w:r>
      <w:r>
        <w:rPr>
          <w:rFonts w:ascii="Arial" w:cs="Arial" w:eastAsia="Arial" w:hAnsi="Arial"/>
          <w:sz w:val="18"/>
          <w:szCs w:val="18"/>
          <w:color w:val="auto"/>
        </w:rPr>
        <w:t xml:space="preserve"> in the ordinary course of business;</w:t>
      </w:r>
    </w:p>
    <w:p>
      <w:pPr>
        <w:spacing w:after="0" w:line="229" w:lineRule="exact"/>
        <w:rPr>
          <w:rFonts w:ascii="Arial" w:cs="Arial" w:eastAsia="Arial" w:hAnsi="Arial"/>
          <w:sz w:val="18"/>
          <w:szCs w:val="18"/>
          <w:color w:val="auto"/>
        </w:rPr>
      </w:pPr>
    </w:p>
    <w:p>
      <w:pPr>
        <w:jc w:val="both"/>
        <w:ind w:left="660" w:firstLine="644"/>
        <w:spacing w:after="0" w:line="287" w:lineRule="auto"/>
        <w:tabs>
          <w:tab w:leader="none" w:pos="22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color w:val="FF0000"/>
          <w:strike w:val="1"/>
        </w:rPr>
        <w:t>Bulk sales or other dispositions of the Inventory of a Loan Party not in the ordinary course of business in connection with</w:t>
      </w:r>
      <w:r>
        <w:rPr>
          <w:rFonts w:ascii="Arial" w:cs="Arial" w:eastAsia="Arial" w:hAnsi="Arial"/>
          <w:sz w:val="16"/>
          <w:szCs w:val="16"/>
          <w:color w:val="auto"/>
        </w:rPr>
        <w:t xml:space="preserve"> </w:t>
      </w:r>
      <w:r>
        <w:rPr>
          <w:rFonts w:ascii="Arial" w:cs="Arial" w:eastAsia="Arial" w:hAnsi="Arial"/>
          <w:sz w:val="16"/>
          <w:szCs w:val="16"/>
          <w:color w:val="FF0000"/>
          <w:strike w:val="1"/>
        </w:rPr>
        <w:t>Permitted Store Closings, at arm’s length</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Dispositions for Fair Market Value for which the Borrower or a Restricted Subsidiary shall</w:t>
      </w:r>
      <w:r>
        <w:rPr>
          <w:rFonts w:ascii="Arial" w:cs="Arial" w:eastAsia="Arial" w:hAnsi="Arial"/>
          <w:sz w:val="16"/>
          <w:szCs w:val="16"/>
          <w:color w:val="FF0000"/>
        </w:rPr>
        <w:t xml:space="preserve"> </w:t>
      </w:r>
      <w:r>
        <w:rPr>
          <w:rFonts w:ascii="Arial" w:cs="Arial" w:eastAsia="Arial" w:hAnsi="Arial"/>
          <w:sz w:val="16"/>
          <w:szCs w:val="16"/>
          <w:b w:val="1"/>
          <w:bCs w:val="1"/>
          <w:u w:val="single" w:color="auto"/>
          <w:color w:val="0000FF"/>
        </w:rPr>
        <w:t>receive not less than 75% of the consideration for such Disposition in the form of cash (which cash consideration shall be deemed to include any net cash proceeds required to be received from the conversion thereof within 180 days of such Disposition of securities, notes or other obligations received in consideration of such Disposition and the amount of liabilities and other Indebtedness (other than liabilities or Indebtedness that are by their terms subordinated in right of payment to the Obligations) of a Loan Party’s assumed by the purchaser of such assets in connection with such Disposition) or Permitted Investments of the type described in clauses (a) through (d) of the definition thereof; provided that, following the consummation of any Disposition of Collateral of the type included in the Borrowing Base such that the calculation of the Borrowing Base shall have changed by $7,500,000 or more since the calculation contained in the Borrowing Base Certificate most recently delivered to the Lender, the Borrower shall deliver an updated Borrowing Base Certificate that gives</w:t>
      </w:r>
      <w:r>
        <w:rPr>
          <w:rFonts w:ascii="Arial" w:cs="Arial" w:eastAsia="Arial" w:hAnsi="Arial"/>
          <w:sz w:val="16"/>
          <w:szCs w:val="16"/>
          <w:b w:val="1"/>
          <w:bCs w:val="1"/>
          <w:color w:val="0000FF"/>
        </w:rPr>
        <w:t xml:space="preserve"> </w:t>
      </w:r>
      <w:r>
        <w:rPr>
          <w:rFonts w:ascii="Arial" w:cs="Arial" w:eastAsia="Arial" w:hAnsi="Arial"/>
          <w:sz w:val="16"/>
          <w:szCs w:val="16"/>
          <w:b w:val="1"/>
          <w:bCs w:val="1"/>
          <w:i w:val="1"/>
          <w:iCs w:val="1"/>
          <w:u w:val="single" w:color="auto"/>
          <w:color w:val="0000FF"/>
        </w:rPr>
        <w:t>pro forma</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effect to such Disposition upon the consummation of such Disposition</w:t>
      </w:r>
      <w:r>
        <w:rPr>
          <w:rFonts w:ascii="Arial" w:cs="Arial" w:eastAsia="Arial" w:hAnsi="Arial"/>
          <w:sz w:val="16"/>
          <w:szCs w:val="16"/>
          <w:color w:val="000000"/>
        </w:rPr>
        <w:t>;</w:t>
      </w:r>
    </w:p>
    <w:p>
      <w:pPr>
        <w:spacing w:after="0" w:line="171" w:lineRule="exact"/>
        <w:rPr>
          <w:rFonts w:ascii="Arial" w:cs="Arial" w:eastAsia="Arial" w:hAnsi="Arial"/>
          <w:sz w:val="16"/>
          <w:szCs w:val="16"/>
          <w:color w:val="auto"/>
        </w:rPr>
      </w:pPr>
    </w:p>
    <w:p>
      <w:pPr>
        <w:ind w:left="2180" w:hanging="876"/>
        <w:spacing w:after="0"/>
        <w:tabs>
          <w:tab w:leader="none" w:pos="2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Non-exclusive licenses of Intellectual Property of a Loan Party or any of its Subsidiaries in the ordinary course of business;</w:t>
      </w:r>
    </w:p>
    <w:p>
      <w:pPr>
        <w:spacing w:after="0" w:line="248" w:lineRule="exact"/>
        <w:rPr>
          <w:rFonts w:ascii="Arial" w:cs="Arial" w:eastAsia="Arial" w:hAnsi="Arial"/>
          <w:sz w:val="16"/>
          <w:szCs w:val="16"/>
          <w:color w:val="auto"/>
        </w:rPr>
      </w:pPr>
    </w:p>
    <w:p>
      <w:pPr>
        <w:jc w:val="both"/>
        <w:ind w:left="660" w:firstLine="644"/>
        <w:spacing w:after="0" w:line="263" w:lineRule="auto"/>
        <w:tabs>
          <w:tab w:leader="none" w:pos="22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Licenses for the conduct of licensed departments within the Loan Parties’ Stores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requested by the Lender, the Loan Parties shall have entered into an intercreditor agreement with the Person operating such licensed department on terms and conditions reasonably satisfactory to the Lender;</w:t>
      </w:r>
    </w:p>
    <w:p>
      <w:pPr>
        <w:spacing w:after="0" w:line="179" w:lineRule="exact"/>
        <w:rPr>
          <w:rFonts w:ascii="Arial" w:cs="Arial" w:eastAsia="Arial" w:hAnsi="Arial"/>
          <w:sz w:val="18"/>
          <w:szCs w:val="18"/>
          <w:color w:val="auto"/>
        </w:rPr>
      </w:pPr>
    </w:p>
    <w:p>
      <w:pPr>
        <w:jc w:val="both"/>
        <w:ind w:left="660" w:firstLine="644"/>
        <w:spacing w:after="0" w:line="266" w:lineRule="auto"/>
        <w:tabs>
          <w:tab w:leader="none" w:pos="23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Dispositions of [</w:t>
      </w:r>
      <w:r>
        <w:rPr>
          <w:rFonts w:ascii="Arial" w:cs="Arial" w:eastAsia="Arial" w:hAnsi="Arial"/>
          <w:sz w:val="18"/>
          <w:szCs w:val="18"/>
          <w:color w:val="FF0000"/>
          <w:strike w:val="1"/>
        </w:rPr>
        <w:t>Equipment</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property (other than property of the type included in the calculation of the Borrowing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Base)</w:t>
      </w:r>
      <w:r>
        <w:rPr>
          <w:rFonts w:ascii="Arial" w:cs="Arial" w:eastAsia="Arial" w:hAnsi="Arial"/>
          <w:sz w:val="18"/>
          <w:szCs w:val="18"/>
          <w:b w:val="1"/>
          <w:bCs w:val="1"/>
          <w:color w:val="0000FF"/>
        </w:rPr>
        <w:t xml:space="preserve"> </w:t>
      </w:r>
      <w:r>
        <w:rPr>
          <w:rFonts w:ascii="Arial" w:cs="Arial" w:eastAsia="Arial" w:hAnsi="Arial"/>
          <w:sz w:val="18"/>
          <w:szCs w:val="18"/>
          <w:color w:val="000000"/>
        </w:rPr>
        <w:t>in the ordinary course of business that is substantially worn, damaged, obsolete or, in the judgment of a Loan Party, no longer useful or</w:t>
      </w:r>
      <w:r>
        <w:rPr>
          <w:rFonts w:ascii="Arial" w:cs="Arial" w:eastAsia="Arial" w:hAnsi="Arial"/>
          <w:sz w:val="18"/>
          <w:szCs w:val="18"/>
          <w:b w:val="1"/>
          <w:bCs w:val="1"/>
          <w:color w:val="0000FF"/>
        </w:rPr>
        <w:t xml:space="preserve"> </w:t>
      </w:r>
      <w:r>
        <w:rPr>
          <w:rFonts w:ascii="Arial" w:cs="Arial" w:eastAsia="Arial" w:hAnsi="Arial"/>
          <w:sz w:val="18"/>
          <w:szCs w:val="18"/>
          <w:color w:val="000000"/>
        </w:rPr>
        <w:t>necessary in its business or that of any Subsidiary;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37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7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FF0000"/>
          <w:strike w:val="1"/>
        </w:rPr>
        <w:t>Page</w:t>
      </w:r>
      <w:r>
        <w:rPr>
          <w:rFonts w:ascii="Arial" w:cs="Arial" w:eastAsia="Arial" w:hAnsi="Arial"/>
          <w:sz w:val="15"/>
          <w:szCs w:val="15"/>
          <w:b w:val="1"/>
          <w:bCs w:val="1"/>
          <w:color w:val="auto"/>
        </w:rPr>
        <w:t>]</w:t>
      </w:r>
    </w:p>
    <w:p>
      <w:pPr>
        <w:spacing w:after="0" w:line="245" w:lineRule="exact"/>
        <w:rPr>
          <w:sz w:val="20"/>
          <w:szCs w:val="20"/>
          <w:color w:val="auto"/>
        </w:rPr>
      </w:pPr>
    </w:p>
    <w:p>
      <w:pPr>
        <w:ind w:left="2200" w:hanging="896"/>
        <w:spacing w:after="0"/>
        <w:tabs>
          <w:tab w:leader="none" w:pos="2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transfers and dispositions among the Loan Parties or by any Subsidiary to a Loan Party;</w:t>
      </w:r>
    </w:p>
    <w:p>
      <w:pPr>
        <w:spacing w:after="0" w:line="221" w:lineRule="exact"/>
        <w:rPr>
          <w:rFonts w:ascii="Arial" w:cs="Arial" w:eastAsia="Arial" w:hAnsi="Arial"/>
          <w:sz w:val="18"/>
          <w:szCs w:val="18"/>
          <w:color w:val="auto"/>
        </w:rPr>
      </w:pPr>
    </w:p>
    <w:p>
      <w:pPr>
        <w:ind w:left="660" w:firstLine="644"/>
        <w:spacing w:after="0" w:line="282" w:lineRule="auto"/>
        <w:tabs>
          <w:tab w:leader="none" w:pos="2624" w:val="left"/>
        </w:tabs>
        <w:numPr>
          <w:ilvl w:val="0"/>
          <w:numId w:val="37"/>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Dispositions of Real Estate to a Permitted Real Estate Subsidiary in connection with Permitted Real Estate Indebtedness so long as Payment Conditions are satisfied after giving effect to such Disposition;</w:t>
      </w:r>
    </w:p>
    <w:p>
      <w:pPr>
        <w:spacing w:after="0" w:line="161" w:lineRule="exact"/>
        <w:rPr>
          <w:rFonts w:ascii="Arial" w:cs="Arial" w:eastAsia="Arial" w:hAnsi="Arial"/>
          <w:sz w:val="18"/>
          <w:szCs w:val="18"/>
          <w:b w:val="1"/>
          <w:bCs w:val="1"/>
          <w:u w:val="single" w:color="auto"/>
          <w:color w:val="0000FF"/>
        </w:rPr>
      </w:pPr>
    </w:p>
    <w:p>
      <w:pPr>
        <w:ind w:left="2160" w:hanging="856"/>
        <w:spacing w:after="0"/>
        <w:tabs>
          <w:tab w:leader="none" w:pos="2160" w:val="left"/>
        </w:tabs>
        <w:numPr>
          <w:ilvl w:val="0"/>
          <w:numId w:val="37"/>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Dispositions constituting Restricted Payments not in violation of Section 7.06;</w:t>
      </w:r>
    </w:p>
    <w:p>
      <w:pPr>
        <w:spacing w:after="0" w:line="229" w:lineRule="exact"/>
        <w:rPr>
          <w:rFonts w:ascii="Arial" w:cs="Arial" w:eastAsia="Arial" w:hAnsi="Arial"/>
          <w:sz w:val="18"/>
          <w:szCs w:val="18"/>
          <w:b w:val="1"/>
          <w:bCs w:val="1"/>
          <w:u w:val="single" w:color="auto"/>
          <w:color w:val="0000FF"/>
        </w:rPr>
      </w:pPr>
    </w:p>
    <w:p>
      <w:pPr>
        <w:ind w:left="2280" w:hanging="976"/>
        <w:spacing w:after="0"/>
        <w:tabs>
          <w:tab w:leader="none" w:pos="2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Sales, transfers and dispositions by any Subsidiary which is not a Loan Party to another Subsidiary that is not a Loan Party;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06" w:lineRule="exact"/>
        <w:rPr>
          <w:rFonts w:ascii="Arial" w:cs="Arial" w:eastAsia="Arial" w:hAnsi="Arial"/>
          <w:sz w:val="16"/>
          <w:szCs w:val="16"/>
          <w:color w:val="auto"/>
        </w:rPr>
      </w:pPr>
    </w:p>
    <w:p>
      <w:pPr>
        <w:jc w:val="both"/>
        <w:ind w:left="660" w:firstLine="644"/>
        <w:spacing w:after="0" w:line="266" w:lineRule="auto"/>
        <w:tabs>
          <w:tab w:leader="none" w:pos="2364"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0000FF"/>
        </w:rPr>
        <w:t>Other</w:t>
      </w:r>
      <w:r>
        <w:rPr>
          <w:rFonts w:ascii="Arial" w:cs="Arial" w:eastAsia="Arial" w:hAnsi="Arial"/>
          <w:sz w:val="18"/>
          <w:szCs w:val="18"/>
          <w:b w:val="1"/>
          <w:bCs w:val="1"/>
          <w:color w:val="0000FF"/>
        </w:rPr>
        <w:t xml:space="preserve"> </w:t>
      </w:r>
      <w:r>
        <w:rPr>
          <w:rFonts w:ascii="Arial" w:cs="Arial" w:eastAsia="Arial" w:hAnsi="Arial"/>
          <w:sz w:val="18"/>
          <w:szCs w:val="18"/>
          <w:color w:val="000000"/>
        </w:rPr>
        <w:t>Dispositions [</w:t>
      </w:r>
      <w:r>
        <w:rPr>
          <w:rFonts w:ascii="Arial" w:cs="Arial" w:eastAsia="Arial" w:hAnsi="Arial"/>
          <w:sz w:val="18"/>
          <w:szCs w:val="18"/>
          <w:color w:val="FF0000"/>
          <w:strike w:val="1"/>
        </w:rPr>
        <w:t>constituting sale and leaseback transactions</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of assets not of type included in the calculation of the</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Borrowing Base</w:t>
      </w:r>
      <w:r>
        <w:rPr>
          <w:rFonts w:ascii="Arial" w:cs="Arial" w:eastAsia="Arial" w:hAnsi="Arial"/>
          <w:sz w:val="18"/>
          <w:szCs w:val="18"/>
          <w:b w:val="1"/>
          <w:bCs w:val="1"/>
          <w:color w:val="0000FF"/>
        </w:rPr>
        <w:t xml:space="preserve"> </w:t>
      </w:r>
      <w:r>
        <w:rPr>
          <w:rFonts w:ascii="Arial" w:cs="Arial" w:eastAsia="Arial" w:hAnsi="Arial"/>
          <w:sz w:val="18"/>
          <w:szCs w:val="18"/>
          <w:color w:val="000000"/>
        </w:rPr>
        <w:t>for an aggregate consideration not to exceed $[</w:t>
      </w:r>
      <w:r>
        <w:rPr>
          <w:rFonts w:ascii="Arial" w:cs="Arial" w:eastAsia="Arial" w:hAnsi="Arial"/>
          <w:sz w:val="18"/>
          <w:szCs w:val="18"/>
          <w:color w:val="FF0000"/>
          <w:strike w:val="1"/>
        </w:rPr>
        <w:t>20,000,000</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40,000,000</w:t>
      </w:r>
      <w:r>
        <w:rPr>
          <w:rFonts w:ascii="Arial" w:cs="Arial" w:eastAsia="Arial" w:hAnsi="Arial"/>
          <w:sz w:val="18"/>
          <w:szCs w:val="18"/>
          <w:b w:val="1"/>
          <w:bCs w:val="1"/>
          <w:color w:val="0000FF"/>
        </w:rPr>
        <w:t xml:space="preserve"> </w:t>
      </w:r>
      <w:r>
        <w:rPr>
          <w:rFonts w:ascii="Arial" w:cs="Arial" w:eastAsia="Arial" w:hAnsi="Arial"/>
          <w:sz w:val="18"/>
          <w:szCs w:val="18"/>
          <w:color w:val="000000"/>
        </w:rPr>
        <w:t>from and after the [</w:t>
      </w:r>
      <w:r>
        <w:rPr>
          <w:rFonts w:ascii="Arial" w:cs="Arial" w:eastAsia="Arial" w:hAnsi="Arial"/>
          <w:sz w:val="18"/>
          <w:szCs w:val="18"/>
          <w:color w:val="FF0000"/>
          <w:strike w:val="1"/>
        </w:rPr>
        <w:t>Closing</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Third Amendment Effective</w:t>
      </w:r>
      <w:r>
        <w:rPr>
          <w:rFonts w:ascii="Arial" w:cs="Arial" w:eastAsia="Arial" w:hAnsi="Arial"/>
          <w:sz w:val="18"/>
          <w:szCs w:val="18"/>
          <w:b w:val="1"/>
          <w:bCs w:val="1"/>
          <w:color w:val="0000FF"/>
        </w:rPr>
        <w:t xml:space="preserve"> </w:t>
      </w:r>
      <w:r>
        <w:rPr>
          <w:rFonts w:ascii="Arial" w:cs="Arial" w:eastAsia="Arial" w:hAnsi="Arial"/>
          <w:sz w:val="18"/>
          <w:szCs w:val="18"/>
          <w:color w:val="000000"/>
        </w:rPr>
        <w:t>Date[</w:t>
      </w:r>
      <w:r>
        <w:rPr>
          <w:rFonts w:ascii="Arial" w:cs="Arial" w:eastAsia="Arial" w:hAnsi="Arial"/>
          <w:sz w:val="18"/>
          <w:szCs w:val="18"/>
          <w:color w:val="FF0000"/>
          <w:strike w:val="1"/>
        </w:rPr>
        <w:t>.</w:t>
      </w:r>
      <w:r>
        <w:rPr>
          <w:rFonts w:ascii="Arial" w:cs="Arial" w:eastAsia="Arial" w:hAnsi="Arial"/>
          <w:sz w:val="18"/>
          <w:szCs w:val="18"/>
          <w:color w:val="000000"/>
        </w:rPr>
        <w:t>]</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anything to the contrary in the foregoing, if any Permitted Disposition includes the Disposition of Intellectual Property used or useful in connection with the Collateral, the purchaser, assignee or other transferee thereof shall agree in writing to be bound by a royalty-free, non-exclusive license of such Intellectual Property in favor of the Lender for use in connection with the exercise of its rights and remedies under the Loan Documents in the Collateral, which license shall be in form and substance reasonably satisfactory to the Lender; provided that in the case of a [</w:t>
      </w:r>
      <w:r>
        <w:rPr>
          <w:rFonts w:ascii="Arial" w:cs="Arial" w:eastAsia="Arial" w:hAnsi="Arial"/>
          <w:sz w:val="17"/>
          <w:szCs w:val="17"/>
          <w:color w:val="FF0000"/>
          <w:strike w:val="1"/>
        </w:rPr>
        <w:t>Disposition</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sub-license</w:t>
      </w:r>
      <w:r>
        <w:rPr>
          <w:rFonts w:ascii="Arial" w:cs="Arial" w:eastAsia="Arial" w:hAnsi="Arial"/>
          <w:sz w:val="17"/>
          <w:szCs w:val="17"/>
          <w:color w:val="auto"/>
        </w:rPr>
        <w:t xml:space="preserve"> of Intellectual Property </w:t>
      </w:r>
      <w:r>
        <w:rPr>
          <w:rFonts w:ascii="Arial" w:cs="Arial" w:eastAsia="Arial" w:hAnsi="Arial"/>
          <w:sz w:val="17"/>
          <w:szCs w:val="17"/>
          <w:b w:val="1"/>
          <w:bCs w:val="1"/>
          <w:u w:val="single" w:color="auto"/>
          <w:color w:val="0000FF"/>
        </w:rPr>
        <w:t>licensed</w:t>
      </w:r>
      <w:r>
        <w:rPr>
          <w:rFonts w:ascii="Arial" w:cs="Arial" w:eastAsia="Arial" w:hAnsi="Arial"/>
          <w:sz w:val="17"/>
          <w:szCs w:val="17"/>
          <w:color w:val="auto"/>
        </w:rPr>
        <w:t xml:space="preserve"> by the Loan Parties or any Subsidiary to a third party, the transferee thereof shall be required to provide such a license only to the extent to which the applicable license gives [</w:t>
      </w:r>
      <w:r>
        <w:rPr>
          <w:rFonts w:ascii="Arial" w:cs="Arial" w:eastAsia="Arial" w:hAnsi="Arial"/>
          <w:sz w:val="17"/>
          <w:szCs w:val="17"/>
          <w:color w:val="FF0000"/>
          <w:strike w:val="1"/>
        </w:rPr>
        <w:t>it</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such transferee</w:t>
      </w:r>
      <w:r>
        <w:rPr>
          <w:rFonts w:ascii="Arial" w:cs="Arial" w:eastAsia="Arial" w:hAnsi="Arial"/>
          <w:sz w:val="17"/>
          <w:szCs w:val="17"/>
          <w:color w:val="auto"/>
        </w:rPr>
        <w:t xml:space="preserve"> a right to do so.</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“Permitted Encumbrances” means:</w:t>
      </w:r>
    </w:p>
    <w:p>
      <w:pPr>
        <w:spacing w:after="0" w:line="225" w:lineRule="exact"/>
        <w:rPr>
          <w:sz w:val="20"/>
          <w:szCs w:val="20"/>
          <w:color w:val="auto"/>
        </w:rPr>
      </w:pPr>
    </w:p>
    <w:p>
      <w:pPr>
        <w:ind w:left="2180" w:hanging="876"/>
        <w:spacing w:after="0"/>
        <w:tabs>
          <w:tab w:leader="none" w:pos="2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Liens imposed by law for Taxes that are not yet due or are being contested in compliance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1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and other like Liens imposed by applicable Laws, arising in the ordinary course of business and securing obligations that are not overdue by more than [</w:t>
      </w:r>
      <w:r>
        <w:rPr>
          <w:rFonts w:ascii="Arial" w:cs="Arial" w:eastAsia="Arial" w:hAnsi="Arial"/>
          <w:sz w:val="18"/>
          <w:szCs w:val="18"/>
          <w:color w:val="FF0000"/>
          <w:strike w:val="1"/>
        </w:rPr>
        <w:t>thirty</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forty-five</w:t>
      </w:r>
      <w:r>
        <w:rPr>
          <w:rFonts w:ascii="Arial" w:cs="Arial" w:eastAsia="Arial" w:hAnsi="Arial"/>
          <w:sz w:val="18"/>
          <w:szCs w:val="18"/>
          <w:color w:val="auto"/>
        </w:rPr>
        <w:t xml:space="preserve"> ([</w:t>
      </w:r>
      <w:r>
        <w:rPr>
          <w:rFonts w:ascii="Arial" w:cs="Arial" w:eastAsia="Arial" w:hAnsi="Arial"/>
          <w:sz w:val="18"/>
          <w:szCs w:val="18"/>
          <w:color w:val="FF0000"/>
          <w:strike w:val="1"/>
        </w:rPr>
        <w:t>30</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45</w:t>
      </w:r>
      <w:r>
        <w:rPr>
          <w:rFonts w:ascii="Arial" w:cs="Arial" w:eastAsia="Arial" w:hAnsi="Arial"/>
          <w:sz w:val="18"/>
          <w:szCs w:val="18"/>
          <w:color w:val="auto"/>
        </w:rPr>
        <w:t xml:space="preserve">) days or are being contested in compliance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23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 other than any Lien imposed by ERISA;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38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firstLine="644"/>
        <w:spacing w:after="0" w:line="308" w:lineRule="auto"/>
        <w:tabs>
          <w:tab w:leader="none" w:pos="1559"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46" w:lineRule="exact"/>
        <w:rPr>
          <w:rFonts w:ascii="Arial" w:cs="Arial" w:eastAsia="Arial" w:hAnsi="Arial"/>
          <w:sz w:val="17"/>
          <w:szCs w:val="17"/>
          <w:color w:val="auto"/>
        </w:rPr>
      </w:pPr>
    </w:p>
    <w:p>
      <w:pPr>
        <w:ind w:left="1520" w:hanging="876"/>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Liens in respect of judgments that would not constitute an Event of Default hereunder;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 Easements, covenants, conditions, restrictions, building code laws,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a Loan Party and such other minor title defects or survey matters that are disclosed by current surveys that, in each case, do not materially interfere with the current use of the real property;</w:t>
      </w:r>
    </w:p>
    <w:p>
      <w:pPr>
        <w:spacing w:after="0" w:line="184" w:lineRule="exact"/>
        <w:rPr>
          <w:sz w:val="20"/>
          <w:szCs w:val="20"/>
          <w:color w:val="auto"/>
        </w:rPr>
      </w:pPr>
    </w:p>
    <w:p>
      <w:pPr>
        <w:ind w:right="20" w:firstLine="644"/>
        <w:spacing w:after="0" w:line="282" w:lineRule="auto"/>
        <w:tabs>
          <w:tab w:leader="none" w:pos="16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Liens existing on the [</w:t>
      </w:r>
      <w:r>
        <w:rPr>
          <w:rFonts w:ascii="Arial" w:cs="Arial" w:eastAsia="Arial" w:hAnsi="Arial"/>
          <w:sz w:val="18"/>
          <w:szCs w:val="18"/>
          <w:color w:val="FF0000"/>
          <w:strike w:val="1"/>
        </w:rPr>
        <w:t>Closing</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Third Amendment Effective</w:t>
      </w:r>
      <w:r>
        <w:rPr>
          <w:rFonts w:ascii="Arial" w:cs="Arial" w:eastAsia="Arial" w:hAnsi="Arial"/>
          <w:sz w:val="18"/>
          <w:szCs w:val="18"/>
          <w:color w:val="auto"/>
        </w:rPr>
        <w:t xml:space="preserve"> Date listed on Schedule 7.01 to the Disclosure Schedule and any Permitted Refinancings thereof;</w:t>
      </w:r>
    </w:p>
    <w:p>
      <w:pPr>
        <w:spacing w:after="0" w:line="161" w:lineRule="exact"/>
        <w:rPr>
          <w:rFonts w:ascii="Arial" w:cs="Arial" w:eastAsia="Arial" w:hAnsi="Arial"/>
          <w:sz w:val="18"/>
          <w:szCs w:val="18"/>
          <w:color w:val="auto"/>
        </w:rPr>
      </w:pPr>
    </w:p>
    <w:p>
      <w:pPr>
        <w:jc w:val="both"/>
        <w:ind w:firstLine="644"/>
        <w:spacing w:after="0" w:line="277" w:lineRule="auto"/>
        <w:tabs>
          <w:tab w:leader="none" w:pos="1586"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w:t>
      </w:r>
      <w:r>
        <w:rPr>
          <w:rFonts w:ascii="Arial" w:cs="Arial" w:eastAsia="Arial" w:hAnsi="Arial"/>
          <w:sz w:val="17"/>
          <w:szCs w:val="17"/>
          <w:color w:val="FF0000"/>
          <w:strike w:val="1"/>
        </w:rPr>
        <w:t>or on Real Estate</w:t>
      </w:r>
      <w:r>
        <w:rPr>
          <w:rFonts w:ascii="Arial" w:cs="Arial" w:eastAsia="Arial" w:hAnsi="Arial"/>
          <w:sz w:val="17"/>
          <w:szCs w:val="17"/>
          <w:color w:val="auto"/>
        </w:rPr>
        <w:t xml:space="preserve">] of any Loan Party </w:t>
      </w:r>
      <w:r>
        <w:rPr>
          <w:rFonts w:ascii="Arial" w:cs="Arial" w:eastAsia="Arial" w:hAnsi="Arial"/>
          <w:sz w:val="17"/>
          <w:szCs w:val="17"/>
          <w:b w:val="1"/>
          <w:bCs w:val="1"/>
          <w:u w:val="single" w:color="auto"/>
          <w:color w:val="0000FF"/>
        </w:rPr>
        <w:t>or any of their Restricted Subsidiaries</w:t>
      </w:r>
      <w:r>
        <w:rPr>
          <w:rFonts w:ascii="Arial" w:cs="Arial" w:eastAsia="Arial" w:hAnsi="Arial"/>
          <w:sz w:val="17"/>
          <w:szCs w:val="17"/>
          <w:color w:val="auto"/>
        </w:rPr>
        <w:t xml:space="preserve"> which secure Indebtedness permitted under clauses (c[</w:t>
      </w:r>
      <w:r>
        <w:rPr>
          <w:rFonts w:ascii="Arial" w:cs="Arial" w:eastAsia="Arial" w:hAnsi="Arial"/>
          <w:sz w:val="17"/>
          <w:szCs w:val="17"/>
          <w:color w:val="FF0000"/>
          <w:strike w:val="1"/>
        </w:rPr>
        <w:t>) and/or (d</w:t>
      </w:r>
      <w:r>
        <w:rPr>
          <w:rFonts w:ascii="Arial" w:cs="Arial" w:eastAsia="Arial" w:hAnsi="Arial"/>
          <w:sz w:val="17"/>
          <w:szCs w:val="17"/>
          <w:color w:val="auto"/>
        </w:rPr>
        <w:t>]) of the definition of Permitted Indebtedness so long as (i) such Liens and the Indebtedness secured thereby are incurred prior to or within ninety (90) days after such acquisition, (ii) the Indebtedness secured thereby does not exceed the cost of acquisition of the applicable assets, and (iii) such Liens shall attach only to the assets [</w:t>
      </w:r>
      <w:r>
        <w:rPr>
          <w:rFonts w:ascii="Arial" w:cs="Arial" w:eastAsia="Arial" w:hAnsi="Arial"/>
          <w:sz w:val="17"/>
          <w:szCs w:val="17"/>
          <w:color w:val="FF0000"/>
          <w:strike w:val="1"/>
        </w:rPr>
        <w:t>or Real Estate</w:t>
      </w:r>
      <w:r>
        <w:rPr>
          <w:rFonts w:ascii="Arial" w:cs="Arial" w:eastAsia="Arial" w:hAnsi="Arial"/>
          <w:sz w:val="17"/>
          <w:szCs w:val="17"/>
          <w:color w:val="auto"/>
        </w:rPr>
        <w:t xml:space="preserve"> ]acquired, improved or refinanced with such Indebtedness and shall not extend to any other property or assets of the Loan Parties;</w:t>
      </w:r>
    </w:p>
    <w:p>
      <w:pPr>
        <w:spacing w:after="0" w:line="167" w:lineRule="exact"/>
        <w:rPr>
          <w:rFonts w:ascii="Arial" w:cs="Arial" w:eastAsia="Arial" w:hAnsi="Arial"/>
          <w:sz w:val="17"/>
          <w:szCs w:val="17"/>
          <w:color w:val="auto"/>
        </w:rPr>
      </w:pPr>
    </w:p>
    <w:p>
      <w:pPr>
        <w:ind w:left="1580" w:hanging="936"/>
        <w:spacing w:after="0"/>
        <w:tabs>
          <w:tab w:leader="none" w:pos="1580" w:val="left"/>
        </w:tabs>
        <w:numPr>
          <w:ilvl w:val="0"/>
          <w:numId w:val="40"/>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Liens securing Permitted Real Estate Indebtedness;</w:t>
      </w:r>
    </w:p>
    <w:p>
      <w:pPr>
        <w:spacing w:after="0" w:line="229" w:lineRule="exact"/>
        <w:rPr>
          <w:rFonts w:ascii="Arial" w:cs="Arial" w:eastAsia="Arial" w:hAnsi="Arial"/>
          <w:sz w:val="18"/>
          <w:szCs w:val="18"/>
          <w:b w:val="1"/>
          <w:bCs w:val="1"/>
          <w:u w:val="single" w:color="auto"/>
          <w:color w:val="0000FF"/>
        </w:rPr>
      </w:pPr>
    </w:p>
    <w:p>
      <w:pPr>
        <w:ind w:left="1580" w:hanging="936"/>
        <w:spacing w:after="0"/>
        <w:tabs>
          <w:tab w:leader="none" w:pos="1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Liens in favor of the Lender;</w:t>
      </w:r>
    </w:p>
    <w:p>
      <w:pPr>
        <w:spacing w:after="0" w:line="225" w:lineRule="exact"/>
        <w:rPr>
          <w:rFonts w:ascii="Arial" w:cs="Arial" w:eastAsia="Arial" w:hAnsi="Arial"/>
          <w:sz w:val="18"/>
          <w:szCs w:val="18"/>
          <w:color w:val="auto"/>
        </w:rPr>
      </w:pPr>
    </w:p>
    <w:p>
      <w:pPr>
        <w:ind w:left="1520" w:hanging="876"/>
        <w:spacing w:after="0"/>
        <w:tabs>
          <w:tab w:leader="none" w:pos="1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Landlords’ and lessors’ statutory Liens in respect of rent not in default;</w:t>
      </w:r>
    </w:p>
    <w:p>
      <w:pPr>
        <w:spacing w:after="0" w:line="225" w:lineRule="exact"/>
        <w:rPr>
          <w:rFonts w:ascii="Arial" w:cs="Arial" w:eastAsia="Arial" w:hAnsi="Arial"/>
          <w:sz w:val="18"/>
          <w:szCs w:val="18"/>
          <w:color w:val="auto"/>
        </w:rPr>
      </w:pPr>
    </w:p>
    <w:p>
      <w:pPr>
        <w:jc w:val="both"/>
        <w:ind w:firstLine="644"/>
        <w:spacing w:after="0" w:line="259" w:lineRule="auto"/>
        <w:tabs>
          <w:tab w:leader="none" w:pos="17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Possessory Liens in favor of brokers and dealers arising in connection with the acquisition or disposition of Investments owned as of the [</w:t>
      </w:r>
      <w:r>
        <w:rPr>
          <w:rFonts w:ascii="Arial" w:cs="Arial" w:eastAsia="Arial" w:hAnsi="Arial"/>
          <w:sz w:val="18"/>
          <w:szCs w:val="18"/>
          <w:color w:val="FF0000"/>
          <w:strike w:val="1"/>
        </w:rPr>
        <w:t>Closing</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Third Amendment Effective</w:t>
      </w:r>
      <w:r>
        <w:rPr>
          <w:rFonts w:ascii="Arial" w:cs="Arial" w:eastAsia="Arial" w:hAnsi="Arial"/>
          <w:sz w:val="18"/>
          <w:szCs w:val="18"/>
          <w:color w:val="auto"/>
        </w:rPr>
        <w:t xml:space="preserve"> Date and other Permitted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 attach only to such Investments and (b) secure only obligations incurred in the ordinary course and arising in connection with the acquisition or disposition of such Investments and not any obligation in connection with margin financing;</w:t>
      </w:r>
    </w:p>
    <w:p>
      <w:pPr>
        <w:spacing w:after="0" w:line="186" w:lineRule="exact"/>
        <w:rPr>
          <w:rFonts w:ascii="Arial" w:cs="Arial" w:eastAsia="Arial" w:hAnsi="Arial"/>
          <w:sz w:val="18"/>
          <w:szCs w:val="18"/>
          <w:color w:val="auto"/>
        </w:rPr>
      </w:pPr>
    </w:p>
    <w:p>
      <w:pPr>
        <w:jc w:val="both"/>
        <w:ind w:firstLine="644"/>
        <w:spacing w:after="0" w:line="263" w:lineRule="auto"/>
        <w:tabs>
          <w:tab w:leader="none" w:pos="17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Liens arising solely by virtue of any statutory or common law provisions relating to banker’s Liens, Liens in favor of securities intermediaries, rights of setoff or similar rights and remedies as to deposit accounts or securities accounts or other funds maintained with depository institutions or securities intermediaries;</w:t>
      </w:r>
    </w:p>
    <w:p>
      <w:pPr>
        <w:spacing w:after="0" w:line="18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39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9" w:name="page60"/>
    <w:bookmarkEnd w:id="59"/>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firstLine="644"/>
        <w:spacing w:after="0" w:line="277" w:lineRule="auto"/>
        <w:tabs>
          <w:tab w:leader="none" w:pos="16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Liens arising from precautionary UCC filings regarding “true” operating leases or, to the extent permitted under the Loan Documents, the consignment of goods to a Loan Party;</w:t>
      </w:r>
    </w:p>
    <w:p>
      <w:pPr>
        <w:spacing w:after="0" w:line="170" w:lineRule="exact"/>
        <w:rPr>
          <w:rFonts w:ascii="Arial" w:cs="Arial" w:eastAsia="Arial" w:hAnsi="Arial"/>
          <w:sz w:val="18"/>
          <w:szCs w:val="18"/>
          <w:color w:val="auto"/>
        </w:rPr>
      </w:pPr>
    </w:p>
    <w:p>
      <w:pPr>
        <w:jc w:val="both"/>
        <w:ind w:firstLine="644"/>
        <w:spacing w:after="0" w:line="259" w:lineRule="auto"/>
        <w:tabs>
          <w:tab w:leader="none" w:pos="16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Voluntary Liens on property (other than property of the type included in the Borrowing Base) in existence at the time such property is acquired pursuant to a Permitted Acquisition or on such property of a Subsidiary of a Loan Party in existence at the time such Subsidiary is acquired pursuant to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Liens are not incurred in connection with or in anticipation of such Permitted Acquisition and do not attach to any other assets of any Loan Party or any Subsidiary; [</w:t>
      </w:r>
      <w:r>
        <w:rPr>
          <w:rFonts w:ascii="Arial" w:cs="Arial" w:eastAsia="Arial" w:hAnsi="Arial"/>
          <w:sz w:val="18"/>
          <w:szCs w:val="18"/>
          <w:color w:val="FF0000"/>
          <w:strike w:val="1"/>
        </w:rPr>
        <w:t>and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44"/>
        <w:spacing w:after="0" w:line="257" w:lineRule="auto"/>
        <w:tabs>
          <w:tab w:leader="none" w:pos="15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Liens in favor of customs and revenues authorities imposed by applicable Laws arising in the ordinary course of business in connection with the importation of goods and securing obligations (i) that are not overdue by more than thirty (30) days, or (ii)(A) that are being contested in good faith by appropriate proceedings, (B) the applicable Loan Party or Subsidiary has set aside on its books adequate reserves with respect thereto, if and to the extent required in accordance with GAAP and (C) such contest effectively suspends collection of the contested obligation and enforcement of any Lien securing such obligation.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520" w:hanging="876"/>
        <w:spacing w:after="0"/>
        <w:tabs>
          <w:tab w:leader="none" w:pos="1520" w:val="left"/>
        </w:tabs>
        <w:numPr>
          <w:ilvl w:val="0"/>
          <w:numId w:val="41"/>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Liens securing obligations under Swap Contracts permitted to be entered by this Agreement in the ordinary course of</w:t>
      </w:r>
    </w:p>
    <w:p>
      <w:pPr>
        <w:spacing w:after="0" w:line="50" w:lineRule="exact"/>
        <w:rPr>
          <w:rFonts w:ascii="Arial" w:cs="Arial" w:eastAsia="Arial" w:hAnsi="Arial"/>
          <w:sz w:val="16"/>
          <w:szCs w:val="16"/>
          <w:b w:val="1"/>
          <w:bCs w:val="1"/>
          <w:u w:val="single" w:color="auto"/>
          <w:color w:val="0000FF"/>
        </w:rPr>
      </w:pPr>
    </w:p>
    <w:p>
      <w:pPr>
        <w:spacing w:after="0"/>
        <w:rPr>
          <w:rFonts w:ascii="Arial" w:cs="Arial" w:eastAsia="Arial" w:hAnsi="Arial"/>
          <w:sz w:val="16"/>
          <w:szCs w:val="16"/>
          <w:b w:val="1"/>
          <w:bCs w:val="1"/>
          <w:u w:val="single" w:color="auto"/>
          <w:color w:val="0000FF"/>
        </w:rPr>
      </w:pPr>
      <w:r>
        <w:rPr>
          <w:rFonts w:ascii="Arial" w:cs="Arial" w:eastAsia="Arial" w:hAnsi="Arial"/>
          <w:sz w:val="18"/>
          <w:szCs w:val="18"/>
          <w:b w:val="1"/>
          <w:bCs w:val="1"/>
          <w:u w:val="single" w:color="auto"/>
          <w:color w:val="0000FF"/>
        </w:rPr>
        <w:t>business;</w:t>
      </w:r>
    </w:p>
    <w:p>
      <w:pPr>
        <w:spacing w:after="0" w:line="206" w:lineRule="exact"/>
        <w:rPr>
          <w:rFonts w:ascii="Arial" w:cs="Arial" w:eastAsia="Arial" w:hAnsi="Arial"/>
          <w:sz w:val="16"/>
          <w:szCs w:val="16"/>
          <w:b w:val="1"/>
          <w:bCs w:val="1"/>
          <w:u w:val="single" w:color="auto"/>
          <w:color w:val="0000FF"/>
        </w:rPr>
      </w:pPr>
    </w:p>
    <w:p>
      <w:pPr>
        <w:ind w:firstLine="644"/>
        <w:spacing w:after="0" w:line="282" w:lineRule="auto"/>
        <w:tabs>
          <w:tab w:leader="none" w:pos="1765" w:val="left"/>
        </w:tabs>
        <w:numPr>
          <w:ilvl w:val="0"/>
          <w:numId w:val="41"/>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Liens on insurance policies and the proceeds thereof securing the applicable unearned insurance premiums with respect thereto in the ordinary course of business;</w:t>
      </w:r>
    </w:p>
    <w:p>
      <w:pPr>
        <w:spacing w:after="0" w:line="161" w:lineRule="exact"/>
        <w:rPr>
          <w:rFonts w:ascii="Arial" w:cs="Arial" w:eastAsia="Arial" w:hAnsi="Arial"/>
          <w:sz w:val="18"/>
          <w:szCs w:val="18"/>
          <w:b w:val="1"/>
          <w:bCs w:val="1"/>
          <w:u w:val="single" w:color="auto"/>
          <w:color w:val="0000FF"/>
        </w:rPr>
      </w:pPr>
    </w:p>
    <w:p>
      <w:pPr>
        <w:ind w:firstLine="644"/>
        <w:spacing w:after="0" w:line="282" w:lineRule="auto"/>
        <w:tabs>
          <w:tab w:leader="none" w:pos="1828" w:val="left"/>
        </w:tabs>
        <w:numPr>
          <w:ilvl w:val="0"/>
          <w:numId w:val="41"/>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Customary offsets to fees and chargebacks in favor of credit card companies pursuant to agreements therewith entered in the ordinary course of business; and</w:t>
      </w:r>
    </w:p>
    <w:p>
      <w:pPr>
        <w:spacing w:after="0" w:line="161" w:lineRule="exact"/>
        <w:rPr>
          <w:rFonts w:ascii="Arial" w:cs="Arial" w:eastAsia="Arial" w:hAnsi="Arial"/>
          <w:sz w:val="18"/>
          <w:szCs w:val="18"/>
          <w:b w:val="1"/>
          <w:bCs w:val="1"/>
          <w:u w:val="single" w:color="auto"/>
          <w:color w:val="0000FF"/>
        </w:rPr>
      </w:pPr>
    </w:p>
    <w:p>
      <w:pPr>
        <w:ind w:left="1540" w:hanging="896"/>
        <w:spacing w:after="0"/>
        <w:tabs>
          <w:tab w:leader="none" w:pos="1540" w:val="left"/>
        </w:tabs>
        <w:numPr>
          <w:ilvl w:val="0"/>
          <w:numId w:val="41"/>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Liens securing obligations in an aggregate principal amount at any one time outstanding not exceeding $2,500,000.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“Permitted Indebtedness” means each of the following:</w:t>
      </w:r>
    </w:p>
    <w:p>
      <w:pPr>
        <w:spacing w:after="0" w:line="221" w:lineRule="exact"/>
        <w:rPr>
          <w:sz w:val="20"/>
          <w:szCs w:val="20"/>
          <w:color w:val="auto"/>
        </w:rPr>
      </w:pPr>
    </w:p>
    <w:p>
      <w:pPr>
        <w:ind w:firstLine="644"/>
        <w:spacing w:after="0" w:line="282" w:lineRule="auto"/>
        <w:tabs>
          <w:tab w:leader="none" w:pos="17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Indebtedness outstanding on the [</w:t>
      </w:r>
      <w:r>
        <w:rPr>
          <w:rFonts w:ascii="Arial" w:cs="Arial" w:eastAsia="Arial" w:hAnsi="Arial"/>
          <w:sz w:val="18"/>
          <w:szCs w:val="18"/>
          <w:color w:val="FF0000"/>
          <w:strike w:val="1"/>
        </w:rPr>
        <w:t>Closing</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Third Amendment Effective</w:t>
      </w:r>
      <w:r>
        <w:rPr>
          <w:rFonts w:ascii="Arial" w:cs="Arial" w:eastAsia="Arial" w:hAnsi="Arial"/>
          <w:sz w:val="18"/>
          <w:szCs w:val="18"/>
          <w:color w:val="auto"/>
        </w:rPr>
        <w:t xml:space="preserve"> Date listed on Schedule 7.03 to the Disclosure Schedule and any Permitted Refinancing thereof;</w:t>
      </w:r>
    </w:p>
    <w:p>
      <w:pPr>
        <w:spacing w:after="0" w:line="165" w:lineRule="exact"/>
        <w:rPr>
          <w:rFonts w:ascii="Arial" w:cs="Arial" w:eastAsia="Arial" w:hAnsi="Arial"/>
          <w:sz w:val="18"/>
          <w:szCs w:val="18"/>
          <w:color w:val="auto"/>
        </w:rPr>
      </w:pPr>
    </w:p>
    <w:p>
      <w:pPr>
        <w:ind w:left="1520" w:hanging="876"/>
        <w:spacing w:after="0"/>
        <w:tabs>
          <w:tab w:leader="none" w:pos="1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Indebtedness of any Loan Party to any other Loan Party;</w:t>
      </w:r>
    </w:p>
    <w:p>
      <w:pPr>
        <w:spacing w:after="0" w:line="225" w:lineRule="exact"/>
        <w:rPr>
          <w:rFonts w:ascii="Arial" w:cs="Arial" w:eastAsia="Arial" w:hAnsi="Arial"/>
          <w:sz w:val="18"/>
          <w:szCs w:val="18"/>
          <w:color w:val="auto"/>
        </w:rPr>
      </w:pPr>
    </w:p>
    <w:p>
      <w:pPr>
        <w:jc w:val="both"/>
        <w:ind w:firstLine="644"/>
        <w:spacing w:after="0" w:line="255" w:lineRule="auto"/>
        <w:tabs>
          <w:tab w:leader="none" w:pos="1522"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Purchase money Indebtedness of any Loan Party to finance the acquisition of any personal property consisting solely of fixed or capital assets, including Capital Lease Obligations, and any Indebtedness assumed in connection with the acquisition of any such assets or secured by a Lien on any such assets prior to the acquisition thereof, and Permitted Refinancings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principal amount of Indebtedness permitted by this clause (c) shall not exceed $[</w:t>
      </w:r>
      <w:r>
        <w:rPr>
          <w:rFonts w:ascii="Arial" w:cs="Arial" w:eastAsia="Arial" w:hAnsi="Arial"/>
          <w:sz w:val="18"/>
          <w:szCs w:val="18"/>
          <w:color w:val="FF0000"/>
          <w:strike w:val="1"/>
        </w:rPr>
        <w:t>10,000,000</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25,000,000</w:t>
      </w:r>
      <w:r>
        <w:rPr>
          <w:rFonts w:ascii="Arial" w:cs="Arial" w:eastAsia="Arial" w:hAnsi="Arial"/>
          <w:sz w:val="18"/>
          <w:szCs w:val="18"/>
          <w:color w:val="auto"/>
        </w:rPr>
        <w:t xml:space="preserve"> at any time outstanding and further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requested by the Lender, the Loan Parties shall cause the holders of such Indebtedness to enter into a Collateral Access Agreement on terms reasonably satisfactory to the Lender;</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40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0" w:name="page61"/>
    <w:bookmarkEnd w:id="60"/>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207"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4"/>
        <w:spacing w:after="0" w:line="301" w:lineRule="auto"/>
        <w:tabs>
          <w:tab w:leader="none" w:pos="16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color w:val="FF0000"/>
          <w:strike w:val="1"/>
        </w:rPr>
        <w:t>Indebtedness incurred for the construction or acquisition or improvement of, or to finance or to refinance, any Real Estate</w:t>
      </w:r>
      <w:r>
        <w:rPr>
          <w:rFonts w:ascii="Arial" w:cs="Arial" w:eastAsia="Arial" w:hAnsi="Arial"/>
          <w:sz w:val="16"/>
          <w:szCs w:val="16"/>
          <w:color w:val="auto"/>
        </w:rPr>
        <w:t xml:space="preserve"> </w:t>
      </w:r>
      <w:r>
        <w:rPr>
          <w:rFonts w:ascii="Arial" w:cs="Arial" w:eastAsia="Arial" w:hAnsi="Arial"/>
          <w:sz w:val="16"/>
          <w:szCs w:val="16"/>
          <w:color w:val="FF0000"/>
          <w:strike w:val="1"/>
        </w:rPr>
        <w:t>owned by any Loan Party (including therein</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color w:val="00C000"/>
          <w:strike w:val="1"/>
        </w:rPr>
        <w:t>any Indebtedness incurred in connection with sale-leaseback transactions permitted hereunder and</w:t>
      </w:r>
      <w:r>
        <w:rPr>
          <w:rFonts w:ascii="Arial" w:cs="Arial" w:eastAsia="Arial" w:hAnsi="Arial"/>
          <w:sz w:val="16"/>
          <w:szCs w:val="16"/>
          <w:color w:val="FF0000"/>
        </w:rPr>
        <w:t xml:space="preserve"> </w:t>
      </w:r>
      <w:r>
        <w:rPr>
          <w:rFonts w:ascii="Arial" w:cs="Arial" w:eastAsia="Arial" w:hAnsi="Arial"/>
          <w:sz w:val="16"/>
          <w:szCs w:val="16"/>
          <w:color w:val="00C000"/>
          <w:strike w:val="1"/>
        </w:rPr>
        <w:t>any Synthetic Lease Obligations</w:t>
      </w:r>
      <w:r>
        <w:rPr>
          <w:rFonts w:ascii="Arial" w:cs="Arial" w:eastAsia="Arial" w:hAnsi="Arial"/>
          <w:sz w:val="16"/>
          <w:szCs w:val="16"/>
          <w:color w:val="000000"/>
        </w:rPr>
        <w:t>[</w:t>
      </w:r>
      <w:r>
        <w:rPr>
          <w:rFonts w:ascii="Arial" w:cs="Arial" w:eastAsia="Arial" w:hAnsi="Arial"/>
          <w:sz w:val="16"/>
          <w:szCs w:val="16"/>
          <w:color w:val="FF0000"/>
          <w:strike w:val="1"/>
        </w:rPr>
        <w:t>),</w:t>
      </w:r>
      <w:r>
        <w:rPr>
          <w:rFonts w:ascii="Arial" w:cs="Arial" w:eastAsia="Arial" w:hAnsi="Arial"/>
          <w:sz w:val="16"/>
          <w:szCs w:val="16"/>
          <w:color w:val="00C000"/>
        </w:rPr>
        <w:t xml:space="preserve"> </w:t>
      </w:r>
      <w:r>
        <w:rPr>
          <w:rFonts w:ascii="Arial" w:cs="Arial" w:eastAsia="Arial" w:hAnsi="Arial"/>
          <w:sz w:val="16"/>
          <w:szCs w:val="16"/>
          <w:u w:val="single" w:color="auto"/>
          <w:color w:val="FF0000"/>
          <w:strike w:val="1"/>
        </w:rPr>
        <w:t>provided</w:t>
      </w:r>
      <w:r>
        <w:rPr>
          <w:rFonts w:ascii="Arial" w:cs="Arial" w:eastAsia="Arial" w:hAnsi="Arial"/>
          <w:sz w:val="16"/>
          <w:szCs w:val="16"/>
          <w:color w:val="00C000"/>
        </w:rPr>
        <w:t xml:space="preserve"> </w:t>
      </w:r>
      <w:r>
        <w:rPr>
          <w:rFonts w:ascii="Arial" w:cs="Arial" w:eastAsia="Arial" w:hAnsi="Arial"/>
          <w:sz w:val="16"/>
          <w:szCs w:val="16"/>
          <w:color w:val="FF0000"/>
          <w:strike w:val="1"/>
        </w:rPr>
        <w:t>that, the Loan Parties shall cause the holders of such Indebtedness and the lessors under any sale-leaseback transaction to enter into</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color w:val="00C000"/>
          <w:strike w:val="1"/>
        </w:rPr>
        <w:t>a Collateral Access Agreement</w:t>
      </w:r>
      <w:r>
        <w:rPr>
          <w:rFonts w:ascii="Arial" w:cs="Arial" w:eastAsia="Arial" w:hAnsi="Arial"/>
          <w:sz w:val="16"/>
          <w:szCs w:val="16"/>
          <w:color w:val="FF0000"/>
        </w:rPr>
        <w:t xml:space="preserve"> </w:t>
      </w:r>
      <w:r>
        <w:rPr>
          <w:rFonts w:ascii="Arial" w:cs="Arial" w:eastAsia="Arial" w:hAnsi="Arial"/>
          <w:sz w:val="16"/>
          <w:szCs w:val="16"/>
          <w:color w:val="000000"/>
        </w:rPr>
        <w:t>[</w:t>
      </w:r>
      <w:r>
        <w:rPr>
          <w:rFonts w:ascii="Arial" w:cs="Arial" w:eastAsia="Arial" w:hAnsi="Arial"/>
          <w:sz w:val="16"/>
          <w:szCs w:val="16"/>
          <w:color w:val="FF0000"/>
          <w:strike w:val="1"/>
        </w:rPr>
        <w:t>on terms reasonably satisfactory to the Lender</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[Reserved]</w:t>
      </w:r>
      <w:r>
        <w:rPr>
          <w:rFonts w:ascii="Arial" w:cs="Arial" w:eastAsia="Arial" w:hAnsi="Arial"/>
          <w:sz w:val="16"/>
          <w:szCs w:val="16"/>
          <w:color w:val="000000"/>
        </w:rPr>
        <w:t>;</w:t>
      </w:r>
    </w:p>
    <w:p>
      <w:pPr>
        <w:spacing w:after="0" w:line="157" w:lineRule="exact"/>
        <w:rPr>
          <w:rFonts w:ascii="Arial" w:cs="Arial" w:eastAsia="Arial" w:hAnsi="Arial"/>
          <w:sz w:val="16"/>
          <w:szCs w:val="16"/>
          <w:color w:val="auto"/>
        </w:rPr>
      </w:pPr>
    </w:p>
    <w:p>
      <w:pPr>
        <w:ind w:right="20" w:firstLine="644"/>
        <w:spacing w:after="0" w:line="277" w:lineRule="auto"/>
        <w:tabs>
          <w:tab w:leader="none" w:pos="15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Contingent liabilities under surety bonds or similar instruments incurred in the ordinary course of business in connection with the construction or improvement of Stores;</w:t>
      </w:r>
    </w:p>
    <w:p>
      <w:pPr>
        <w:spacing w:after="0" w:line="166" w:lineRule="exact"/>
        <w:rPr>
          <w:rFonts w:ascii="Arial" w:cs="Arial" w:eastAsia="Arial" w:hAnsi="Arial"/>
          <w:sz w:val="18"/>
          <w:szCs w:val="18"/>
          <w:color w:val="auto"/>
        </w:rPr>
      </w:pPr>
    </w:p>
    <w:p>
      <w:pPr>
        <w:jc w:val="both"/>
        <w:ind w:firstLine="644"/>
        <w:spacing w:after="0" w:line="261" w:lineRule="auto"/>
        <w:tabs>
          <w:tab w:leader="none" w:pos="1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of any Loan Party or 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thereof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obligations are (or were) entered into by such Person in the ordinary course of business for the purpose of directly mitigating risks associated with fluctuations in commodity prices, interest rates or foreign exchange rates, and not for purposes of speculation or taking a “market view;”</w:t>
      </w:r>
    </w:p>
    <w:p>
      <w:pPr>
        <w:spacing w:after="0" w:line="179" w:lineRule="exact"/>
        <w:rPr>
          <w:rFonts w:ascii="Arial" w:cs="Arial" w:eastAsia="Arial" w:hAnsi="Arial"/>
          <w:sz w:val="18"/>
          <w:szCs w:val="18"/>
          <w:color w:val="auto"/>
        </w:rPr>
      </w:pPr>
    </w:p>
    <w:p>
      <w:pPr>
        <w:ind w:left="1520" w:hanging="876"/>
        <w:spacing w:after="0"/>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Indebtedness </w:t>
      </w:r>
      <w:r>
        <w:rPr>
          <w:rFonts w:ascii="Arial" w:cs="Arial" w:eastAsia="Arial" w:hAnsi="Arial"/>
          <w:sz w:val="18"/>
          <w:szCs w:val="18"/>
          <w:b w:val="1"/>
          <w:bCs w:val="1"/>
          <w:u w:val="single" w:color="auto"/>
          <w:color w:val="0000FF"/>
        </w:rPr>
        <w:t>and other obligations</w:t>
      </w:r>
      <w:r>
        <w:rPr>
          <w:rFonts w:ascii="Arial" w:cs="Arial" w:eastAsia="Arial" w:hAnsi="Arial"/>
          <w:sz w:val="18"/>
          <w:szCs w:val="18"/>
          <w:color w:val="auto"/>
        </w:rPr>
        <w:t xml:space="preserve"> with respect to the deferred purchase price for any Permitted Acquisition;</w:t>
      </w:r>
    </w:p>
    <w:p>
      <w:pPr>
        <w:spacing w:after="0" w:line="225" w:lineRule="exact"/>
        <w:rPr>
          <w:rFonts w:ascii="Arial" w:cs="Arial" w:eastAsia="Arial" w:hAnsi="Arial"/>
          <w:sz w:val="18"/>
          <w:szCs w:val="18"/>
          <w:color w:val="auto"/>
        </w:rPr>
      </w:pPr>
    </w:p>
    <w:p>
      <w:pPr>
        <w:ind w:right="20" w:firstLine="644"/>
        <w:spacing w:after="0" w:line="282" w:lineRule="auto"/>
        <w:tabs>
          <w:tab w:leader="none" w:pos="1754" w:val="left"/>
        </w:tabs>
        <w:numPr>
          <w:ilvl w:val="0"/>
          <w:numId w:val="43"/>
        </w:numPr>
        <w:rPr>
          <w:rFonts w:ascii="Arial" w:cs="Arial" w:eastAsia="Arial" w:hAnsi="Arial"/>
          <w:sz w:val="18"/>
          <w:szCs w:val="18"/>
          <w:b w:val="1"/>
          <w:bCs w:val="1"/>
          <w:color w:val="0000FF"/>
        </w:rPr>
      </w:pPr>
      <w:r>
        <w:rPr>
          <w:rFonts w:ascii="Arial" w:cs="Arial" w:eastAsia="Arial" w:hAnsi="Arial"/>
          <w:sz w:val="18"/>
          <w:szCs w:val="18"/>
          <w:b w:val="1"/>
          <w:bCs w:val="1"/>
          <w:u w:val="single" w:color="auto"/>
          <w:color w:val="0000FF"/>
        </w:rPr>
        <w:t>Guaranty obligations in connection with the provision of credit card processing services to the Borrower or any Restricted Subsidiary that is permitted hereunder;</w:t>
      </w:r>
    </w:p>
    <w:p>
      <w:pPr>
        <w:spacing w:after="0" w:line="161" w:lineRule="exact"/>
        <w:rPr>
          <w:rFonts w:ascii="Arial" w:cs="Arial" w:eastAsia="Arial" w:hAnsi="Arial"/>
          <w:sz w:val="18"/>
          <w:szCs w:val="18"/>
          <w:b w:val="1"/>
          <w:bCs w:val="1"/>
          <w:color w:val="0000FF"/>
        </w:rPr>
      </w:pPr>
    </w:p>
    <w:p>
      <w:pPr>
        <w:ind w:firstLine="644"/>
        <w:spacing w:after="0" w:line="347" w:lineRule="auto"/>
        <w:tabs>
          <w:tab w:leader="none" w:pos="1717" w:val="left"/>
        </w:tabs>
        <w:numPr>
          <w:ilvl w:val="0"/>
          <w:numId w:val="43"/>
        </w:numPr>
        <w:rPr>
          <w:rFonts w:ascii="Arial" w:cs="Arial" w:eastAsia="Arial" w:hAnsi="Arial"/>
          <w:sz w:val="16"/>
          <w:szCs w:val="16"/>
          <w:b w:val="1"/>
          <w:bCs w:val="1"/>
          <w:color w:val="0000FF"/>
        </w:rPr>
      </w:pPr>
      <w:r>
        <w:rPr>
          <w:rFonts w:ascii="Arial" w:cs="Arial" w:eastAsia="Arial" w:hAnsi="Arial"/>
          <w:sz w:val="16"/>
          <w:szCs w:val="16"/>
          <w:b w:val="1"/>
          <w:bCs w:val="1"/>
          <w:u w:val="single" w:color="auto"/>
          <w:color w:val="0000FF"/>
        </w:rPr>
        <w:t>Guarantee obligations incurred in the ordinary course of business in respect of obligations of the Borrower or any Restricted Subsidiary permitted hereunder to suppliers, customers, franchisees, lessors, licensees, sublicensees or distribution partners;</w:t>
      </w:r>
    </w:p>
    <w:p>
      <w:pPr>
        <w:spacing w:after="0" w:line="119" w:lineRule="exact"/>
        <w:rPr>
          <w:rFonts w:ascii="Arial" w:cs="Arial" w:eastAsia="Arial" w:hAnsi="Arial"/>
          <w:sz w:val="16"/>
          <w:szCs w:val="16"/>
          <w:b w:val="1"/>
          <w:bCs w:val="1"/>
          <w:color w:val="0000FF"/>
        </w:rPr>
      </w:pPr>
    </w:p>
    <w:p>
      <w:pPr>
        <w:jc w:val="both"/>
        <w:ind w:firstLine="644"/>
        <w:spacing w:after="0" w:line="263" w:lineRule="auto"/>
        <w:tabs>
          <w:tab w:leader="none" w:pos="17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of any Person that becomes a Subsidiary of a Loan Party in a Permitted Acquisition, which Indebtedness is existing at the time such Person becomes a Subsidiary of a Loan Party (other than Indebtedness incurred solely in contemplation of such Person’s becoming a Subsidiary of a Loan Party); [</w:t>
      </w:r>
      <w:r>
        <w:rPr>
          <w:rFonts w:ascii="Arial" w:cs="Arial" w:eastAsia="Arial" w:hAnsi="Arial"/>
          <w:sz w:val="18"/>
          <w:szCs w:val="18"/>
          <w:color w:val="FF0000"/>
          <w:strike w:val="1"/>
        </w:rPr>
        <w:t>and</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firstLine="644"/>
        <w:spacing w:after="0" w:line="258" w:lineRule="auto"/>
        <w:tabs>
          <w:tab w:leader="none" w:pos="1619" w:val="left"/>
        </w:tabs>
        <w:numPr>
          <w:ilvl w:val="0"/>
          <w:numId w:val="43"/>
        </w:numPr>
        <w:rPr>
          <w:rFonts w:ascii="Arial" w:cs="Arial" w:eastAsia="Arial" w:hAnsi="Arial"/>
          <w:sz w:val="18"/>
          <w:szCs w:val="18"/>
          <w:b w:val="1"/>
          <w:bCs w:val="1"/>
          <w:color w:val="0000FF"/>
        </w:rPr>
      </w:pPr>
      <w:r>
        <w:rPr>
          <w:rFonts w:ascii="Arial" w:cs="Arial" w:eastAsia="Arial" w:hAnsi="Arial"/>
          <w:sz w:val="18"/>
          <w:szCs w:val="18"/>
          <w:b w:val="1"/>
          <w:bCs w:val="1"/>
          <w:u w:val="single" w:color="auto"/>
          <w:color w:val="0000FF"/>
        </w:rPr>
        <w:t xml:space="preserve">Indebtedness representing deferred compensation to employees, directors, consultants, partners, members, contract providers, independent contractors or other service providers of incurred in the ordinary course of business; </w:t>
      </w:r>
      <w:r>
        <w:rPr>
          <w:rFonts w:ascii="Arial" w:cs="Arial" w:eastAsia="Arial" w:hAnsi="Arial"/>
          <w:sz w:val="18"/>
          <w:szCs w:val="18"/>
          <w:u w:val="single" w:color="auto"/>
          <w:color w:val="0000FF"/>
        </w:rPr>
        <w:t>and (ii) Indebtedness</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consisting of (x) obligations under deferred compensation arrangements to employees, directors, partners, members, consultants, independent contractors or other service providers, including such obligations incurred in connection with Permitted Acquisitions or (y) any other Investment permitted under this Agreement;</w:t>
      </w:r>
    </w:p>
    <w:p>
      <w:pPr>
        <w:spacing w:after="0" w:line="18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41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61" w:name="page62"/>
    <w:bookmarkEnd w:id="61"/>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25" w:lineRule="exact"/>
        <w:rPr>
          <w:sz w:val="20"/>
          <w:szCs w:val="20"/>
          <w:color w:val="auto"/>
        </w:rPr>
      </w:pPr>
    </w:p>
    <w:p>
      <w:pPr>
        <w:ind w:left="1440" w:hanging="796"/>
        <w:spacing w:after="0"/>
        <w:tabs>
          <w:tab w:leader="none" w:pos="1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Obligations</w:t>
      </w:r>
      <w:r>
        <w:rPr>
          <w:rFonts w:ascii="Arial" w:cs="Arial" w:eastAsia="Arial" w:hAnsi="Arial"/>
          <w:sz w:val="18"/>
          <w:szCs w:val="18"/>
          <w:b w:val="1"/>
          <w:bCs w:val="1"/>
          <w:u w:val="single" w:color="auto"/>
          <w:color w:val="0000FF"/>
        </w:rPr>
        <w:t>;</w:t>
      </w:r>
    </w:p>
    <w:p>
      <w:pPr>
        <w:spacing w:after="0" w:line="225" w:lineRule="exact"/>
        <w:rPr>
          <w:rFonts w:ascii="Arial" w:cs="Arial" w:eastAsia="Arial" w:hAnsi="Arial"/>
          <w:sz w:val="18"/>
          <w:szCs w:val="18"/>
          <w:color w:val="auto"/>
        </w:rPr>
      </w:pPr>
    </w:p>
    <w:p>
      <w:pPr>
        <w:ind w:left="1460" w:hanging="816"/>
        <w:spacing w:after="0"/>
        <w:tabs>
          <w:tab w:leader="none" w:pos="1460" w:val="left"/>
        </w:tabs>
        <w:numPr>
          <w:ilvl w:val="0"/>
          <w:numId w:val="44"/>
        </w:numPr>
        <w:rPr>
          <w:rFonts w:ascii="Arial" w:cs="Arial" w:eastAsia="Arial" w:hAnsi="Arial"/>
          <w:sz w:val="18"/>
          <w:szCs w:val="18"/>
          <w:b w:val="1"/>
          <w:bCs w:val="1"/>
          <w:color w:val="0000FF"/>
        </w:rPr>
      </w:pPr>
      <w:r>
        <w:rPr>
          <w:rFonts w:ascii="Arial" w:cs="Arial" w:eastAsia="Arial" w:hAnsi="Arial"/>
          <w:sz w:val="18"/>
          <w:szCs w:val="18"/>
          <w:b w:val="1"/>
          <w:bCs w:val="1"/>
          <w:u w:val="single" w:color="auto"/>
          <w:color w:val="0000FF"/>
        </w:rPr>
        <w:t>Any Permitted Real Estate Indebtedness;</w:t>
      </w:r>
    </w:p>
    <w:p>
      <w:pPr>
        <w:spacing w:after="0" w:line="225" w:lineRule="exact"/>
        <w:rPr>
          <w:rFonts w:ascii="Arial" w:cs="Arial" w:eastAsia="Arial" w:hAnsi="Arial"/>
          <w:sz w:val="18"/>
          <w:szCs w:val="18"/>
          <w:b w:val="1"/>
          <w:bCs w:val="1"/>
          <w:color w:val="0000FF"/>
        </w:rPr>
      </w:pPr>
    </w:p>
    <w:p>
      <w:pPr>
        <w:ind w:left="1540" w:hanging="896"/>
        <w:spacing w:after="0"/>
        <w:tabs>
          <w:tab w:leader="none" w:pos="1540" w:val="left"/>
        </w:tabs>
        <w:numPr>
          <w:ilvl w:val="0"/>
          <w:numId w:val="44"/>
        </w:numPr>
        <w:rPr>
          <w:rFonts w:ascii="Arial" w:cs="Arial" w:eastAsia="Arial" w:hAnsi="Arial"/>
          <w:sz w:val="16"/>
          <w:szCs w:val="16"/>
          <w:b w:val="1"/>
          <w:bCs w:val="1"/>
          <w:color w:val="0000FF"/>
        </w:rPr>
      </w:pPr>
      <w:r>
        <w:rPr>
          <w:rFonts w:ascii="Arial" w:cs="Arial" w:eastAsia="Arial" w:hAnsi="Arial"/>
          <w:sz w:val="16"/>
          <w:szCs w:val="16"/>
          <w:b w:val="1"/>
          <w:bCs w:val="1"/>
          <w:u w:val="single" w:color="auto"/>
          <w:color w:val="0000FF"/>
        </w:rPr>
        <w:t>To the extent constituting Indebtedness, any lease, or sublease, between any Loan Party and a Permitted Real Estate</w:t>
      </w:r>
    </w:p>
    <w:p>
      <w:pPr>
        <w:spacing w:after="0" w:line="50" w:lineRule="exact"/>
        <w:rPr>
          <w:rFonts w:ascii="Arial" w:cs="Arial" w:eastAsia="Arial" w:hAnsi="Arial"/>
          <w:sz w:val="16"/>
          <w:szCs w:val="16"/>
          <w:b w:val="1"/>
          <w:bCs w:val="1"/>
          <w:color w:val="0000FF"/>
        </w:rPr>
      </w:pPr>
    </w:p>
    <w:p>
      <w:pPr>
        <w:spacing w:after="0"/>
        <w:rPr>
          <w:rFonts w:ascii="Arial" w:cs="Arial" w:eastAsia="Arial" w:hAnsi="Arial"/>
          <w:sz w:val="16"/>
          <w:szCs w:val="16"/>
          <w:b w:val="1"/>
          <w:bCs w:val="1"/>
          <w:color w:val="0000FF"/>
        </w:rPr>
      </w:pPr>
      <w:r>
        <w:rPr>
          <w:rFonts w:ascii="Arial" w:cs="Arial" w:eastAsia="Arial" w:hAnsi="Arial"/>
          <w:sz w:val="18"/>
          <w:szCs w:val="18"/>
          <w:b w:val="1"/>
          <w:bCs w:val="1"/>
          <w:u w:val="single" w:color="auto"/>
          <w:color w:val="0000FF"/>
        </w:rPr>
        <w:t>Subsidiary; and</w:t>
      </w:r>
    </w:p>
    <w:p>
      <w:pPr>
        <w:spacing w:after="0" w:line="206" w:lineRule="exact"/>
        <w:rPr>
          <w:rFonts w:ascii="Arial" w:cs="Arial" w:eastAsia="Arial" w:hAnsi="Arial"/>
          <w:sz w:val="16"/>
          <w:szCs w:val="16"/>
          <w:b w:val="1"/>
          <w:bCs w:val="1"/>
          <w:color w:val="0000FF"/>
        </w:rPr>
      </w:pPr>
    </w:p>
    <w:p>
      <w:pPr>
        <w:ind w:left="1440" w:hanging="796"/>
        <w:spacing w:after="0"/>
        <w:tabs>
          <w:tab w:leader="none" w:pos="1440" w:val="left"/>
        </w:tabs>
        <w:numPr>
          <w:ilvl w:val="0"/>
          <w:numId w:val="44"/>
        </w:numPr>
        <w:rPr>
          <w:rFonts w:ascii="Arial" w:cs="Arial" w:eastAsia="Arial" w:hAnsi="Arial"/>
          <w:sz w:val="18"/>
          <w:szCs w:val="18"/>
          <w:b w:val="1"/>
          <w:bCs w:val="1"/>
          <w:color w:val="0000FF"/>
        </w:rPr>
      </w:pPr>
      <w:r>
        <w:rPr>
          <w:rFonts w:ascii="Arial" w:cs="Arial" w:eastAsia="Arial" w:hAnsi="Arial"/>
          <w:sz w:val="18"/>
          <w:szCs w:val="18"/>
          <w:b w:val="1"/>
          <w:bCs w:val="1"/>
          <w:u w:val="single" w:color="auto"/>
          <w:color w:val="0000FF"/>
        </w:rPr>
        <w:t>Other Indebtedness in an aggregate amount not to exceed $2,500,000 at any time outstanding</w:t>
      </w:r>
      <w:r>
        <w:rPr>
          <w:rFonts w:ascii="Arial" w:cs="Arial" w:eastAsia="Arial" w:hAnsi="Arial"/>
          <w:sz w:val="18"/>
          <w:szCs w:val="18"/>
          <w:color w:val="000000"/>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“Permitted Investments” means each of the following:</w:t>
      </w:r>
    </w:p>
    <w:p>
      <w:pPr>
        <w:spacing w:after="0" w:line="225" w:lineRule="exact"/>
        <w:rPr>
          <w:sz w:val="20"/>
          <w:szCs w:val="20"/>
          <w:color w:val="auto"/>
        </w:rPr>
      </w:pPr>
    </w:p>
    <w:p>
      <w:pPr>
        <w:jc w:val="both"/>
        <w:ind w:firstLine="644"/>
        <w:spacing w:after="0" w:line="263" w:lineRule="auto"/>
        <w:tabs>
          <w:tab w:leader="none" w:pos="16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or any agency or instrumentality thereof having maturities of not more than </w:t>
      </w:r>
      <w:r>
        <w:rPr>
          <w:rFonts w:ascii="Arial" w:cs="Arial" w:eastAsia="Arial" w:hAnsi="Arial"/>
          <w:sz w:val="18"/>
          <w:szCs w:val="18"/>
          <w:u w:val="single" w:color="auto"/>
          <w:color w:val="auto"/>
        </w:rPr>
        <w:t>[</w:t>
      </w:r>
      <w:r>
        <w:rPr>
          <w:rFonts w:ascii="Arial" w:cs="Arial" w:eastAsia="Arial" w:hAnsi="Arial"/>
          <w:sz w:val="18"/>
          <w:szCs w:val="18"/>
          <w:u w:val="single" w:color="auto"/>
          <w:color w:val="FF0000"/>
          <w:strike w:val="1"/>
        </w:rPr>
        <w:t>180</w:t>
      </w:r>
      <w:r>
        <w:rPr>
          <w:rFonts w:ascii="Arial" w:cs="Arial" w:eastAsia="Arial" w:hAnsi="Arial"/>
          <w:sz w:val="18"/>
          <w:szCs w:val="18"/>
          <w:color w:val="auto"/>
        </w:rPr>
        <w:t xml:space="preserve"> </w:t>
      </w:r>
      <w:r>
        <w:rPr>
          <w:rFonts w:ascii="Arial" w:cs="Arial" w:eastAsia="Arial" w:hAnsi="Arial"/>
          <w:sz w:val="18"/>
          <w:szCs w:val="18"/>
          <w:color w:val="FF0000"/>
          <w:strike w:val="1"/>
        </w:rPr>
        <w:t>days</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0000FF"/>
        </w:rPr>
        <w:t>2 years</w:t>
      </w:r>
      <w:r>
        <w:rPr>
          <w:rFonts w:ascii="Arial" w:cs="Arial" w:eastAsia="Arial" w:hAnsi="Arial"/>
          <w:sz w:val="18"/>
          <w:szCs w:val="18"/>
          <w:color w:val="auto"/>
        </w:rPr>
        <w:t xml:space="preserve">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is pledged in support thereof;</w:t>
      </w:r>
    </w:p>
    <w:p>
      <w:pPr>
        <w:spacing w:after="0" w:line="183" w:lineRule="exact"/>
        <w:rPr>
          <w:rFonts w:ascii="Arial" w:cs="Arial" w:eastAsia="Arial" w:hAnsi="Arial"/>
          <w:sz w:val="18"/>
          <w:szCs w:val="18"/>
          <w:color w:val="auto"/>
        </w:rPr>
      </w:pPr>
    </w:p>
    <w:p>
      <w:pPr>
        <w:jc w:val="both"/>
        <w:ind w:firstLine="644"/>
        <w:spacing w:after="0" w:line="286" w:lineRule="auto"/>
        <w:tabs>
          <w:tab w:leader="none" w:pos="1618"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Commercial paper issued by any Person organized under the laws of any state of the United States and at the time of the making of such Investment by the Borrower, is rated at least “Prime-1” (or the then equivalent grade) by Moody’s or at least “A-1” (or the then equivalent grade) by S&amp;P, in each case with maturities of not more than [</w:t>
      </w:r>
      <w:r>
        <w:rPr>
          <w:rFonts w:ascii="Arial" w:cs="Arial" w:eastAsia="Arial" w:hAnsi="Arial"/>
          <w:sz w:val="17"/>
          <w:szCs w:val="17"/>
          <w:color w:val="FF0000"/>
          <w:strike w:val="1"/>
        </w:rPr>
        <w:t>180 days</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2 years</w:t>
      </w:r>
      <w:r>
        <w:rPr>
          <w:rFonts w:ascii="Arial" w:cs="Arial" w:eastAsia="Arial" w:hAnsi="Arial"/>
          <w:sz w:val="17"/>
          <w:szCs w:val="17"/>
          <w:color w:val="auto"/>
        </w:rPr>
        <w:t xml:space="preserve"> from the date of acquisition thereof;</w:t>
      </w:r>
    </w:p>
    <w:p>
      <w:pPr>
        <w:spacing w:after="0" w:line="165" w:lineRule="exact"/>
        <w:rPr>
          <w:rFonts w:ascii="Arial" w:cs="Arial" w:eastAsia="Arial" w:hAnsi="Arial"/>
          <w:sz w:val="17"/>
          <w:szCs w:val="17"/>
          <w:color w:val="auto"/>
        </w:rPr>
      </w:pPr>
    </w:p>
    <w:p>
      <w:pPr>
        <w:jc w:val="both"/>
        <w:ind w:firstLine="644"/>
        <w:spacing w:after="0" w:line="255" w:lineRule="auto"/>
        <w:tabs>
          <w:tab w:leader="none" w:pos="16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Time deposits with, or insured certificates of deposit or bankers’ acceptances of, any commercial bank that (i) (A) is the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(b) of this definition and (iii) has combined capital and surplus of at least $1,000,000,000, in each case with maturities of not more than </w:t>
      </w:r>
      <w:r>
        <w:rPr>
          <w:rFonts w:ascii="Arial" w:cs="Arial" w:eastAsia="Arial" w:hAnsi="Arial"/>
          <w:sz w:val="18"/>
          <w:szCs w:val="18"/>
          <w:u w:val="single" w:color="auto"/>
          <w:color w:val="auto"/>
        </w:rPr>
        <w:t>[</w:t>
      </w:r>
      <w:r>
        <w:rPr>
          <w:rFonts w:ascii="Arial" w:cs="Arial" w:eastAsia="Arial" w:hAnsi="Arial"/>
          <w:sz w:val="18"/>
          <w:szCs w:val="18"/>
          <w:u w:val="single" w:color="auto"/>
          <w:color w:val="FF0000"/>
          <w:strike w:val="1"/>
        </w:rPr>
        <w:t>180</w:t>
      </w:r>
      <w:r>
        <w:rPr>
          <w:rFonts w:ascii="Arial" w:cs="Arial" w:eastAsia="Arial" w:hAnsi="Arial"/>
          <w:sz w:val="18"/>
          <w:szCs w:val="18"/>
          <w:color w:val="auto"/>
        </w:rPr>
        <w:t xml:space="preserve"> </w:t>
      </w:r>
      <w:r>
        <w:rPr>
          <w:rFonts w:ascii="Arial" w:cs="Arial" w:eastAsia="Arial" w:hAnsi="Arial"/>
          <w:sz w:val="18"/>
          <w:szCs w:val="18"/>
          <w:color w:val="FF0000"/>
          <w:strike w:val="1"/>
        </w:rPr>
        <w:t>days</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0000FF"/>
        </w:rPr>
        <w:t>two years</w:t>
      </w:r>
      <w:r>
        <w:rPr>
          <w:rFonts w:ascii="Arial" w:cs="Arial" w:eastAsia="Arial" w:hAnsi="Arial"/>
          <w:sz w:val="18"/>
          <w:szCs w:val="18"/>
          <w:color w:val="auto"/>
        </w:rPr>
        <w:t xml:space="preserve"> from the date of acquisition thereof;</w:t>
      </w:r>
    </w:p>
    <w:p>
      <w:pPr>
        <w:spacing w:after="0" w:line="192" w:lineRule="exact"/>
        <w:rPr>
          <w:rFonts w:ascii="Arial" w:cs="Arial" w:eastAsia="Arial" w:hAnsi="Arial"/>
          <w:sz w:val="18"/>
          <w:szCs w:val="18"/>
          <w:color w:val="auto"/>
        </w:rPr>
      </w:pPr>
    </w:p>
    <w:p>
      <w:pPr>
        <w:jc w:val="both"/>
        <w:ind w:firstLine="644"/>
        <w:spacing w:after="0" w:line="257" w:lineRule="auto"/>
        <w:tabs>
          <w:tab w:leader="none" w:pos="14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thirty (30) days for securities described in clause (a) above (without regard to the limitation on maturity contained in such clause) and entered into with a financial institution satisfying the criteria described in clause (c) above or with any primary dealer and having a market value at the time that such repurchase agreement is entered into of not less than one hundred percent (100%) of the repurchase obligation of such counterparty entity with whom such repurchase agreement has been entered into;</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42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2" w:name="page63"/>
    <w:bookmarkEnd w:id="62"/>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207"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4"/>
        <w:spacing w:after="0" w:line="263" w:lineRule="auto"/>
        <w:tabs>
          <w:tab w:leader="none" w:pos="16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Investments by the Borrower consistent with the Borrower’s investment policy[</w:t>
      </w:r>
      <w:r>
        <w:rPr>
          <w:rFonts w:ascii="Arial" w:cs="Arial" w:eastAsia="Arial" w:hAnsi="Arial"/>
          <w:sz w:val="18"/>
          <w:szCs w:val="18"/>
          <w:color w:val="FF0000"/>
          <w:strike w:val="1"/>
        </w:rPr>
        <w:t>, which investment policy is approved by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provided to</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Lender [</w:t>
      </w:r>
      <w:r>
        <w:rPr>
          <w:rFonts w:ascii="Arial" w:cs="Arial" w:eastAsia="Arial" w:hAnsi="Arial"/>
          <w:sz w:val="18"/>
          <w:szCs w:val="18"/>
          <w:color w:val="FF0000"/>
          <w:strike w:val="1"/>
        </w:rPr>
        <w:t>from time</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prior</w:t>
      </w:r>
      <w:r>
        <w:rPr>
          <w:rFonts w:ascii="Arial" w:cs="Arial" w:eastAsia="Arial" w:hAnsi="Arial"/>
          <w:sz w:val="18"/>
          <w:szCs w:val="18"/>
          <w:b w:val="1"/>
          <w:bCs w:val="1"/>
          <w:color w:val="0000FF"/>
        </w:rPr>
        <w:t xml:space="preserve"> </w:t>
      </w:r>
      <w:r>
        <w:rPr>
          <w:rFonts w:ascii="Arial" w:cs="Arial" w:eastAsia="Arial" w:hAnsi="Arial"/>
          <w:sz w:val="18"/>
          <w:szCs w:val="18"/>
          <w:color w:val="000000"/>
        </w:rPr>
        <w:t>to [</w:t>
      </w:r>
      <w:r>
        <w:rPr>
          <w:rFonts w:ascii="Arial" w:cs="Arial" w:eastAsia="Arial" w:hAnsi="Arial"/>
          <w:sz w:val="18"/>
          <w:szCs w:val="18"/>
          <w:color w:val="FF0000"/>
          <w:strike w:val="1"/>
        </w:rPr>
        <w:t>time, such approval not to be unreasonably withheld</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the Third Amendment Effective Date (as</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may be amended with the approval of the Borrower’s Board of Directors)</w:t>
      </w:r>
      <w:r>
        <w:rPr>
          <w:rFonts w:ascii="Arial" w:cs="Arial" w:eastAsia="Arial" w:hAnsi="Arial"/>
          <w:sz w:val="18"/>
          <w:szCs w:val="18"/>
          <w:color w:val="000000"/>
        </w:rPr>
        <w:t>;</w:t>
      </w:r>
    </w:p>
    <w:p>
      <w:pPr>
        <w:spacing w:after="0" w:line="179" w:lineRule="exact"/>
        <w:rPr>
          <w:rFonts w:ascii="Arial" w:cs="Arial" w:eastAsia="Arial" w:hAnsi="Arial"/>
          <w:sz w:val="18"/>
          <w:szCs w:val="18"/>
          <w:color w:val="auto"/>
        </w:rPr>
      </w:pPr>
    </w:p>
    <w:p>
      <w:pPr>
        <w:jc w:val="both"/>
        <w:ind w:firstLine="644"/>
        <w:spacing w:after="0" w:line="289" w:lineRule="auto"/>
        <w:tabs>
          <w:tab w:leader="none" w:pos="1781"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Investments existing on the [</w:t>
      </w:r>
      <w:r>
        <w:rPr>
          <w:rFonts w:ascii="Arial" w:cs="Arial" w:eastAsia="Arial" w:hAnsi="Arial"/>
          <w:sz w:val="17"/>
          <w:szCs w:val="17"/>
          <w:color w:val="FF0000"/>
          <w:strike w:val="1"/>
        </w:rPr>
        <w:t>Closing</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Third Amendment Effective</w:t>
      </w:r>
      <w:r>
        <w:rPr>
          <w:rFonts w:ascii="Arial" w:cs="Arial" w:eastAsia="Arial" w:hAnsi="Arial"/>
          <w:sz w:val="17"/>
          <w:szCs w:val="17"/>
          <w:color w:val="auto"/>
        </w:rPr>
        <w:t xml:space="preserve"> Date set forth on Schedule 7.02 to the Disclosure Schedule, but not any increase in the amount thereof or any other modification of the terms thereof if such </w:t>
      </w:r>
      <w:r>
        <w:rPr>
          <w:rFonts w:ascii="Arial" w:cs="Arial" w:eastAsia="Arial" w:hAnsi="Arial"/>
          <w:sz w:val="17"/>
          <w:szCs w:val="17"/>
          <w:b w:val="1"/>
          <w:bCs w:val="1"/>
          <w:u w:val="single" w:color="auto"/>
          <w:color w:val="0000FF"/>
        </w:rPr>
        <w:t>increase or</w:t>
      </w:r>
      <w:r>
        <w:rPr>
          <w:rFonts w:ascii="Arial" w:cs="Arial" w:eastAsia="Arial" w:hAnsi="Arial"/>
          <w:sz w:val="17"/>
          <w:szCs w:val="17"/>
          <w:color w:val="auto"/>
        </w:rPr>
        <w:t xml:space="preserve"> modified Investment would not otherwise be a Permitted Investment in accordance with the provisions of [</w:t>
      </w:r>
      <w:r>
        <w:rPr>
          <w:rFonts w:ascii="Arial" w:cs="Arial" w:eastAsia="Arial" w:hAnsi="Arial"/>
          <w:sz w:val="17"/>
          <w:szCs w:val="17"/>
          <w:color w:val="FF0000"/>
          <w:strike w:val="1"/>
        </w:rPr>
        <w:t>(a) through (m) of</w:t>
      </w:r>
      <w:r>
        <w:rPr>
          <w:rFonts w:ascii="Arial" w:cs="Arial" w:eastAsia="Arial" w:hAnsi="Arial"/>
          <w:sz w:val="17"/>
          <w:szCs w:val="17"/>
          <w:color w:val="auto"/>
        </w:rPr>
        <w:t xml:space="preserve"> ]this definition;</w:t>
      </w:r>
    </w:p>
    <w:p>
      <w:pPr>
        <w:spacing w:after="0" w:line="157" w:lineRule="exact"/>
        <w:rPr>
          <w:rFonts w:ascii="Arial" w:cs="Arial" w:eastAsia="Arial" w:hAnsi="Arial"/>
          <w:sz w:val="17"/>
          <w:szCs w:val="17"/>
          <w:color w:val="auto"/>
        </w:rPr>
      </w:pPr>
    </w:p>
    <w:p>
      <w:pPr>
        <w:jc w:val="both"/>
        <w:ind w:firstLine="644"/>
        <w:spacing w:after="0" w:line="289" w:lineRule="auto"/>
        <w:tabs>
          <w:tab w:leader="none" w:pos="1631"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Investments by any Loan Party and its Subsidiaries in their respective Subsidiaries outstanding on the [</w:t>
      </w:r>
      <w:r>
        <w:rPr>
          <w:rFonts w:ascii="Arial" w:cs="Arial" w:eastAsia="Arial" w:hAnsi="Arial"/>
          <w:sz w:val="16"/>
          <w:szCs w:val="16"/>
          <w:color w:val="FF0000"/>
          <w:strike w:val="1"/>
        </w:rPr>
        <w:t>Closing</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Third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Amendment Effective</w:t>
      </w:r>
      <w:r>
        <w:rPr>
          <w:rFonts w:ascii="Arial" w:cs="Arial" w:eastAsia="Arial" w:hAnsi="Arial"/>
          <w:sz w:val="16"/>
          <w:szCs w:val="16"/>
          <w:b w:val="1"/>
          <w:bCs w:val="1"/>
          <w:color w:val="0000FF"/>
        </w:rPr>
        <w:t xml:space="preserve"> </w:t>
      </w:r>
      <w:r>
        <w:rPr>
          <w:rFonts w:ascii="Arial" w:cs="Arial" w:eastAsia="Arial" w:hAnsi="Arial"/>
          <w:sz w:val="16"/>
          <w:szCs w:val="16"/>
          <w:color w:val="000000"/>
        </w:rPr>
        <w:t>Date, (ii) additional Investments by any Loan Party and its Subsidiaries in Loan Parties, [</w:t>
      </w:r>
      <w:r>
        <w:rPr>
          <w:rFonts w:ascii="Arial" w:cs="Arial" w:eastAsia="Arial" w:hAnsi="Arial"/>
          <w:sz w:val="16"/>
          <w:szCs w:val="16"/>
          <w:color w:val="FF0000"/>
          <w:strike w:val="1"/>
        </w:rPr>
        <w:t>and</w:t>
      </w:r>
      <w:r>
        <w:rPr>
          <w:rFonts w:ascii="Arial" w:cs="Arial" w:eastAsia="Arial" w:hAnsi="Arial"/>
          <w:sz w:val="16"/>
          <w:szCs w:val="16"/>
          <w:b w:val="1"/>
          <w:bCs w:val="1"/>
          <w:color w:val="0000FF"/>
        </w:rPr>
        <w:t xml:space="preserve"> </w:t>
      </w:r>
      <w:r>
        <w:rPr>
          <w:rFonts w:ascii="Arial" w:cs="Arial" w:eastAsia="Arial" w:hAnsi="Arial"/>
          <w:sz w:val="16"/>
          <w:szCs w:val="16"/>
          <w:color w:val="000000"/>
        </w:rPr>
        <w:t>](iii) additional Investments</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by Subsidiaries of the Loan Parties that are not Loan Parties in other Subsidiaries that are not Loan Parties </w:t>
      </w:r>
      <w:r>
        <w:rPr>
          <w:rFonts w:ascii="Arial" w:cs="Arial" w:eastAsia="Arial" w:hAnsi="Arial"/>
          <w:sz w:val="16"/>
          <w:szCs w:val="16"/>
          <w:b w:val="1"/>
          <w:bCs w:val="1"/>
          <w:u w:val="single" w:color="auto"/>
          <w:color w:val="0000FF"/>
        </w:rPr>
        <w:t>and (iv) additional Investments in</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u w:val="single" w:color="auto"/>
          <w:color w:val="0000FF"/>
        </w:rPr>
        <w:t>Unrestricted Subsidiaries in an aggregate amount equal to the greater of (x) $2,500,000 and (y) so long as the Unrestricted Cash Payment Conditions are satisfied after giving effect to such Investment, the amount of Unrestricted Cash of the Loan Parties in excess of $10,000,000;</w:t>
      </w:r>
    </w:p>
    <w:p>
      <w:pPr>
        <w:spacing w:after="0" w:line="185" w:lineRule="exact"/>
        <w:rPr>
          <w:rFonts w:ascii="Arial" w:cs="Arial" w:eastAsia="Arial" w:hAnsi="Arial"/>
          <w:sz w:val="16"/>
          <w:szCs w:val="16"/>
          <w:color w:val="auto"/>
        </w:rPr>
      </w:pPr>
    </w:p>
    <w:p>
      <w:pPr>
        <w:jc w:val="both"/>
        <w:ind w:firstLine="644"/>
        <w:spacing w:after="0" w:line="266" w:lineRule="auto"/>
        <w:tabs>
          <w:tab w:leader="none" w:pos="1507" w:val="left"/>
        </w:tabs>
        <w:numPr>
          <w:ilvl w:val="0"/>
          <w:numId w:val="46"/>
        </w:numPr>
        <w:rPr>
          <w:rFonts w:ascii="Arial" w:cs="Arial" w:eastAsia="Arial" w:hAnsi="Arial"/>
          <w:sz w:val="18"/>
          <w:szCs w:val="18"/>
          <w:b w:val="1"/>
          <w:bCs w:val="1"/>
          <w:color w:val="0000FF"/>
        </w:rPr>
      </w:pPr>
      <w:r>
        <w:rPr>
          <w:rFonts w:ascii="Arial" w:cs="Arial" w:eastAsia="Arial" w:hAnsi="Arial"/>
          <w:sz w:val="18"/>
          <w:szCs w:val="18"/>
          <w:b w:val="1"/>
          <w:bCs w:val="1"/>
          <w:u w:val="single" w:color="auto"/>
          <w:color w:val="0000FF"/>
        </w:rPr>
        <w:t>Additional Investments in joint ventures in an aggregate amount equal to the greater of (x) $2,500,000 and (y) so long as the Unrestricted Cash Payment Conditions are satisfied after giving effect to such Investment, the amount of Unrestricted Cash of the Loan Parties in excess of $10,000,000;</w:t>
      </w:r>
    </w:p>
    <w:p>
      <w:pPr>
        <w:spacing w:after="0" w:line="175" w:lineRule="exact"/>
        <w:rPr>
          <w:rFonts w:ascii="Arial" w:cs="Arial" w:eastAsia="Arial" w:hAnsi="Arial"/>
          <w:sz w:val="18"/>
          <w:szCs w:val="18"/>
          <w:b w:val="1"/>
          <w:bCs w:val="1"/>
          <w:color w:val="0000FF"/>
        </w:rPr>
      </w:pPr>
    </w:p>
    <w:p>
      <w:pPr>
        <w:ind w:firstLine="644"/>
        <w:spacing w:after="0" w:line="312" w:lineRule="auto"/>
        <w:tabs>
          <w:tab w:leader="none" w:pos="1636" w:val="left"/>
        </w:tabs>
        <w:numPr>
          <w:ilvl w:val="0"/>
          <w:numId w:val="46"/>
        </w:numPr>
        <w:rPr>
          <w:rFonts w:ascii="Arial" w:cs="Arial" w:eastAsia="Arial" w:hAnsi="Arial"/>
          <w:sz w:val="17"/>
          <w:szCs w:val="17"/>
          <w:b w:val="1"/>
          <w:bCs w:val="1"/>
          <w:color w:val="0000FF"/>
        </w:rPr>
      </w:pPr>
      <w:r>
        <w:rPr>
          <w:rFonts w:ascii="Arial" w:cs="Arial" w:eastAsia="Arial" w:hAnsi="Arial"/>
          <w:sz w:val="17"/>
          <w:szCs w:val="17"/>
          <w:b w:val="1"/>
          <w:bCs w:val="1"/>
          <w:u w:val="single" w:color="auto"/>
          <w:color w:val="0000FF"/>
        </w:rPr>
        <w:t>Investments in the form of a contribution of Real Estate to a Permitted Real Estate Subsidiary in connection with Permitted Real Estate Indebtedness so long as Payment Conditions are satisfied after giving effect to such Investment</w:t>
      </w:r>
      <w:r>
        <w:rPr>
          <w:rFonts w:ascii="Arial" w:cs="Arial" w:eastAsia="Arial" w:hAnsi="Arial"/>
          <w:sz w:val="17"/>
          <w:szCs w:val="17"/>
          <w:color w:val="000000"/>
        </w:rPr>
        <w:t>;</w:t>
      </w:r>
    </w:p>
    <w:p>
      <w:pPr>
        <w:spacing w:after="0" w:line="143" w:lineRule="exact"/>
        <w:rPr>
          <w:rFonts w:ascii="Arial" w:cs="Arial" w:eastAsia="Arial" w:hAnsi="Arial"/>
          <w:sz w:val="17"/>
          <w:szCs w:val="17"/>
          <w:b w:val="1"/>
          <w:bCs w:val="1"/>
          <w:color w:val="0000FF"/>
        </w:rPr>
      </w:pPr>
    </w:p>
    <w:p>
      <w:pPr>
        <w:jc w:val="both"/>
        <w:ind w:right="20" w:firstLine="644"/>
        <w:spacing w:after="0" w:line="263" w:lineRule="auto"/>
        <w:tabs>
          <w:tab w:leader="none" w:pos="14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3" w:lineRule="exact"/>
        <w:rPr>
          <w:rFonts w:ascii="Arial" w:cs="Arial" w:eastAsia="Arial" w:hAnsi="Arial"/>
          <w:sz w:val="18"/>
          <w:szCs w:val="18"/>
          <w:color w:val="auto"/>
        </w:rPr>
      </w:pPr>
    </w:p>
    <w:p>
      <w:pPr>
        <w:ind w:left="1440" w:hanging="796"/>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Guarantees constituting Permitted Indebtedness;</w:t>
      </w:r>
    </w:p>
    <w:p>
      <w:pPr>
        <w:spacing w:after="0" w:line="225" w:lineRule="exact"/>
        <w:rPr>
          <w:rFonts w:ascii="Arial" w:cs="Arial" w:eastAsia="Arial" w:hAnsi="Arial"/>
          <w:sz w:val="18"/>
          <w:szCs w:val="18"/>
          <w:color w:val="auto"/>
        </w:rPr>
      </w:pPr>
    </w:p>
    <w:p>
      <w:pPr>
        <w:ind w:firstLine="644"/>
        <w:spacing w:after="0" w:line="277" w:lineRule="auto"/>
        <w:tabs>
          <w:tab w:leader="none" w:pos="14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FF0000"/>
          <w:strike w:val="1"/>
        </w:rPr>
        <w:t>So long as no Default or Event of Default has occurred and is continuing or would result from such Investment,</w:t>
      </w:r>
      <w:r>
        <w:rPr>
          <w:rFonts w:ascii="Arial" w:cs="Arial" w:eastAsia="Arial" w:hAnsi="Arial"/>
          <w:sz w:val="18"/>
          <w:szCs w:val="18"/>
          <w:color w:val="auto"/>
        </w:rPr>
        <w:t xml:space="preserve"> ]Investments by any Loan Party in Swap Contracts </w:t>
      </w:r>
      <w:r>
        <w:rPr>
          <w:rFonts w:ascii="Arial" w:cs="Arial" w:eastAsia="Arial" w:hAnsi="Arial"/>
          <w:sz w:val="18"/>
          <w:szCs w:val="18"/>
          <w:b w:val="1"/>
          <w:bCs w:val="1"/>
          <w:u w:val="single" w:color="auto"/>
          <w:color w:val="0000FF"/>
        </w:rPr>
        <w:t>otherwise</w:t>
      </w:r>
      <w:r>
        <w:rPr>
          <w:rFonts w:ascii="Arial" w:cs="Arial" w:eastAsia="Arial" w:hAnsi="Arial"/>
          <w:sz w:val="18"/>
          <w:szCs w:val="18"/>
          <w:color w:val="auto"/>
        </w:rPr>
        <w:t xml:space="preserve"> permitted hereunder;</w:t>
      </w:r>
    </w:p>
    <w:p>
      <w:pPr>
        <w:spacing w:after="0" w:line="166" w:lineRule="exact"/>
        <w:rPr>
          <w:rFonts w:ascii="Arial" w:cs="Arial" w:eastAsia="Arial" w:hAnsi="Arial"/>
          <w:sz w:val="18"/>
          <w:szCs w:val="18"/>
          <w:color w:val="auto"/>
        </w:rPr>
      </w:pPr>
    </w:p>
    <w:p>
      <w:pPr>
        <w:ind w:left="1460" w:hanging="816"/>
        <w:spacing w:after="0"/>
        <w:tabs>
          <w:tab w:leader="none" w:pos="1460" w:val="left"/>
        </w:tabs>
        <w:numPr>
          <w:ilvl w:val="0"/>
          <w:numId w:val="46"/>
        </w:numPr>
        <w:rPr>
          <w:rFonts w:ascii="Arial" w:cs="Arial" w:eastAsia="Arial" w:hAnsi="Arial"/>
          <w:sz w:val="18"/>
          <w:szCs w:val="18"/>
          <w:b w:val="1"/>
          <w:bCs w:val="1"/>
          <w:color w:val="0000FF"/>
        </w:rPr>
      </w:pPr>
      <w:r>
        <w:rPr>
          <w:rFonts w:ascii="Arial" w:cs="Arial" w:eastAsia="Arial" w:hAnsi="Arial"/>
          <w:sz w:val="18"/>
          <w:szCs w:val="18"/>
          <w:b w:val="1"/>
          <w:bCs w:val="1"/>
          <w:u w:val="single" w:color="auto"/>
          <w:color w:val="0000FF"/>
        </w:rPr>
        <w:t>Any Investment in securities or other assets received in connection with a Permitted Disposition;</w:t>
      </w:r>
    </w:p>
    <w:p>
      <w:pPr>
        <w:spacing w:after="0" w:line="22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43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20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29" w:lineRule="exact"/>
        <w:rPr>
          <w:sz w:val="20"/>
          <w:szCs w:val="20"/>
          <w:color w:val="auto"/>
        </w:rPr>
      </w:pPr>
    </w:p>
    <w:p>
      <w:pPr>
        <w:ind w:left="660" w:right="20" w:firstLine="644"/>
        <w:spacing w:after="0" w:line="277" w:lineRule="auto"/>
        <w:tabs>
          <w:tab w:leader="none" w:pos="24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Investments received in connection with the bankruptcy or reorganization of, or settlement of delinquent accounts and disputes with suppliers, in each case in the ordinary course of business;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28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Advances to officers, directors and employees of the Loan Parties and Subsidiaries in the ordinary course of business in an amount not to exceed $[</w:t>
      </w:r>
      <w:r>
        <w:rPr>
          <w:rFonts w:ascii="Arial" w:cs="Arial" w:eastAsia="Arial" w:hAnsi="Arial"/>
          <w:sz w:val="18"/>
          <w:szCs w:val="18"/>
          <w:color w:val="FF0000"/>
          <w:strike w:val="1"/>
        </w:rPr>
        <w:t>100,000</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200,000</w:t>
      </w:r>
      <w:r>
        <w:rPr>
          <w:rFonts w:ascii="Arial" w:cs="Arial" w:eastAsia="Arial" w:hAnsi="Arial"/>
          <w:sz w:val="18"/>
          <w:szCs w:val="18"/>
          <w:color w:val="auto"/>
        </w:rPr>
        <w:t xml:space="preserve"> to any individual at any time or in an aggregate amount not to exceed $[</w:t>
      </w:r>
      <w:r>
        <w:rPr>
          <w:rFonts w:ascii="Arial" w:cs="Arial" w:eastAsia="Arial" w:hAnsi="Arial"/>
          <w:sz w:val="18"/>
          <w:szCs w:val="18"/>
          <w:color w:val="FF0000"/>
          <w:strike w:val="1"/>
        </w:rPr>
        <w:t>300,000</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600,000</w:t>
      </w:r>
      <w:r>
        <w:rPr>
          <w:rFonts w:ascii="Arial" w:cs="Arial" w:eastAsia="Arial" w:hAnsi="Arial"/>
          <w:sz w:val="18"/>
          <w:szCs w:val="18"/>
          <w:color w:val="auto"/>
        </w:rPr>
        <w:t xml:space="preserve"> at any time outstanding, for travel, entertainment, relocation and analogous ordinary business purposes; [</w:t>
      </w:r>
      <w:r>
        <w:rPr>
          <w:rFonts w:ascii="Arial" w:cs="Arial" w:eastAsia="Arial" w:hAnsi="Arial"/>
          <w:sz w:val="18"/>
          <w:szCs w:val="18"/>
          <w:color w:val="FF0000"/>
          <w:strike w:val="1"/>
        </w:rPr>
        <w:t>and</w:t>
      </w:r>
      <w:r>
        <w:rPr>
          <w:rFonts w:ascii="Arial" w:cs="Arial" w:eastAsia="Arial" w:hAnsi="Arial"/>
          <w:sz w:val="18"/>
          <w:szCs w:val="18"/>
          <w:color w:val="auto"/>
        </w:rPr>
        <w:t xml:space="preserve"> ]</w:t>
      </w:r>
    </w:p>
    <w:p>
      <w:pPr>
        <w:spacing w:after="0" w:line="183" w:lineRule="exact"/>
        <w:rPr>
          <w:rFonts w:ascii="Arial" w:cs="Arial" w:eastAsia="Arial" w:hAnsi="Arial"/>
          <w:sz w:val="18"/>
          <w:szCs w:val="18"/>
          <w:color w:val="auto"/>
        </w:rPr>
      </w:pPr>
    </w:p>
    <w:p>
      <w:pPr>
        <w:jc w:val="both"/>
        <w:ind w:left="660" w:firstLine="644"/>
        <w:spacing w:after="0" w:line="293" w:lineRule="auto"/>
        <w:tabs>
          <w:tab w:leader="none" w:pos="2219"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Investments constituting Permitted Acquisitions;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Investments shall be pledged to the Lender as additional collateral for the Obligations pursuant to such agreements as may be reasonably required by the Lender, and (ii) notwithstanding the foregoing, after the occurrence and during the continuance of a Cash Dominion Event, Borrower shall not be permitted to enter into Investments of the types specified in clauses (a) through (e) unless either (A) no Loans or, if then required to be Cash Collateralized, Letters of Credit are then outstanding, or (B) the Investment is a temporary Investment pending expiration of an Interest Period for a Eurodollar Rate Loan, the proceeds of which Investment will be applied to the Obligations after the expiration of such Interest Period.</w:t>
      </w:r>
    </w:p>
    <w:p>
      <w:pPr>
        <w:spacing w:after="0" w:line="160" w:lineRule="exact"/>
        <w:rPr>
          <w:rFonts w:ascii="Arial" w:cs="Arial" w:eastAsia="Arial" w:hAnsi="Arial"/>
          <w:sz w:val="16"/>
          <w:szCs w:val="16"/>
          <w:color w:val="auto"/>
        </w:rPr>
      </w:pPr>
    </w:p>
    <w:p>
      <w:pPr>
        <w:ind w:left="660" w:firstLine="644"/>
        <w:spacing w:after="0" w:line="282" w:lineRule="auto"/>
        <w:tabs>
          <w:tab w:leader="none" w:pos="2238" w:val="left"/>
        </w:tabs>
        <w:numPr>
          <w:ilvl w:val="0"/>
          <w:numId w:val="47"/>
        </w:numPr>
        <w:rPr>
          <w:rFonts w:ascii="Arial" w:cs="Arial" w:eastAsia="Arial" w:hAnsi="Arial"/>
          <w:sz w:val="18"/>
          <w:szCs w:val="18"/>
          <w:b w:val="1"/>
          <w:bCs w:val="1"/>
          <w:color w:val="0000FF"/>
        </w:rPr>
      </w:pPr>
      <w:r>
        <w:rPr>
          <w:rFonts w:ascii="Arial" w:cs="Arial" w:eastAsia="Arial" w:hAnsi="Arial"/>
          <w:sz w:val="18"/>
          <w:szCs w:val="18"/>
          <w:b w:val="1"/>
          <w:bCs w:val="1"/>
          <w:u w:val="single" w:color="auto"/>
          <w:color w:val="0000FF"/>
        </w:rPr>
        <w:t>Additional Investments so long as the Payment Conditions are satisfied on a pro forma basis at the time the relevant Investment is consummated.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anything to the contrary contained in the foregoing, to the extent any Permitted Investment includes Intellectual Property material and necessary for the operation of the assets of the Loan Parties and their Subsidiaries, taken as a whole, which constitutes Collateral, such Intellectual Property shall be subject to a royalty-free, non-exclusive license in favor of the Lender for the purpose of the Lender’s exercise of rights and remedies under the Loan Documents in connection with the Collateral.</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u w:val="single" w:color="auto"/>
          <w:color w:val="0000FF"/>
        </w:rPr>
        <w:t xml:space="preserve">“Permitted Real Estate Indebtedness” means Indebtedness incurred by any Loan Party or any Permitted Real Estate Subsidiary including </w:t>
      </w:r>
      <w:r>
        <w:rPr>
          <w:rFonts w:ascii="Arial" w:cs="Arial" w:eastAsia="Arial" w:hAnsi="Arial"/>
          <w:sz w:val="16"/>
          <w:szCs w:val="16"/>
          <w:u w:val="single" w:color="auto"/>
          <w:color w:val="00C000"/>
        </w:rPr>
        <w:t>any Indebtedness incurred in connection with sale-leaseback transactions permitted hereunder and any Synthetic Lease Obligations</w:t>
      </w:r>
      <w:r>
        <w:rPr>
          <w:rFonts w:ascii="Arial" w:cs="Arial" w:eastAsia="Arial" w:hAnsi="Arial"/>
          <w:sz w:val="16"/>
          <w:szCs w:val="16"/>
          <w:b w:val="1"/>
          <w:bCs w:val="1"/>
          <w:u w:val="single" w:color="auto"/>
          <w:color w:val="0000FF"/>
        </w:rPr>
        <w:t xml:space="preserve">; provided that (a) such Indebtedness may only be secured primarily by (i) Real Estate (including fixtures thereon) being financed by such Indebtedness (for the avoidance of doubt such Indebtedness may not be secured by Collateral included in the Borrowing Base), (ii) deposit accounts solely containing proceeds (x) of such Indebtedness, (y) from the Disposition of such Real Estate or (z) from casualty or condemnation event with respect to such Real Estate, (iii) to the extent such Indebtedness is incurred by a Permitted Real Estate Subsidiary, the Equity Interests of such Permitted Real Estate Subsidiary, and (iv) to the extent such Indebtedness is incurred by a Permitted Real Estate Subsidiary, any other assets of such Permitted Real Estate Subsidiary permitted to be owned by such Permitted Real Estate Subsidiary pursuant to the definition thereof, in the case of each of clauses (i), (ii), (iii) and (iv), together with any proceeds thereof and (b) to the extent a Loan Party is a lessee or sublessee of such Real Estate owned or leased by a Permitted Real Estate Subsidiary, (i) any </w:t>
      </w:r>
      <w:r>
        <w:rPr>
          <w:rFonts w:ascii="Arial" w:cs="Arial" w:eastAsia="Arial" w:hAnsi="Arial"/>
          <w:sz w:val="16"/>
          <w:szCs w:val="16"/>
          <w:u w:val="single" w:color="auto"/>
          <w:color w:val="0000FF"/>
        </w:rPr>
        <w:t>lease arrangements entered into among any Loan Party and such Permitted Real</w:t>
      </w:r>
      <w:r>
        <w:rPr>
          <w:rFonts w:ascii="Arial" w:cs="Arial" w:eastAsia="Arial" w:hAnsi="Arial"/>
          <w:sz w:val="16"/>
          <w:szCs w:val="16"/>
          <w:b w:val="1"/>
          <w:bCs w:val="1"/>
          <w:u w:val="single" w:color="auto"/>
          <w:color w:val="0000FF"/>
        </w:rPr>
        <w:t xml:space="preserve"> </w:t>
      </w:r>
      <w:r>
        <w:rPr>
          <w:rFonts w:ascii="Arial" w:cs="Arial" w:eastAsia="Arial" w:hAnsi="Arial"/>
          <w:sz w:val="16"/>
          <w:szCs w:val="16"/>
          <w:u w:val="single" w:color="auto"/>
          <w:color w:val="0000FF"/>
        </w:rPr>
        <w:t xml:space="preserve">Estate Subsidiary shall be reasonably satisfactory to the Lender and (ii) the holders or agent with respect to such Indebtedness shall have executed and delivered </w:t>
      </w:r>
      <w:r>
        <w:rPr>
          <w:rFonts w:ascii="Arial" w:cs="Arial" w:eastAsia="Arial" w:hAnsi="Arial"/>
          <w:sz w:val="16"/>
          <w:szCs w:val="16"/>
          <w:u w:val="single" w:color="auto"/>
          <w:color w:val="00C000"/>
        </w:rPr>
        <w:t>a Collateral Access Agreement</w:t>
      </w:r>
      <w:r>
        <w:rPr>
          <w:rFonts w:ascii="Arial" w:cs="Arial" w:eastAsia="Arial" w:hAnsi="Arial"/>
          <w:sz w:val="16"/>
          <w:szCs w:val="16"/>
          <w:u w:val="single" w:color="auto"/>
          <w:color w:val="0000FF"/>
        </w:rPr>
        <w:t xml:space="preserve"> </w:t>
      </w:r>
      <w:r>
        <w:rPr>
          <w:rFonts w:ascii="Arial" w:cs="Arial" w:eastAsia="Arial" w:hAnsi="Arial"/>
          <w:sz w:val="16"/>
          <w:szCs w:val="16"/>
          <w:b w:val="1"/>
          <w:bCs w:val="1"/>
          <w:u w:val="single" w:color="auto"/>
          <w:color w:val="0000FF"/>
        </w:rPr>
        <w:t>with respect to such Real Estate securing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-1415415</wp:posOffset>
            </wp:positionV>
            <wp:extent cx="368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44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20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u w:val="single" w:color="auto"/>
          <w:color w:val="0000FF"/>
        </w:rPr>
        <w:t>“Permitted Real Estate Subsidiary” means, collectively, any Subsidiary formed for the primary purpose of incurring Permitted Real Estate Indebtedness and any Subsidiary of such Subsidiary; provided that if any such Subsidiary (or Subsidiary of such Subsidiary) is a Restricted Subsidiary, it shall not have any material assets other than (i) the Real Estate (including fixtures thereon) being financed by such Permitted Real Estate Indebtedness, (ii) deposit accounts and securities accounts containing proceeds of such Permitted Real Estate Indebtedness, proceeds from the Disposition or a casualty or condemnation event with respect to such Real Estate (and fixtures thereon), and proceeds of the operations of such Subsidiary, together with any proceeds thereof or, (iii) leases or sub-leases of such Real Estate (and fixtures thereon) and (iv) other assets related to the ownership (whether such interest is in fee or leasehold), occupancy, tenancy or operation of such Real Estate (or fixtures thereon) or any business substantially related or incidental thereto.</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“Permitted Refinancing” means, with respect to any Person, any Indebtedness issued in exchange for, or the net proceeds of which are used to extend, refinance, renew, replace, defease or refund (collectively, to “</w:t>
      </w:r>
      <w:r>
        <w:rPr>
          <w:rFonts w:ascii="Arial" w:cs="Arial" w:eastAsia="Arial" w:hAnsi="Arial"/>
          <w:sz w:val="17"/>
          <w:szCs w:val="17"/>
          <w:u w:val="single" w:color="auto"/>
          <w:color w:val="auto"/>
        </w:rPr>
        <w:t>Refinance</w:t>
      </w:r>
      <w:r>
        <w:rPr>
          <w:rFonts w:ascii="Arial" w:cs="Arial" w:eastAsia="Arial" w:hAnsi="Arial"/>
          <w:sz w:val="17"/>
          <w:szCs w:val="17"/>
          <w:color w:val="auto"/>
        </w:rPr>
        <w:t xml:space="preserve">”), the Indebtedness being Refinanced (or previous refinancings thereof constituting a Permitted Refinancing);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principal amount (or accreted value, if applicable) of such Permitted Refinancing does not exceed the principal amount (or accreted value, if applicable) of the Indebtedness so Refinanced (plus unpaid accrued interest and premiums thereon and underwriting discounts, defeasance costs, fees, commissions and expenses), (b) the weighted average life to maturity of such Permitted Refinancing is greater than or equal to the weighted average life to maturity of the Indebtedness being Refinanced, (c) such Permitted Refinancing shall not require any scheduled principal payments due prior to the Maturity Date in excess of, or prior to, the scheduled principal payments due prior to such Maturity Date for the Indebtedness being Refinanced, (d) if the Indebtedness being Refinanced is subordinated in right of payment to the Obligations under this Agreement, such Permitted Refinancing shall be subordinated in right of payment to such Obligations on terms at least as favorable to the Credit Parties as those contained in the documentation governing the Indebtedness being Refinanced (e) no Permitted Refinancing shall have direct or indirect obligors who were not also obligors of the Indebtedness being Refinanced, or greater guarantees or security, than the Indebtedness being Refinanced, (f) such Permitted Refinancing shall be otherwise on terms not materially less favorable to the Credit Parties than those contained in the documentation governing the Indebtedness being Refinanced, including, without limitation, with respect to financial and other covenants and events of default, (g) the interest rate applicable to any such Permitted Refinancing shall not exceed the then applicable market interest rate, and (h) at the time thereof, no Default or Event of Default shall have occurred and be continuing.</w:t>
      </w:r>
    </w:p>
    <w:p>
      <w:pPr>
        <w:spacing w:after="0" w:line="18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“Permitted Store Acquisition” means an Acquisition of, or opening by the Borrower of, up to ten (10) Store locations in any transaction or group</w:t>
      </w:r>
      <w:r>
        <w:rPr>
          <w:rFonts w:ascii="Arial" w:cs="Arial" w:eastAsia="Arial" w:hAnsi="Arial"/>
          <w:sz w:val="16"/>
          <w:szCs w:val="16"/>
          <w:color w:val="auto"/>
        </w:rPr>
        <w:t xml:space="preserve"> </w:t>
      </w:r>
      <w:r>
        <w:rPr>
          <w:rFonts w:ascii="Arial" w:cs="Arial" w:eastAsia="Arial" w:hAnsi="Arial"/>
          <w:sz w:val="16"/>
          <w:szCs w:val="16"/>
          <w:color w:val="FF0000"/>
          <w:strike w:val="1"/>
        </w:rPr>
        <w:t>of related transactions (</w:t>
      </w:r>
      <w:r>
        <w:rPr>
          <w:rFonts w:ascii="Arial" w:cs="Arial" w:eastAsia="Arial" w:hAnsi="Arial"/>
          <w:sz w:val="16"/>
          <w:szCs w:val="16"/>
          <w:color w:val="000000"/>
        </w:rPr>
        <w:t>]</w:t>
      </w:r>
      <w:r>
        <w:rPr>
          <w:rFonts w:ascii="Arial" w:cs="Arial" w:eastAsia="Arial" w:hAnsi="Arial"/>
          <w:sz w:val="16"/>
          <w:szCs w:val="16"/>
          <w:color w:val="00C000"/>
          <w:strike w:val="1"/>
        </w:rPr>
        <w:t>including, but not limited to,</w:t>
      </w:r>
      <w:r>
        <w:rPr>
          <w:rFonts w:ascii="Arial" w:cs="Arial" w:eastAsia="Arial" w:hAnsi="Arial"/>
          <w:sz w:val="16"/>
          <w:szCs w:val="16"/>
          <w:color w:val="FF0000"/>
        </w:rPr>
        <w:t xml:space="preserve"> </w:t>
      </w:r>
      <w:r>
        <w:rPr>
          <w:rFonts w:ascii="Arial" w:cs="Arial" w:eastAsia="Arial" w:hAnsi="Arial"/>
          <w:sz w:val="16"/>
          <w:szCs w:val="16"/>
          <w:color w:val="000000"/>
        </w:rPr>
        <w:t>[</w:t>
      </w:r>
      <w:r>
        <w:rPr>
          <w:rFonts w:ascii="Arial" w:cs="Arial" w:eastAsia="Arial" w:hAnsi="Arial"/>
          <w:sz w:val="16"/>
          <w:szCs w:val="16"/>
          <w:color w:val="FF0000"/>
          <w:strike w:val="1"/>
        </w:rPr>
        <w:t>by means of a lease or sublease of property from any Person), in the ordinary course of business.</w:t>
      </w:r>
      <w:r>
        <w:rPr>
          <w:rFonts w:ascii="Arial" w:cs="Arial" w:eastAsia="Arial" w:hAnsi="Arial"/>
          <w:sz w:val="16"/>
          <w:szCs w:val="16"/>
          <w:color w:val="000000"/>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45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20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“Permitted Store Closings” means (a) Store closures and related Inventory dispositions which do not exceed (i) in any Fiscal Year of the</w:t>
      </w:r>
      <w:r>
        <w:rPr>
          <w:rFonts w:ascii="Arial" w:cs="Arial" w:eastAsia="Arial" w:hAnsi="Arial"/>
          <w:sz w:val="18"/>
          <w:szCs w:val="18"/>
          <w:color w:val="auto"/>
        </w:rPr>
        <w:t xml:space="preserve"> </w:t>
      </w:r>
      <w:r>
        <w:rPr>
          <w:rFonts w:ascii="Arial" w:cs="Arial" w:eastAsia="Arial" w:hAnsi="Arial"/>
          <w:sz w:val="18"/>
          <w:szCs w:val="18"/>
          <w:color w:val="FF0000"/>
          <w:strike w:val="1"/>
        </w:rPr>
        <w:t>Borrower and its Subsidiaries, ten percent (10%) of the number of the Borrower’s Stores as of the beginning of such Fiscal Year (net of new Store openings) and (ii) in the aggregate from and after the Closing Date, thirty percent (30%) of the number of the Borrower’s Stores in existence as of the Closing Date (net of new Store openings), and (b) the related Inventory is either moved to a distribution center or another retail location of the Borrower for future sale in the ordinary course of business or is disposed of at such Stores in accordance with liquidation agreements and with professional liquidators reasonably</w:t>
      </w:r>
      <w:r>
        <w:rPr>
          <w:rFonts w:ascii="Arial" w:cs="Arial" w:eastAsia="Arial" w:hAnsi="Arial"/>
          <w:sz w:val="18"/>
          <w:szCs w:val="18"/>
          <w:color w:val="000000"/>
          <w:strike w:val="1"/>
        </w:rPr>
        <w:t>]</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acceptable to the Lender</w:t>
      </w:r>
      <w:r>
        <w:rPr>
          <w:rFonts w:ascii="Arial" w:cs="Arial" w:eastAsia="Arial" w:hAnsi="Arial"/>
          <w:sz w:val="18"/>
          <w:szCs w:val="18"/>
          <w:color w:val="000000"/>
          <w:strike w:val="1"/>
        </w:rPr>
        <w:t>[</w:t>
      </w:r>
      <w:r>
        <w:rPr>
          <w:rFonts w:ascii="Arial" w:cs="Arial" w:eastAsia="Arial" w:hAnsi="Arial"/>
          <w:sz w:val="18"/>
          <w:szCs w:val="18"/>
          <w:color w:val="FF0000"/>
          <w:strike w:val="1"/>
        </w:rPr>
        <w:t>.</w:t>
      </w:r>
      <w:r>
        <w:rPr>
          <w:rFonts w:ascii="Arial" w:cs="Arial" w:eastAsia="Arial" w:hAnsi="Arial"/>
          <w:sz w:val="18"/>
          <w:szCs w:val="18"/>
          <w:color w:val="000000"/>
          <w:strike w:val="1"/>
        </w:rPr>
        <w:t>]</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“Person” means any natural person, corporation, limited liability company, trust, joint venture, association, company, partnership, limited partnership, Governmental Authority or other entity.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“Plan”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Prepayment Event” means:</w:t>
      </w:r>
      <w:r>
        <w:rPr>
          <w:rFonts w:ascii="Arial" w:cs="Arial" w:eastAsia="Arial" w:hAnsi="Arial"/>
          <w:sz w:val="18"/>
          <w:szCs w:val="18"/>
          <w:color w:val="auto"/>
        </w:rPr>
        <w:t>]</w:t>
      </w:r>
    </w:p>
    <w:p>
      <w:pPr>
        <w:spacing w:after="0" w:line="225" w:lineRule="exact"/>
        <w:rPr>
          <w:sz w:val="20"/>
          <w:szCs w:val="20"/>
          <w:color w:val="auto"/>
        </w:rPr>
      </w:pPr>
    </w:p>
    <w:p>
      <w:pPr>
        <w:ind w:left="660" w:firstLine="644"/>
        <w:spacing w:after="0" w:line="277" w:lineRule="auto"/>
        <w:tabs>
          <w:tab w:leader="none" w:pos="1863" w:val="left"/>
        </w:tabs>
        <w:numPr>
          <w:ilvl w:val="0"/>
          <w:numId w:val="48"/>
        </w:numPr>
        <w:rPr>
          <w:rFonts w:ascii="Arial" w:cs="Arial" w:eastAsia="Arial" w:hAnsi="Arial"/>
          <w:sz w:val="18"/>
          <w:szCs w:val="18"/>
          <w:color w:val="FF0000"/>
        </w:rPr>
      </w:pPr>
      <w:r>
        <w:rPr>
          <w:rFonts w:ascii="Arial" w:cs="Arial" w:eastAsia="Arial" w:hAnsi="Arial"/>
          <w:sz w:val="18"/>
          <w:szCs w:val="18"/>
          <w:color w:val="auto"/>
        </w:rPr>
        <w:t>[</w:t>
      </w:r>
      <w:r>
        <w:rPr>
          <w:rFonts w:ascii="Arial" w:cs="Arial" w:eastAsia="Arial" w:hAnsi="Arial"/>
          <w:sz w:val="18"/>
          <w:szCs w:val="18"/>
          <w:color w:val="FF0000"/>
          <w:strike w:val="1"/>
        </w:rPr>
        <w:t>Any Disposition (including pursuant to a sale and leaseback transaction) of any property or asset of a Loan Party;</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auto"/>
        </w:rPr>
        <w:t xml:space="preserve"> </w:t>
      </w:r>
      <w:r>
        <w:rPr>
          <w:rFonts w:ascii="Arial" w:cs="Arial" w:eastAsia="Arial" w:hAnsi="Arial"/>
          <w:sz w:val="18"/>
          <w:szCs w:val="18"/>
          <w:color w:val="FF0000"/>
          <w:strike w:val="1"/>
        </w:rPr>
        <w:t>that</w:t>
      </w:r>
      <w:r>
        <w:rPr>
          <w:rFonts w:ascii="Arial" w:cs="Arial" w:eastAsia="Arial" w:hAnsi="Arial"/>
          <w:sz w:val="18"/>
          <w:szCs w:val="18"/>
          <w:color w:val="auto"/>
        </w:rPr>
        <w:t xml:space="preserve"> </w:t>
      </w:r>
      <w:r>
        <w:rPr>
          <w:rFonts w:ascii="Arial" w:cs="Arial" w:eastAsia="Arial" w:hAnsi="Arial"/>
          <w:sz w:val="18"/>
          <w:szCs w:val="18"/>
          <w:color w:val="FF0000"/>
          <w:strike w:val="1"/>
        </w:rPr>
        <w:t>any Permitted Disposition prior to the occurrence of a Cash Dominion Event shall not be deemed a Prepayment Event;</w:t>
      </w:r>
      <w:r>
        <w:rPr>
          <w:rFonts w:ascii="Arial" w:cs="Arial" w:eastAsia="Arial" w:hAnsi="Arial"/>
          <w:sz w:val="18"/>
          <w:szCs w:val="18"/>
          <w:color w:val="000000"/>
        </w:rPr>
        <w:t>]</w:t>
      </w:r>
    </w:p>
    <w:p>
      <w:pPr>
        <w:spacing w:after="0" w:line="170" w:lineRule="exact"/>
        <w:rPr>
          <w:rFonts w:ascii="Arial" w:cs="Arial" w:eastAsia="Arial" w:hAnsi="Arial"/>
          <w:sz w:val="18"/>
          <w:szCs w:val="18"/>
          <w:color w:val="FF0000"/>
        </w:rPr>
      </w:pPr>
    </w:p>
    <w:p>
      <w:pPr>
        <w:jc w:val="both"/>
        <w:ind w:left="660" w:firstLine="644"/>
        <w:spacing w:after="0" w:line="259" w:lineRule="auto"/>
        <w:tabs>
          <w:tab w:leader="none" w:pos="2049" w:val="left"/>
        </w:tabs>
        <w:numPr>
          <w:ilvl w:val="0"/>
          <w:numId w:val="48"/>
        </w:numPr>
        <w:rPr>
          <w:rFonts w:ascii="Arial" w:cs="Arial" w:eastAsia="Arial" w:hAnsi="Arial"/>
          <w:sz w:val="18"/>
          <w:szCs w:val="18"/>
          <w:color w:val="FF0000"/>
        </w:rPr>
      </w:pPr>
      <w:r>
        <w:rPr>
          <w:rFonts w:ascii="Arial" w:cs="Arial" w:eastAsia="Arial" w:hAnsi="Arial"/>
          <w:sz w:val="18"/>
          <w:szCs w:val="18"/>
          <w:color w:val="auto"/>
        </w:rPr>
        <w:t>[</w:t>
      </w:r>
      <w:r>
        <w:rPr>
          <w:rFonts w:ascii="Arial" w:cs="Arial" w:eastAsia="Arial" w:hAnsi="Arial"/>
          <w:sz w:val="18"/>
          <w:szCs w:val="18"/>
          <w:color w:val="FF0000"/>
          <w:strike w:val="1"/>
        </w:rPr>
        <w:t>Any casualty or other insured damage to, or any taking under power of eminent domain or by condemnation or similar</w:t>
      </w:r>
      <w:r>
        <w:rPr>
          <w:rFonts w:ascii="Arial" w:cs="Arial" w:eastAsia="Arial" w:hAnsi="Arial"/>
          <w:sz w:val="18"/>
          <w:szCs w:val="18"/>
          <w:color w:val="auto"/>
        </w:rPr>
        <w:t xml:space="preserve"> </w:t>
      </w:r>
      <w:r>
        <w:rPr>
          <w:rFonts w:ascii="Arial" w:cs="Arial" w:eastAsia="Arial" w:hAnsi="Arial"/>
          <w:sz w:val="18"/>
          <w:szCs w:val="18"/>
          <w:color w:val="FF0000"/>
          <w:strike w:val="1"/>
        </w:rPr>
        <w:t>proceeding of (and payments in lieu thereof), any property or asset of a Loan Party, unless (i) the proceeds therefrom are required to be paid to the holder of a Lien on such property or asset having priority over the Lien of the Lender or (ii) other than during the continuance of a Cash Dominion Event, Availability is greater than twenty percent (20%) of the Loan Cap;</w:t>
      </w:r>
      <w:r>
        <w:rPr>
          <w:rFonts w:ascii="Arial" w:cs="Arial" w:eastAsia="Arial" w:hAnsi="Arial"/>
          <w:sz w:val="18"/>
          <w:szCs w:val="18"/>
          <w:color w:val="000000"/>
          <w:strike w:val="1"/>
        </w:rPr>
        <w:t>]</w:t>
      </w:r>
    </w:p>
    <w:p>
      <w:pPr>
        <w:spacing w:after="0" w:line="186" w:lineRule="exact"/>
        <w:rPr>
          <w:rFonts w:ascii="Arial" w:cs="Arial" w:eastAsia="Arial" w:hAnsi="Arial"/>
          <w:sz w:val="18"/>
          <w:szCs w:val="18"/>
          <w:color w:val="FF0000"/>
        </w:rPr>
      </w:pPr>
    </w:p>
    <w:p>
      <w:pPr>
        <w:jc w:val="both"/>
        <w:ind w:left="660" w:firstLine="644"/>
        <w:spacing w:after="0" w:line="263" w:lineRule="auto"/>
        <w:tabs>
          <w:tab w:leader="none" w:pos="1863" w:val="left"/>
        </w:tabs>
        <w:numPr>
          <w:ilvl w:val="0"/>
          <w:numId w:val="48"/>
        </w:numPr>
        <w:rPr>
          <w:rFonts w:ascii="Arial" w:cs="Arial" w:eastAsia="Arial" w:hAnsi="Arial"/>
          <w:sz w:val="18"/>
          <w:szCs w:val="18"/>
          <w:color w:val="FF0000"/>
        </w:rPr>
      </w:pPr>
      <w:r>
        <w:rPr>
          <w:rFonts w:ascii="Arial" w:cs="Arial" w:eastAsia="Arial" w:hAnsi="Arial"/>
          <w:sz w:val="18"/>
          <w:szCs w:val="18"/>
          <w:color w:val="auto"/>
        </w:rPr>
        <w:t>[</w:t>
      </w:r>
      <w:r>
        <w:rPr>
          <w:rFonts w:ascii="Arial" w:cs="Arial" w:eastAsia="Arial" w:hAnsi="Arial"/>
          <w:sz w:val="18"/>
          <w:szCs w:val="18"/>
          <w:color w:val="FF0000"/>
          <w:strike w:val="1"/>
        </w:rPr>
        <w:t>The issuance by a Loan Party of any Equity Interests, other than any such issuance of Equity Interests (i) to a Loan Party, (ii) as</w:t>
      </w:r>
      <w:r>
        <w:rPr>
          <w:rFonts w:ascii="Arial" w:cs="Arial" w:eastAsia="Arial" w:hAnsi="Arial"/>
          <w:sz w:val="18"/>
          <w:szCs w:val="18"/>
          <w:color w:val="auto"/>
        </w:rPr>
        <w:t xml:space="preserve"> </w:t>
      </w:r>
      <w:r>
        <w:rPr>
          <w:rFonts w:ascii="Arial" w:cs="Arial" w:eastAsia="Arial" w:hAnsi="Arial"/>
          <w:sz w:val="18"/>
          <w:szCs w:val="18"/>
          <w:color w:val="FF0000"/>
          <w:strike w:val="1"/>
        </w:rPr>
        <w:t>consideration for a Permitted Acquisition or (iii) as a compensatory issuance to any employee, director, or consultant (including, without limitation, under the Borrower’s 2005 Amended and Restated Long-Term Incentive Plan);</w:t>
      </w:r>
      <w:r>
        <w:rPr>
          <w:rFonts w:ascii="Arial" w:cs="Arial" w:eastAsia="Arial" w:hAnsi="Arial"/>
          <w:sz w:val="18"/>
          <w:szCs w:val="18"/>
          <w:color w:val="000000"/>
          <w:strike w:val="1"/>
        </w:rPr>
        <w:t>]</w:t>
      </w:r>
    </w:p>
    <w:p>
      <w:pPr>
        <w:spacing w:after="0" w:line="183" w:lineRule="exact"/>
        <w:rPr>
          <w:rFonts w:ascii="Arial" w:cs="Arial" w:eastAsia="Arial" w:hAnsi="Arial"/>
          <w:sz w:val="18"/>
          <w:szCs w:val="18"/>
          <w:color w:val="FF0000"/>
        </w:rPr>
      </w:pPr>
    </w:p>
    <w:p>
      <w:pPr>
        <w:ind w:left="1820" w:hanging="516"/>
        <w:spacing w:after="0"/>
        <w:tabs>
          <w:tab w:leader="none" w:pos="1820" w:val="left"/>
        </w:tabs>
        <w:numPr>
          <w:ilvl w:val="0"/>
          <w:numId w:val="48"/>
        </w:numPr>
        <w:rPr>
          <w:rFonts w:ascii="Arial" w:cs="Arial" w:eastAsia="Arial" w:hAnsi="Arial"/>
          <w:sz w:val="18"/>
          <w:szCs w:val="18"/>
          <w:color w:val="FF0000"/>
        </w:rPr>
      </w:pPr>
      <w:r>
        <w:rPr>
          <w:rFonts w:ascii="Arial" w:cs="Arial" w:eastAsia="Arial" w:hAnsi="Arial"/>
          <w:sz w:val="18"/>
          <w:szCs w:val="18"/>
          <w:color w:val="auto"/>
        </w:rPr>
        <w:t>[</w:t>
      </w:r>
      <w:r>
        <w:rPr>
          <w:rFonts w:ascii="Arial" w:cs="Arial" w:eastAsia="Arial" w:hAnsi="Arial"/>
          <w:sz w:val="18"/>
          <w:szCs w:val="18"/>
          <w:color w:val="FF0000"/>
          <w:strike w:val="1"/>
        </w:rPr>
        <w:t>The incurrence by a Loan Party of any Indebtedness for borrowed money other than Permitted Indebtedness; or</w:t>
      </w:r>
      <w:r>
        <w:rPr>
          <w:rFonts w:ascii="Arial" w:cs="Arial" w:eastAsia="Arial" w:hAnsi="Arial"/>
          <w:sz w:val="18"/>
          <w:szCs w:val="18"/>
          <w:color w:val="auto"/>
        </w:rPr>
        <w:t>]</w:t>
      </w:r>
    </w:p>
    <w:p>
      <w:pPr>
        <w:spacing w:after="0" w:line="225" w:lineRule="exact"/>
        <w:rPr>
          <w:rFonts w:ascii="Arial" w:cs="Arial" w:eastAsia="Arial" w:hAnsi="Arial"/>
          <w:sz w:val="18"/>
          <w:szCs w:val="18"/>
          <w:color w:val="FF0000"/>
        </w:rPr>
      </w:pPr>
    </w:p>
    <w:p>
      <w:pPr>
        <w:ind w:left="1820" w:hanging="516"/>
        <w:spacing w:after="0"/>
        <w:tabs>
          <w:tab w:leader="none" w:pos="1820" w:val="left"/>
        </w:tabs>
        <w:numPr>
          <w:ilvl w:val="0"/>
          <w:numId w:val="48"/>
        </w:numPr>
        <w:rPr>
          <w:rFonts w:ascii="Arial" w:cs="Arial" w:eastAsia="Arial" w:hAnsi="Arial"/>
          <w:sz w:val="18"/>
          <w:szCs w:val="18"/>
          <w:color w:val="FF0000"/>
        </w:rPr>
      </w:pPr>
      <w:r>
        <w:rPr>
          <w:rFonts w:ascii="Arial" w:cs="Arial" w:eastAsia="Arial" w:hAnsi="Arial"/>
          <w:sz w:val="18"/>
          <w:szCs w:val="18"/>
          <w:color w:val="auto"/>
        </w:rPr>
        <w:t>[</w:t>
      </w:r>
      <w:r>
        <w:rPr>
          <w:rFonts w:ascii="Arial" w:cs="Arial" w:eastAsia="Arial" w:hAnsi="Arial"/>
          <w:sz w:val="18"/>
          <w:szCs w:val="18"/>
          <w:color w:val="FF0000"/>
          <w:strike w:val="1"/>
        </w:rPr>
        <w:t>The receipt by any Loan Party of any Extraordinary Receipts.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-1973580</wp:posOffset>
            </wp:positionV>
            <wp:extent cx="3524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242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-1562100</wp:posOffset>
            </wp:positionV>
            <wp:extent cx="4705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053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-876300</wp:posOffset>
            </wp:positionV>
            <wp:extent cx="3524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242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-327660</wp:posOffset>
            </wp:positionV>
            <wp:extent cx="3333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337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-53340</wp:posOffset>
            </wp:positionV>
            <wp:extent cx="3263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639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46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20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Pre-Adjustment Successor Rate” has the meaning specified in Section 3.03(c).</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“Pro Forma Availability Condition” shall mean, as of any date of calculation, Pro Forma Availability will be greater than [</w:t>
      </w:r>
      <w:r>
        <w:rPr>
          <w:rFonts w:ascii="Arial" w:cs="Arial" w:eastAsia="Arial" w:hAnsi="Arial"/>
          <w:sz w:val="18"/>
          <w:szCs w:val="18"/>
          <w:color w:val="FF0000"/>
          <w:strike w:val="1"/>
        </w:rPr>
        <w:t>17.5</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the greater of (a)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15.0</w:t>
      </w:r>
      <w:r>
        <w:rPr>
          <w:rFonts w:ascii="Arial" w:cs="Arial" w:eastAsia="Arial" w:hAnsi="Arial"/>
          <w:sz w:val="18"/>
          <w:szCs w:val="18"/>
          <w:color w:val="000000"/>
        </w:rPr>
        <w:t>% of the Loan Cap</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and (b) $7,500,000</w:t>
      </w:r>
      <w:r>
        <w:rPr>
          <w:rFonts w:ascii="Arial" w:cs="Arial" w:eastAsia="Arial" w:hAnsi="Arial"/>
          <w:sz w:val="18"/>
          <w:szCs w:val="18"/>
          <w:color w:val="000000"/>
        </w:rPr>
        <w: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 Forma Availability” shall mean, as of any date of calculation, after giving pro forma effect to the transaction then to be consummated or payment to be made, [</w:t>
      </w:r>
      <w:r>
        <w:rPr>
          <w:rFonts w:ascii="Arial" w:cs="Arial" w:eastAsia="Arial" w:hAnsi="Arial"/>
          <w:sz w:val="18"/>
          <w:szCs w:val="18"/>
          <w:color w:val="FF0000"/>
          <w:strike w:val="1"/>
        </w:rPr>
        <w:t>projected</w:t>
      </w:r>
      <w:r>
        <w:rPr>
          <w:rFonts w:ascii="Arial" w:cs="Arial" w:eastAsia="Arial" w:hAnsi="Arial"/>
          <w:sz w:val="18"/>
          <w:szCs w:val="18"/>
          <w:color w:val="auto"/>
        </w:rPr>
        <w:t xml:space="preserve"> ]Availability as of the date of such transaction or payment and [</w:t>
      </w:r>
      <w:r>
        <w:rPr>
          <w:rFonts w:ascii="Arial" w:cs="Arial" w:eastAsia="Arial" w:hAnsi="Arial"/>
          <w:sz w:val="18"/>
          <w:szCs w:val="18"/>
          <w:color w:val="FF0000"/>
          <w:strike w:val="1"/>
        </w:rPr>
        <w:t>as of the end of</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for</w:t>
      </w:r>
      <w:r>
        <w:rPr>
          <w:rFonts w:ascii="Arial" w:cs="Arial" w:eastAsia="Arial" w:hAnsi="Arial"/>
          <w:sz w:val="18"/>
          <w:szCs w:val="18"/>
          <w:color w:val="auto"/>
        </w:rPr>
        <w:t xml:space="preserve"> each [</w:t>
      </w:r>
      <w:r>
        <w:rPr>
          <w:rFonts w:ascii="Arial" w:cs="Arial" w:eastAsia="Arial" w:hAnsi="Arial"/>
          <w:sz w:val="18"/>
          <w:szCs w:val="18"/>
          <w:color w:val="FF0000"/>
          <w:strike w:val="1"/>
        </w:rPr>
        <w:t>Fiscal Month during</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of</w:t>
      </w:r>
      <w:r>
        <w:rPr>
          <w:rFonts w:ascii="Arial" w:cs="Arial" w:eastAsia="Arial" w:hAnsi="Arial"/>
          <w:sz w:val="18"/>
          <w:szCs w:val="18"/>
          <w:color w:val="auto"/>
        </w:rPr>
        <w:t xml:space="preserve"> the [</w:t>
      </w:r>
      <w:r>
        <w:rPr>
          <w:rFonts w:ascii="Arial" w:cs="Arial" w:eastAsia="Arial" w:hAnsi="Arial"/>
          <w:sz w:val="18"/>
          <w:szCs w:val="18"/>
          <w:color w:val="FF0000"/>
          <w:strike w:val="1"/>
        </w:rPr>
        <w:t>subsequent projected six</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thirty</w:t>
      </w:r>
      <w:r>
        <w:rPr>
          <w:rFonts w:ascii="Arial" w:cs="Arial" w:eastAsia="Arial" w:hAnsi="Arial"/>
          <w:sz w:val="18"/>
          <w:szCs w:val="18"/>
          <w:color w:val="auto"/>
        </w:rPr>
        <w:t xml:space="preserve"> ([</w:t>
      </w:r>
      <w:r>
        <w:rPr>
          <w:rFonts w:ascii="Arial" w:cs="Arial" w:eastAsia="Arial" w:hAnsi="Arial"/>
          <w:sz w:val="18"/>
          <w:szCs w:val="18"/>
          <w:color w:val="FF0000"/>
          <w:strike w:val="1"/>
        </w:rPr>
        <w:t>6</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30</w:t>
      </w:r>
      <w:r>
        <w:rPr>
          <w:rFonts w:ascii="Arial" w:cs="Arial" w:eastAsia="Arial" w:hAnsi="Arial"/>
          <w:sz w:val="18"/>
          <w:szCs w:val="18"/>
          <w:color w:val="auto"/>
        </w:rPr>
        <w:t>) [</w:t>
      </w:r>
      <w:r>
        <w:rPr>
          <w:rFonts w:ascii="Arial" w:cs="Arial" w:eastAsia="Arial" w:hAnsi="Arial"/>
          <w:sz w:val="18"/>
          <w:szCs w:val="18"/>
          <w:color w:val="FF0000"/>
          <w:strike w:val="1"/>
        </w:rPr>
        <w:t>Fiscal Months</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days prior to such transaction or payment</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QFC” has the meaning assigned to the term “qualified financial contract” in, and shall be interpreted in accordance with, 12 U.S.C. 5390(c)(8)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“Qualified ECP Guarantor”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“Real Estate” means all Leases and all [</w:t>
      </w:r>
      <w:r>
        <w:rPr>
          <w:rFonts w:ascii="Arial" w:cs="Arial" w:eastAsia="Arial" w:hAnsi="Arial"/>
          <w:sz w:val="18"/>
          <w:szCs w:val="18"/>
          <w:color w:val="FF0000"/>
          <w:strike w:val="1"/>
        </w:rPr>
        <w:t>land</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real property</w:t>
      </w:r>
      <w:r>
        <w:rPr>
          <w:rFonts w:ascii="Arial" w:cs="Arial" w:eastAsia="Arial" w:hAnsi="Arial"/>
          <w:sz w:val="18"/>
          <w:szCs w:val="18"/>
          <w:color w:val="auto"/>
        </w:rPr>
        <w:t>, together with the buildings, structures, parking areas, and other improvements thereon, now or hereafter owned by any Loan Party, including all easements, rights-of-way, and similar rights relating thereto and all leases, tenancies, and occupancies thereof.</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“Registered Public Accounting Firm” has the meaning specified by the Securities Laws and shall be independent of the Borrower and its Subsidiaries as prescribed by the Securities Laws.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0000FF"/>
        </w:rPr>
        <w:t>“Related Adjustment” means, in determining any LIBOR Successor Rate, the first relevant available alternative set forth in the order below that can be determined by the Lender applicable to such LIBOR Successor Rate:</w:t>
      </w:r>
    </w:p>
    <w:p>
      <w:pPr>
        <w:spacing w:after="0" w:line="162" w:lineRule="exact"/>
        <w:rPr>
          <w:sz w:val="20"/>
          <w:szCs w:val="20"/>
          <w:color w:val="auto"/>
        </w:rPr>
      </w:pPr>
    </w:p>
    <w:p>
      <w:pPr>
        <w:jc w:val="both"/>
        <w:ind w:left="1300" w:firstLine="652"/>
        <w:spacing w:after="0" w:line="274" w:lineRule="auto"/>
        <w:tabs>
          <w:tab w:leader="none" w:pos="3025" w:val="left"/>
        </w:tabs>
        <w:numPr>
          <w:ilvl w:val="0"/>
          <w:numId w:val="49"/>
        </w:numPr>
        <w:rPr>
          <w:rFonts w:ascii="Arial" w:cs="Arial" w:eastAsia="Arial" w:hAnsi="Arial"/>
          <w:sz w:val="17"/>
          <w:szCs w:val="17"/>
          <w:b w:val="1"/>
          <w:bCs w:val="1"/>
          <w:color w:val="0000FF"/>
        </w:rPr>
      </w:pPr>
      <w:r>
        <w:rPr>
          <w:rFonts w:ascii="Arial" w:cs="Arial" w:eastAsia="Arial" w:hAnsi="Arial"/>
          <w:sz w:val="17"/>
          <w:szCs w:val="17"/>
          <w:b w:val="1"/>
          <w:bCs w:val="1"/>
          <w:u w:val="single" w:color="auto"/>
          <w:color w:val="0000FF"/>
        </w:rPr>
        <w:t xml:space="preserve">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(x) is published on an information service as selected by the Lender from time to time in its reasonable discretion or (y) solely with respect to Term SOFR, if not currently published, which was previously so recommended for Term SOFR and published on an information service </w:t>
      </w:r>
      <w:r>
        <w:rPr>
          <w:rFonts w:ascii="Arial" w:cs="Arial" w:eastAsia="Arial" w:hAnsi="Arial"/>
          <w:sz w:val="17"/>
          <w:szCs w:val="17"/>
          <w:u w:val="single" w:color="auto"/>
          <w:color w:val="00C000"/>
        </w:rPr>
        <w:t>acceptable to the Lender</w:t>
      </w:r>
      <w:r>
        <w:rPr>
          <w:rFonts w:ascii="Arial" w:cs="Arial" w:eastAsia="Arial" w:hAnsi="Arial"/>
          <w:sz w:val="17"/>
          <w:szCs w:val="17"/>
          <w:b w:val="1"/>
          <w:bCs w:val="1"/>
          <w:u w:val="single" w:color="auto"/>
          <w:color w:val="0000FF"/>
        </w:rPr>
        <w:t>; or</w:t>
      </w:r>
    </w:p>
    <w:p>
      <w:pPr>
        <w:spacing w:after="0" w:line="173" w:lineRule="exact"/>
        <w:rPr>
          <w:rFonts w:ascii="Arial" w:cs="Arial" w:eastAsia="Arial" w:hAnsi="Arial"/>
          <w:sz w:val="17"/>
          <w:szCs w:val="17"/>
          <w:b w:val="1"/>
          <w:bCs w:val="1"/>
          <w:color w:val="0000FF"/>
        </w:rPr>
      </w:pPr>
    </w:p>
    <w:p>
      <w:pPr>
        <w:jc w:val="both"/>
        <w:ind w:left="1300" w:firstLine="652"/>
        <w:spacing w:after="0" w:line="266" w:lineRule="auto"/>
        <w:tabs>
          <w:tab w:leader="none" w:pos="2871" w:val="left"/>
        </w:tabs>
        <w:numPr>
          <w:ilvl w:val="0"/>
          <w:numId w:val="49"/>
        </w:numPr>
        <w:rPr>
          <w:rFonts w:ascii="Arial" w:cs="Arial" w:eastAsia="Arial" w:hAnsi="Arial"/>
          <w:sz w:val="18"/>
          <w:szCs w:val="18"/>
          <w:b w:val="1"/>
          <w:bCs w:val="1"/>
          <w:color w:val="0000FF"/>
        </w:rPr>
      </w:pPr>
      <w:r>
        <w:rPr>
          <w:rFonts w:ascii="Arial" w:cs="Arial" w:eastAsia="Arial" w:hAnsi="Arial"/>
          <w:sz w:val="18"/>
          <w:szCs w:val="18"/>
          <w:b w:val="1"/>
          <w:bCs w:val="1"/>
          <w:u w:val="single" w:color="auto"/>
          <w:color w:val="0000FF"/>
        </w:rPr>
        <w:t>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-587375</wp:posOffset>
            </wp:positionV>
            <wp:extent cx="285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47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20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“Related Parties”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“Release” means any release, spill, emission, discharge, [</w:t>
      </w:r>
      <w:r>
        <w:rPr>
          <w:rFonts w:ascii="Arial" w:cs="Arial" w:eastAsia="Arial" w:hAnsi="Arial"/>
          <w:sz w:val="18"/>
          <w:szCs w:val="18"/>
          <w:color w:val="FF0000"/>
          <w:strike w:val="1"/>
        </w:rPr>
        <w:t>deposit,</w:t>
      </w:r>
      <w:r>
        <w:rPr>
          <w:rFonts w:ascii="Arial" w:cs="Arial" w:eastAsia="Arial" w:hAnsi="Arial"/>
          <w:sz w:val="18"/>
          <w:szCs w:val="18"/>
          <w:color w:val="auto"/>
        </w:rPr>
        <w:t xml:space="preserve"> ]disposal, leaking, pumping, pouring, dumping, emptying, injection or leaching into the Environment[</w:t>
      </w:r>
      <w:r>
        <w:rPr>
          <w:rFonts w:ascii="Arial" w:cs="Arial" w:eastAsia="Arial" w:hAnsi="Arial"/>
          <w:sz w:val="18"/>
          <w:szCs w:val="18"/>
          <w:color w:val="FF0000"/>
          <w:strike w:val="1"/>
        </w:rPr>
        <w:t>, or into, from or through any building, structure or facility</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“Relevant Governmental Body” means the Federal Reserve Board and/or the Federal Reserve Bank of New York, or a committee officially endorsed or convened by the Federal Reserve Board and/or the Federal Reserve Bank of New York[ </w:t>
      </w:r>
      <w:r>
        <w:rPr>
          <w:rFonts w:ascii="Arial" w:cs="Arial" w:eastAsia="Arial" w:hAnsi="Arial"/>
          <w:sz w:val="18"/>
          <w:szCs w:val="18"/>
          <w:color w:val="FF0000"/>
          <w:strike w:val="1"/>
        </w:rPr>
        <w:t>for the purpose of recommending a benchmark rate to</w:t>
      </w:r>
      <w:r>
        <w:rPr>
          <w:rFonts w:ascii="Arial" w:cs="Arial" w:eastAsia="Arial" w:hAnsi="Arial"/>
          <w:sz w:val="18"/>
          <w:szCs w:val="18"/>
          <w:color w:val="auto"/>
        </w:rPr>
        <w:t xml:space="preserve"> </w:t>
      </w:r>
      <w:r>
        <w:rPr>
          <w:rFonts w:ascii="Arial" w:cs="Arial" w:eastAsia="Arial" w:hAnsi="Arial"/>
          <w:sz w:val="18"/>
          <w:szCs w:val="18"/>
          <w:color w:val="FF0000"/>
          <w:strike w:val="1"/>
        </w:rPr>
        <w:t>replace LIBOR in loan agreements similar to this Agreement</w:t>
      </w:r>
      <w:r>
        <w:rPr>
          <w:rFonts w:ascii="Arial" w:cs="Arial" w:eastAsia="Arial" w:hAnsi="Arial"/>
          <w:sz w:val="18"/>
          <w:szCs w:val="18"/>
          <w:color w:val="000000"/>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“Reportable Event” means any of the events set forth in Section 4043(c) of ERISA, other than events for which the 30 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“Request for Credit Extension” means (a) with respect to a Committed Borrowing, Conversion or continuation of Committed Loans, a Committed Loan Notice, and (b) with respect to an L/C Credit Extension, a Letter of Credit Application.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“Reserves” means all Inventory Reserves and Availability Reserves. The Lender shall have the right, at any time and from time to time after the Closing Date in its discretion to establish, modify or eliminate Reserves.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“Responsible Officer” means the chief executive officer, president, chief financial officer, treasurer or assistant treasurer of a Loan Party or any of the other individuals designated in writing to the Lender by an existing Responsible Officer of a Loan Party as an authorized signatory of any certificate or other document to be delivered hereunder.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“Restricted Payment”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such Person’s stockholders, partners or members (or the equivalent of any thereof), or any option, warrant or other right to acquire any such dividend or other distribution or payment;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transactions pursuant to provisions in Equity Interests of the Borrower that allow employees, at their option, to settle their tax obligations in respect thereof with a tender of a portion of such Equity Interests back to the Borrower, and tax payments made by the Borrower pursuant thereto, shall not be a Restricted Payment hereunder. Without limiting the foregoing, “Restricted Payments” with respect to any Person shall also include all payments made by such Person with any proceeds of a dissolution or liquidation of such Person.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48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20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“Restricted Subsidiary” means any Subsidiary of the Borrower other than an Unrestricted Subsidiary.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“RP Conditions” means, at the time of determination with respect to any specified transaction or payment, that (a) no Default or Event of Default then exists or would arise as a result of entering into such transaction or the making of such payment, (b) after giving effect to such transaction or payment, Pro Forma Availability is[</w:t>
      </w:r>
      <w:r>
        <w:rPr>
          <w:rFonts w:ascii="Arial" w:cs="Arial" w:eastAsia="Arial" w:hAnsi="Arial"/>
          <w:sz w:val="16"/>
          <w:szCs w:val="16"/>
          <w:color w:val="FF0000"/>
          <w:strike w:val="1"/>
        </w:rPr>
        <w:t>, and is projected to be,</w:t>
      </w:r>
      <w:r>
        <w:rPr>
          <w:rFonts w:ascii="Arial" w:cs="Arial" w:eastAsia="Arial" w:hAnsi="Arial"/>
          <w:sz w:val="16"/>
          <w:szCs w:val="16"/>
          <w:color w:val="auto"/>
        </w:rPr>
        <w:t>] greater than [</w:t>
      </w:r>
      <w:r>
        <w:rPr>
          <w:rFonts w:ascii="Arial" w:cs="Arial" w:eastAsia="Arial" w:hAnsi="Arial"/>
          <w:sz w:val="16"/>
          <w:szCs w:val="16"/>
          <w:color w:val="FF0000"/>
          <w:strike w:val="1"/>
        </w:rPr>
        <w:t>20</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the greater of (i) 17.5</w:t>
      </w:r>
      <w:r>
        <w:rPr>
          <w:rFonts w:ascii="Arial" w:cs="Arial" w:eastAsia="Arial" w:hAnsi="Arial"/>
          <w:sz w:val="16"/>
          <w:szCs w:val="16"/>
          <w:color w:val="auto"/>
        </w:rPr>
        <w:t xml:space="preserve">% of the Loan Cap </w:t>
      </w:r>
      <w:r>
        <w:rPr>
          <w:rFonts w:ascii="Arial" w:cs="Arial" w:eastAsia="Arial" w:hAnsi="Arial"/>
          <w:sz w:val="16"/>
          <w:szCs w:val="16"/>
          <w:b w:val="1"/>
          <w:bCs w:val="1"/>
          <w:u w:val="single" w:color="auto"/>
          <w:color w:val="0000FF"/>
        </w:rPr>
        <w:t>and (ii) $9,375,000</w:t>
      </w:r>
      <w:r>
        <w:rPr>
          <w:rFonts w:ascii="Arial" w:cs="Arial" w:eastAsia="Arial" w:hAnsi="Arial"/>
          <w:sz w:val="16"/>
          <w:szCs w:val="16"/>
          <w:color w:val="auto"/>
        </w:rPr>
        <w:t xml:space="preserve"> and the Consolidated Fixed Charge Coverage Ratio, as calculated on a pro-forma basis for the applicable Measurement Period (as if such transaction or payment had been made on the first day of the applicable Measurement Period), is equal to or greater than [</w:t>
      </w:r>
      <w:r>
        <w:rPr>
          <w:rFonts w:ascii="Arial" w:cs="Arial" w:eastAsia="Arial" w:hAnsi="Arial"/>
          <w:sz w:val="16"/>
          <w:szCs w:val="16"/>
          <w:color w:val="FF0000"/>
          <w:strike w:val="1"/>
        </w:rPr>
        <w:t>1.1:1.0</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1.0:1.0</w:t>
      </w:r>
      <w:r>
        <w:rPr>
          <w:rFonts w:ascii="Arial" w:cs="Arial" w:eastAsia="Arial" w:hAnsi="Arial"/>
          <w:sz w:val="16"/>
          <w:szCs w:val="16"/>
          <w:color w:val="auto"/>
        </w:rPr>
        <w:t>, immediately preceding, and on a pro forma basis on the date thereof, after giving effect to such dividend or repurchase. Prior to undertaking any transaction or payment which is subject to the RP Conditions, the Loan Parties shall deliver to the Lender evidence of satisfaction of the conditions contained in clause (b) above on a basis (including, without limitation, giving due consideration to results for prior periods) reasonably satisfactory to the Lender.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Standard &amp; Poor’s Ratings Services, a division of The McGraw-Hill Companies, Inc. and any successor thereto.</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“Sanction(s)” means any [</w:t>
      </w:r>
      <w:r>
        <w:rPr>
          <w:rFonts w:ascii="Arial" w:cs="Arial" w:eastAsia="Arial" w:hAnsi="Arial"/>
          <w:sz w:val="18"/>
          <w:szCs w:val="18"/>
          <w:color w:val="FF0000"/>
          <w:strike w:val="1"/>
        </w:rPr>
        <w:t>sanction</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economic sanctions</w:t>
      </w:r>
      <w:r>
        <w:rPr>
          <w:rFonts w:ascii="Arial" w:cs="Arial" w:eastAsia="Arial" w:hAnsi="Arial"/>
          <w:sz w:val="18"/>
          <w:szCs w:val="18"/>
          <w:color w:val="auto"/>
        </w:rPr>
        <w:t xml:space="preserve"> administered or enforced by [</w:t>
      </w:r>
      <w:r>
        <w:rPr>
          <w:rFonts w:ascii="Arial" w:cs="Arial" w:eastAsia="Arial" w:hAnsi="Arial"/>
          <w:sz w:val="18"/>
          <w:szCs w:val="18"/>
          <w:color w:val="FF0000"/>
          <w:strike w:val="1"/>
        </w:rPr>
        <w:t>the United States Government (including without limitation,</w:t>
      </w:r>
      <w:r>
        <w:rPr>
          <w:rFonts w:ascii="Arial" w:cs="Arial" w:eastAsia="Arial" w:hAnsi="Arial"/>
          <w:sz w:val="18"/>
          <w:szCs w:val="18"/>
          <w:color w:val="auto"/>
        </w:rPr>
        <w:t xml:space="preserve"> </w:t>
      </w:r>
      <w:r>
        <w:rPr>
          <w:rFonts w:ascii="Arial" w:cs="Arial" w:eastAsia="Arial" w:hAnsi="Arial"/>
          <w:sz w:val="18"/>
          <w:szCs w:val="18"/>
          <w:color w:val="FF0000"/>
          <w:strike w:val="1"/>
        </w:rPr>
        <w:t>OFAC)</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OFAC, the U.S. Department of State</w:t>
      </w:r>
      <w:r>
        <w:rPr>
          <w:rFonts w:ascii="Arial" w:cs="Arial" w:eastAsia="Arial" w:hAnsi="Arial"/>
          <w:sz w:val="18"/>
          <w:szCs w:val="18"/>
          <w:color w:val="000000"/>
        </w:rPr>
        <w:t>, the United Nations Security Council, the European Union,</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rPr>
        <w:t>or</w:t>
      </w:r>
      <w:r>
        <w:rPr>
          <w:rFonts w:ascii="Arial" w:cs="Arial" w:eastAsia="Arial" w:hAnsi="Arial"/>
          <w:sz w:val="18"/>
          <w:szCs w:val="18"/>
          <w:color w:val="FF0000"/>
        </w:rPr>
        <w:t xml:space="preserve"> </w:t>
      </w:r>
      <w:r>
        <w:rPr>
          <w:rFonts w:ascii="Arial" w:cs="Arial" w:eastAsia="Arial" w:hAnsi="Arial"/>
          <w:sz w:val="18"/>
          <w:szCs w:val="18"/>
          <w:color w:val="000000"/>
        </w:rPr>
        <w:t>Her Majesty’s Treasury (“HMT”)[</w:t>
      </w:r>
      <w:r>
        <w:rPr>
          <w:rFonts w:ascii="Arial" w:cs="Arial" w:eastAsia="Arial" w:hAnsi="Arial"/>
          <w:sz w:val="18"/>
          <w:szCs w:val="18"/>
          <w:color w:val="FF0000"/>
        </w:rPr>
        <w:t xml:space="preserve"> </w:t>
      </w:r>
      <w:r>
        <w:rPr>
          <w:rFonts w:ascii="Arial" w:cs="Arial" w:eastAsia="Arial" w:hAnsi="Arial"/>
          <w:sz w:val="18"/>
          <w:szCs w:val="18"/>
          <w:color w:val="FF0000"/>
          <w:strike w:val="1"/>
        </w:rPr>
        <w:t>or other</w:t>
      </w:r>
      <w:r>
        <w:rPr>
          <w:rFonts w:ascii="Arial" w:cs="Arial" w:eastAsia="Arial" w:hAnsi="Arial"/>
          <w:sz w:val="18"/>
          <w:szCs w:val="18"/>
          <w:color w:val="FF0000"/>
        </w:rPr>
        <w:t xml:space="preserve"> </w:t>
      </w:r>
      <w:r>
        <w:rPr>
          <w:rFonts w:ascii="Arial" w:cs="Arial" w:eastAsia="Arial" w:hAnsi="Arial"/>
          <w:sz w:val="18"/>
          <w:szCs w:val="18"/>
          <w:color w:val="FF0000"/>
          <w:strike w:val="1"/>
        </w:rPr>
        <w:t>relevant sanctions authority</w:t>
      </w:r>
      <w:r>
        <w:rPr>
          <w:rFonts w:ascii="Arial" w:cs="Arial" w:eastAsia="Arial" w:hAnsi="Arial"/>
          <w:sz w:val="18"/>
          <w:szCs w:val="18"/>
          <w:color w:val="000000"/>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“Sarbanes-Oxley” means the Sarbanes-Oxley Act of 2002.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 means the Securities and Exchange Commission, or any Governmental Authority succeeding to any of its principal functions.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“Second Amendment Effective Date” means May 12, 2020.</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“Securities Laws” means the Securities Act of 1933, the Securities Exchange Act of 1934, Sarbanes-Oxley, and the applicable accounting and auditing principles, rules, standards and practices promulgated, approved or incorporated by the SEC or the PCAOB.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Agreement” means the Security Agreement dated as of the Closing Date among the Loan Parties and the Lender.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“Security Documents” means the Security Agreement, the Blocked Account Agreements, the Credit Card Notifications, any Collateral Access Agreement, and each other security agreement or other instrument or document executed and delivered to the Lender pursuant to this Agreement or any other Loan Document granting a Lien to secure any of the Obligations.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49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20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u w:val="single" w:color="auto"/>
          <w:color w:val="0000FF"/>
        </w:rPr>
        <w:t xml:space="preserve">“SEMS” means the Superfund Enterprise Management </w:t>
      </w:r>
      <w:r>
        <w:rPr>
          <w:rFonts w:ascii="Arial" w:cs="Arial" w:eastAsia="Arial" w:hAnsi="Arial"/>
          <w:sz w:val="17"/>
          <w:szCs w:val="17"/>
          <w:u w:val="single" w:color="auto"/>
          <w:color w:val="00C000"/>
        </w:rPr>
        <w:t>System maintained by the United States Environmental Protection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3129915</wp:posOffset>
            </wp:positionH>
            <wp:positionV relativeFrom="paragraph">
              <wp:posOffset>-635</wp:posOffset>
            </wp:positionV>
            <wp:extent cx="285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1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“Shareholders’ Equity” means, as of any date of determination, consolidated shareholders’ equity of the Borrower and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as of that date determined in accordance with GAAP.</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“Shrink” means Inventory which has been lost, misplaced, stolen, or is otherwise unaccounted for.</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“SOFR” with respect to any [</w:t>
      </w:r>
      <w:r>
        <w:rPr>
          <w:rFonts w:ascii="Arial" w:cs="Arial" w:eastAsia="Arial" w:hAnsi="Arial"/>
          <w:sz w:val="18"/>
          <w:szCs w:val="18"/>
          <w:color w:val="FF0000"/>
          <w:strike w:val="1"/>
        </w:rPr>
        <w:t>day</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Business Day</w:t>
      </w:r>
      <w:r>
        <w:rPr>
          <w:rFonts w:ascii="Arial" w:cs="Arial" w:eastAsia="Arial" w:hAnsi="Arial"/>
          <w:sz w:val="18"/>
          <w:szCs w:val="18"/>
          <w:color w:val="auto"/>
        </w:rPr>
        <w:t xml:space="preserve"> means the secured overnight financing rate published for such day by the Federal Reserve Bank of New York, as the administrator of the benchmark (or a successor administrator) on the Federal Reserve Bank of New York’s website (or any successor source) </w:t>
      </w:r>
      <w:r>
        <w:rPr>
          <w:rFonts w:ascii="Arial" w:cs="Arial" w:eastAsia="Arial" w:hAnsi="Arial"/>
          <w:sz w:val="18"/>
          <w:szCs w:val="18"/>
          <w:b w:val="1"/>
          <w:bCs w:val="1"/>
          <w:u w:val="single" w:color="auto"/>
          <w:color w:val="0000FF"/>
        </w:rPr>
        <w:t>at approximately 8:00 a.m. (New York City time) on the immediately succeeding Business Day</w:t>
      </w:r>
      <w:r>
        <w:rPr>
          <w:rFonts w:ascii="Arial" w:cs="Arial" w:eastAsia="Arial" w:hAnsi="Arial"/>
          <w:sz w:val="18"/>
          <w:szCs w:val="18"/>
          <w:color w:val="auto"/>
        </w:rPr>
        <w:t xml:space="preserve"> and, in each case, that has been selected or recommended by the Relevant Governmental Body.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“SOFR-Based Rate” means SOFR or Term SOFR.</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“Solvent” and “Solvency” means, with respect to any Person on a particular date, that on such date (a) at fair valuation, all of the properties and assets of such Person are greater than the sum of the debts, including contingent liabilities, of such Person, (b) the present fair saleable value of the properties and assets of such Person is not less than the amount that would be required to pay the probable liability of such Person on its debts as they become absolute and matured, (c) such Person is able to realize upon its properties and assets and pay its debts and other liabilities, contingent obligations and other commitments as they mature in the normal course of business, (d) such Person does not intend to, and does not believe that it will, incur debts beyond such Person’s ability to pay as such debts mature, and (e) such Person is not engaged in a business or a transaction, and is not about to engage in a business or transaction, for which such Person’s properties and assets would constitute unreasonably small capital after giving due consideration to the prevailing practices in the industry in which such Person is engaged. The amount of all guarantees at any time shall be computed as the amount that, in light of all the facts and circumstances existing at the time, can reasonably be expected to become an actual or matured liability.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“Specified Loan Party” means any Loan Party that is not then an “eligible contract participant” under the Commodity Exchange Act (determined prior to giving effect to Section 9.23).</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“Standby Letter of Credit” means any Letter of Credit that is not a Commercial Letter of Credit and that (a) is used in lieu or in support of performance guaranties or performance, surety or similar bonds (excluding appeal bonds) arising in the ordinary course of business, (b) is used in lieu or in support of stay or appeal bonds, (c) supports the payment of insurance premiums for reasonably necessary casualty insurance carried by any of the Loan Parties, or (d) supports payment or performance for identified purchases or exchanges of products or services in the ordinary course of business.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50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“Stated Amount” means at any time the maximum amount for which a Letter of Credit may be honored.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“Store” means any retail store (including any real property, fixtures, equipment, inventory and other property related thereto) operated, or to be operated, by any Loan Party.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“Subordinated Indebtedness” means Indebtedness which is expressly subordinated in right of payment to the prior payment in full of the Obligations and which is in form and on terms approved in writing by the Lender.</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“Subsidiary” of a Person means a corporation, partnership, joint venture, limited liability company or other business entity of which a majority of the Equity Interests having ordinary voting power for the election of directors or other governing body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a Loan Party.</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“Swap Obligations” means with respect to any Loan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the Lender or any Affiliate of the Lender).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51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“Synthetic Lease Obligation” means the monetary obligation of a Person under (a) a so-called synthetic, off-balance sheet or tax retention lease, or</w:t>
      </w:r>
    </w:p>
    <w:p>
      <w:pPr>
        <w:spacing w:after="0" w:line="46" w:lineRule="exact"/>
        <w:rPr>
          <w:sz w:val="20"/>
          <w:szCs w:val="20"/>
          <w:color w:val="auto"/>
        </w:rPr>
      </w:pPr>
    </w:p>
    <w:p>
      <w:pPr>
        <w:jc w:val="both"/>
        <w:ind w:firstLine="8"/>
        <w:spacing w:after="0" w:line="255" w:lineRule="auto"/>
        <w:tabs>
          <w:tab w:leader="none" w:pos="2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 xml:space="preserve">“Taxes” means all present or future taxes, levies, imposts, duties, deductions, withholdings </w:t>
      </w:r>
      <w:r>
        <w:rPr>
          <w:rFonts w:ascii="Arial" w:cs="Arial" w:eastAsia="Arial" w:hAnsi="Arial"/>
          <w:sz w:val="17"/>
          <w:szCs w:val="17"/>
          <w:b w:val="1"/>
          <w:bCs w:val="1"/>
          <w:u w:val="single" w:color="auto"/>
          <w:color w:val="0000FF"/>
        </w:rPr>
        <w:t>(including backup witholdings)</w:t>
      </w:r>
      <w:r>
        <w:rPr>
          <w:rFonts w:ascii="Arial" w:cs="Arial" w:eastAsia="Arial" w:hAnsi="Arial"/>
          <w:sz w:val="17"/>
          <w:szCs w:val="17"/>
          <w:color w:val="auto"/>
        </w:rPr>
        <w:t>, assessments, fees or other charges imposed by any Governmental Authority, including any interest, additions to tax or penalties applicable thereto.</w:t>
      </w:r>
    </w:p>
    <w:p>
      <w:pPr>
        <w:spacing w:after="0" w:line="14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“Term SOFR” means the forward-looking term rate for any period that is approximately (as determined by the Lender) as long as any of the Interest Period options set forth in the definition of “Interest Period” and that is based on SOFR and that has been selected or recommended by the Relevant Governmental Body, in each case as published on an information service as selected by the Lender from time to time in its reasonable discretion.</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“Termination Date” means the earliest to occur of (i) the Maturity Date, (ii) the date on which the maturity of the Obligations is accelerated (or deemed accelerated) and the Commitments are irrevocably terminated (or deemed terminated)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(iii) the termination of the Commitments in accordance with the provisions of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“Third Amendment Effective Date” means April 15, 2021.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Outstandings” means the aggregate Outstanding Amount of all Loans and all L/C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“Trading with the Enemy Act” has the meaning set forth in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“Trigger Event” has the meaning provided in </w:t>
      </w:r>
      <w:r>
        <w:rPr>
          <w:rFonts w:ascii="Arial" w:cs="Arial" w:eastAsia="Arial" w:hAnsi="Arial"/>
          <w:sz w:val="18"/>
          <w:szCs w:val="18"/>
          <w:u w:val="single" w:color="auto"/>
          <w:color w:val="auto"/>
        </w:rPr>
        <w:t>Section 6.10(b)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means, with respect to a Committed Loan, its character as a Base Rate Loan or a Eurodollar Rate Loan.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“UCC” or “Uniform Commercial Code” means the Uniform Commercial Code as in effect from time to time in the State of New York; provided, however, that if a term is defined in Article 9 of the Uniform Commercial Code differently than in another Article thereof, the term shall have the meaning set forth in Article 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by reason of mandatory provisions of law, perfection, or the effect of perfection or non-perfection, of a security interest in any Collateral or the availability of any remedy hereunder is governed by the Uniform Commercial Code as in effect in a jurisdiction other than State of New York, “Uniform Commercial Code” means the Uniform Commercial Code as in effect in such other jurisdiction for purposes of the provisions hereof relating to such perfection or effect of perfection or non-perfection or availability of such remedy, as the case may be.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52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“UCP 600” means the rules of the Uniform Customs and Practice for Documentary Credits, as most recently published by the International Chamber of Commerce and dated as of July 1, 2007 (or such later version thereof as may be in effect at the time of issuance).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“UFCA” has the meaning specified in </w:t>
      </w:r>
      <w:r>
        <w:rPr>
          <w:rFonts w:ascii="Arial" w:cs="Arial" w:eastAsia="Arial" w:hAnsi="Arial"/>
          <w:sz w:val="18"/>
          <w:szCs w:val="18"/>
          <w:u w:val="single" w:color="auto"/>
          <w:color w:val="auto"/>
        </w:rPr>
        <w:t>Section 9.20(d)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“UFTA” has the meaning specified in </w:t>
      </w:r>
      <w:r>
        <w:rPr>
          <w:rFonts w:ascii="Arial" w:cs="Arial" w:eastAsia="Arial" w:hAnsi="Arial"/>
          <w:sz w:val="18"/>
          <w:szCs w:val="18"/>
          <w:u w:val="single" w:color="auto"/>
          <w:color w:val="auto"/>
        </w:rPr>
        <w:t>Section 9.20(d)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“Unfunded Pension Liability”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 and “U.S.”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“Unreimbursed Amount” means the amount of any drawing under a Letter of Credit for which the Borrower has failed to reimburse the L/C Issuer.</w:t>
      </w:r>
    </w:p>
    <w:p>
      <w:pPr>
        <w:spacing w:after="0" w:line="2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“Unrestricted Cash” means when referring to cash or cash equivalents of the Borrower or any of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that such cash or cash equivalents (i) does not appear (or would not be required to appear) as “restricted” on a consolidated balance sheet of the Borrower or of any such </w:t>
      </w:r>
      <w:r>
        <w:rPr>
          <w:rFonts w:ascii="Arial" w:cs="Arial" w:eastAsia="Arial" w:hAnsi="Arial"/>
          <w:sz w:val="18"/>
          <w:szCs w:val="18"/>
          <w:b w:val="1"/>
          <w:bCs w:val="1"/>
          <w:u w:val="single" w:color="auto"/>
          <w:color w:val="0000FF"/>
        </w:rPr>
        <w:t>Restricted</w:t>
      </w:r>
      <w:r>
        <w:rPr>
          <w:rFonts w:ascii="Arial" w:cs="Arial" w:eastAsia="Arial" w:hAnsi="Arial"/>
          <w:sz w:val="18"/>
          <w:szCs w:val="18"/>
          <w:b w:val="1"/>
          <w:bCs w:val="1"/>
          <w:color w:val="0000FF"/>
        </w:rPr>
        <w:t xml:space="preserve"> </w:t>
      </w:r>
      <w:r>
        <w:rPr>
          <w:rFonts w:ascii="Arial" w:cs="Arial" w:eastAsia="Arial" w:hAnsi="Arial"/>
          <w:sz w:val="18"/>
          <w:szCs w:val="18"/>
          <w:color w:val="000000"/>
        </w:rPr>
        <w:t>Subsidiary or (ii) is from time to time deposited is in a DDA, which DDA is subject to no Liens other than those in favor of the Lender, but</w:t>
      </w:r>
      <w:r>
        <w:rPr>
          <w:rFonts w:ascii="Arial" w:cs="Arial" w:eastAsia="Arial" w:hAnsi="Arial"/>
          <w:sz w:val="18"/>
          <w:szCs w:val="18"/>
          <w:b w:val="1"/>
          <w:bCs w:val="1"/>
          <w:color w:val="0000FF"/>
        </w:rPr>
        <w:t xml:space="preserve"> </w:t>
      </w:r>
      <w:r>
        <w:rPr>
          <w:rFonts w:ascii="Arial" w:cs="Arial" w:eastAsia="Arial" w:hAnsi="Arial"/>
          <w:sz w:val="18"/>
          <w:szCs w:val="18"/>
          <w:color w:val="000000"/>
        </w:rPr>
        <w:t>excluding any amounts on deposit in any escrow, restricted special purpose or restricted account, such as an account specifically designated for payroll or sales taxes.</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u w:val="single" w:color="auto"/>
          <w:color w:val="0000FF"/>
        </w:rPr>
        <w:t xml:space="preserve">“Unrestricted Cash Payment Conditions” means, at the time of determination with respect to any specified Restricted Payment, prepayment on Indebtedness, Permitted Acquisition or other Permitted Investment that (a) no Event of Default shall have occurred and be continuing immediately </w:t>
      </w:r>
      <w:r>
        <w:rPr>
          <w:rFonts w:ascii="Arial" w:cs="Arial" w:eastAsia="Arial" w:hAnsi="Arial"/>
          <w:sz w:val="17"/>
          <w:szCs w:val="17"/>
          <w:u w:val="single" w:color="auto"/>
          <w:color w:val="00C000"/>
        </w:rPr>
        <w:t>prior to, or immediately after giving effect, to such Restricted Payment</w:t>
      </w:r>
      <w:r>
        <w:rPr>
          <w:rFonts w:ascii="Arial" w:cs="Arial" w:eastAsia="Arial" w:hAnsi="Arial"/>
          <w:sz w:val="17"/>
          <w:szCs w:val="17"/>
          <w:b w:val="1"/>
          <w:bCs w:val="1"/>
          <w:u w:val="single" w:color="auto"/>
          <w:color w:val="0000FF"/>
        </w:rPr>
        <w:t>, prepayment on Indebtedness, Permitted Acquisition or other Permitted Investment, as applicable</w:t>
      </w:r>
      <w:r>
        <w:rPr>
          <w:rFonts w:ascii="Arial" w:cs="Arial" w:eastAsia="Arial" w:hAnsi="Arial"/>
          <w:sz w:val="17"/>
          <w:szCs w:val="17"/>
          <w:u w:val="single" w:color="auto"/>
          <w:color w:val="00C000"/>
        </w:rPr>
        <w:t>, or would result therefrom, and (</w:t>
      </w:r>
      <w:r>
        <w:rPr>
          <w:rFonts w:ascii="Arial" w:cs="Arial" w:eastAsia="Arial" w:hAnsi="Arial"/>
          <w:sz w:val="17"/>
          <w:szCs w:val="17"/>
          <w:b w:val="1"/>
          <w:bCs w:val="1"/>
          <w:u w:val="single" w:color="auto"/>
          <w:color w:val="0000FF"/>
        </w:rPr>
        <w:t xml:space="preserve">b) and there have been no Loans (for the avoidance of doubt Loans shall not include any Letters of Credit or any Unreimbursed Amounts) outstanding immediately </w:t>
      </w:r>
      <w:r>
        <w:rPr>
          <w:rFonts w:ascii="Arial" w:cs="Arial" w:eastAsia="Arial" w:hAnsi="Arial"/>
          <w:sz w:val="17"/>
          <w:szCs w:val="17"/>
          <w:u w:val="single" w:color="auto"/>
          <w:color w:val="00C000"/>
        </w:rPr>
        <w:t>prior, nor after giving pro forma effect to such</w:t>
      </w:r>
      <w:r>
        <w:rPr>
          <w:rFonts w:ascii="Arial" w:cs="Arial" w:eastAsia="Arial" w:hAnsi="Arial"/>
          <w:sz w:val="17"/>
          <w:szCs w:val="17"/>
          <w:b w:val="1"/>
          <w:bCs w:val="1"/>
          <w:u w:val="single" w:color="auto"/>
          <w:color w:val="0000FF"/>
        </w:rPr>
        <w:t xml:space="preserve"> </w:t>
      </w:r>
      <w:r>
        <w:rPr>
          <w:rFonts w:ascii="Arial" w:cs="Arial" w:eastAsia="Arial" w:hAnsi="Arial"/>
          <w:sz w:val="17"/>
          <w:szCs w:val="17"/>
          <w:u w:val="single" w:color="auto"/>
          <w:color w:val="00C000"/>
        </w:rPr>
        <w:t xml:space="preserve">Restricted Payment, </w:t>
      </w:r>
      <w:r>
        <w:rPr>
          <w:rFonts w:ascii="Arial" w:cs="Arial" w:eastAsia="Arial" w:hAnsi="Arial"/>
          <w:sz w:val="17"/>
          <w:szCs w:val="17"/>
          <w:b w:val="1"/>
          <w:bCs w:val="1"/>
          <w:u w:val="single" w:color="auto"/>
          <w:color w:val="0000FF"/>
        </w:rPr>
        <w:t>prepayment on Indebtedness, Permitted Acquisition or other Permitted Investment, as applicable,</w:t>
      </w:r>
      <w:r>
        <w:rPr>
          <w:rFonts w:ascii="Arial" w:cs="Arial" w:eastAsia="Arial" w:hAnsi="Arial"/>
          <w:sz w:val="17"/>
          <w:szCs w:val="17"/>
          <w:u w:val="single" w:color="auto"/>
          <w:color w:val="00C000"/>
        </w:rPr>
        <w:t xml:space="preserve"> nor are there projected to be any Loans outstanding for the thirty (30) days </w:t>
      </w:r>
      <w:r>
        <w:rPr>
          <w:rFonts w:ascii="Arial" w:cs="Arial" w:eastAsia="Arial" w:hAnsi="Arial"/>
          <w:sz w:val="17"/>
          <w:szCs w:val="17"/>
          <w:b w:val="1"/>
          <w:bCs w:val="1"/>
          <w:u w:val="single" w:color="auto"/>
          <w:color w:val="0000FF"/>
        </w:rPr>
        <w:t>immediately</w:t>
      </w:r>
      <w:r>
        <w:rPr>
          <w:rFonts w:ascii="Arial" w:cs="Arial" w:eastAsia="Arial" w:hAnsi="Arial"/>
          <w:sz w:val="17"/>
          <w:szCs w:val="17"/>
          <w:u w:val="single" w:color="auto"/>
          <w:color w:val="00C000"/>
        </w:rPr>
        <w:t xml:space="preserve"> subsequent to, the making of such Restricted Payment</w:t>
      </w:r>
      <w:r>
        <w:rPr>
          <w:rFonts w:ascii="Arial" w:cs="Arial" w:eastAsia="Arial" w:hAnsi="Arial"/>
          <w:sz w:val="17"/>
          <w:szCs w:val="17"/>
          <w:b w:val="1"/>
          <w:bCs w:val="1"/>
          <w:u w:val="single" w:color="auto"/>
          <w:color w:val="0000FF"/>
        </w:rPr>
        <w:t>, prepayment on Indebtedness,</w:t>
      </w:r>
      <w:r>
        <w:rPr>
          <w:rFonts w:ascii="Arial" w:cs="Arial" w:eastAsia="Arial" w:hAnsi="Arial"/>
          <w:sz w:val="17"/>
          <w:szCs w:val="17"/>
          <w:u w:val="single" w:color="auto"/>
          <w:color w:val="00C000"/>
        </w:rPr>
        <w:t xml:space="preserve"> </w:t>
      </w:r>
      <w:r>
        <w:rPr>
          <w:rFonts w:ascii="Arial" w:cs="Arial" w:eastAsia="Arial" w:hAnsi="Arial"/>
          <w:sz w:val="17"/>
          <w:szCs w:val="17"/>
          <w:b w:val="1"/>
          <w:bCs w:val="1"/>
          <w:u w:val="single" w:color="auto"/>
          <w:color w:val="0000FF"/>
        </w:rPr>
        <w:t>Permitted Acquisition or other Permitted Investment,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-727075</wp:posOffset>
            </wp:positionV>
            <wp:extent cx="285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-452755</wp:posOffset>
            </wp:positionV>
            <wp:extent cx="368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830" cy="8890"/>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-178435</wp:posOffset>
            </wp:positionV>
            <wp:extent cx="457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5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u w:val="single" w:color="auto"/>
          <w:color w:val="0000FF"/>
        </w:rPr>
        <w:t>“Unrestricted Subsidiary” means (i) any Subsidiary of the Borrower designated by the Board of Directors of the Borrower as an Unrestricted Subsidiary pursuant to Section 6.20 subsequent to the Third Amendment Effective Date and (ii) any Subsidiary of an Unrestricted Subsidiary.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Person” means any Person that is a “United States Person” as defined in Section 7701(a)(30) of the Code.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53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“Withholding Agent” means the Borrower and the Lender.</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1.02 Other Interpretive Provisions. </w:t>
      </w:r>
      <w:r>
        <w:rPr>
          <w:rFonts w:ascii="Arial" w:cs="Arial" w:eastAsia="Arial" w:hAnsi="Arial"/>
          <w:sz w:val="18"/>
          <w:szCs w:val="18"/>
          <w:color w:val="auto"/>
        </w:rPr>
        <w:t>With reference to this Agreement and each other Loan Document, unless otherwise specified herein or</w:t>
      </w:r>
      <w:r>
        <w:rPr>
          <w:rFonts w:ascii="Arial" w:cs="Arial" w:eastAsia="Arial" w:hAnsi="Arial"/>
          <w:sz w:val="18"/>
          <w:szCs w:val="18"/>
          <w:b w:val="1"/>
          <w:bCs w:val="1"/>
          <w:color w:val="auto"/>
        </w:rPr>
        <w:t xml:space="preserve"> </w:t>
      </w:r>
      <w:r>
        <w:rPr>
          <w:rFonts w:ascii="Arial" w:cs="Arial" w:eastAsia="Arial" w:hAnsi="Arial"/>
          <w:sz w:val="18"/>
          <w:szCs w:val="18"/>
          <w:color w:val="auto"/>
        </w:rPr>
        <w:t>in such other Loan Document:</w:t>
      </w:r>
    </w:p>
    <w:p>
      <w:pPr>
        <w:spacing w:after="0" w:line="166" w:lineRule="exact"/>
        <w:rPr>
          <w:sz w:val="20"/>
          <w:szCs w:val="20"/>
          <w:color w:val="auto"/>
        </w:rPr>
      </w:pPr>
    </w:p>
    <w:p>
      <w:pPr>
        <w:jc w:val="both"/>
        <w:ind w:left="660" w:firstLine="644"/>
        <w:spacing w:after="0" w:line="268" w:lineRule="auto"/>
        <w:tabs>
          <w:tab w:leader="none" w:pos="241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shall be deemed to be followed by the phrase “without limitation.” The word “</w:t>
      </w:r>
      <w:r>
        <w:rPr>
          <w:rFonts w:ascii="Arial" w:cs="Arial" w:eastAsia="Arial" w:hAnsi="Arial"/>
          <w:sz w:val="17"/>
          <w:szCs w:val="17"/>
          <w:u w:val="single" w:color="auto"/>
          <w:color w:val="auto"/>
        </w:rPr>
        <w:t>will</w:t>
      </w:r>
      <w:r>
        <w:rPr>
          <w:rFonts w:ascii="Arial" w:cs="Arial" w:eastAsia="Arial" w:hAnsi="Arial"/>
          <w:sz w:val="17"/>
          <w:szCs w:val="17"/>
          <w:color w:val="auto"/>
        </w:rPr>
        <w:t>”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restated, supplemented or otherwise modified (subject to any restrictions on such amendments, restatements, supplements or modifications set forth herein or in any other Loan Document), (ii) any reference herein to any Person shall be construed to include such Person’s successors and assigns, (iii) the words “</w:t>
      </w:r>
      <w:r>
        <w:rPr>
          <w:rFonts w:ascii="Arial" w:cs="Arial" w:eastAsia="Arial" w:hAnsi="Arial"/>
          <w:sz w:val="17"/>
          <w:szCs w:val="17"/>
          <w:u w:val="single" w:color="auto"/>
          <w:color w:val="auto"/>
        </w:rPr>
        <w:t>hereto</w:t>
      </w:r>
      <w:r>
        <w:rPr>
          <w:rFonts w:ascii="Arial" w:cs="Arial" w:eastAsia="Arial" w:hAnsi="Arial"/>
          <w:sz w:val="17"/>
          <w:szCs w:val="17"/>
          <w:color w:val="auto"/>
        </w:rPr>
        <w:t>”,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and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 and all tangible and intangible assets and properties, including cash, securities, accounts and contract rights.</w:t>
      </w:r>
    </w:p>
    <w:p>
      <w:pPr>
        <w:spacing w:after="0" w:line="181" w:lineRule="exact"/>
        <w:rPr>
          <w:rFonts w:ascii="Arial" w:cs="Arial" w:eastAsia="Arial" w:hAnsi="Arial"/>
          <w:sz w:val="17"/>
          <w:szCs w:val="17"/>
          <w:color w:val="auto"/>
        </w:rPr>
      </w:pPr>
    </w:p>
    <w:p>
      <w:pPr>
        <w:ind w:left="660" w:firstLine="644"/>
        <w:spacing w:after="0" w:line="277" w:lineRule="auto"/>
        <w:tabs>
          <w:tab w:leader="none" w:pos="24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firstLine="644"/>
        <w:spacing w:after="0" w:line="277" w:lineRule="auto"/>
        <w:tabs>
          <w:tab w:leader="none" w:pos="22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rFonts w:ascii="Arial" w:cs="Arial" w:eastAsia="Arial" w:hAnsi="Arial"/>
          <w:sz w:val="18"/>
          <w:szCs w:val="18"/>
          <w:color w:val="auto"/>
        </w:rPr>
      </w:pPr>
    </w:p>
    <w:p>
      <w:pPr>
        <w:jc w:val="both"/>
        <w:ind w:left="660" w:firstLine="644"/>
        <w:spacing w:after="0" w:line="290" w:lineRule="auto"/>
        <w:tabs>
          <w:tab w:leader="none" w:pos="2327"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reference herein or in any other Loan Document to the satisfaction, repayment, or payment in full of the Obligations shall mean the repayment in Dollars in full in cash or immediately available funds (or, in the case of contingent reimbursement obligations with respect to Letters of Credit and Bank Products (other than Swap Contracts), providing Cash Collateralization) of all of the Obligations (including the payment of any termination amount then applicable (or which would or could become applicable as a result of the repayment of the other Obligations) under Swap Contracts) other than (i) unasserted contingent indemnification Obligations, (ii) any Obligations relating to Bank Products (including Swap Contracts) that, at such time, are allowed by the applicable Bank Product provider to remain outstanding without being required to be repaid or Cash Collateralized, and (iii) any Obligations relating to Cash Management Services that, at such time, are allowed by the applicable provider of such Cash Management Services to remain outstanding without being required to be repaid.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54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660" w:firstLine="644"/>
        <w:spacing w:after="0" w:line="255" w:lineRule="auto"/>
        <w:tabs>
          <w:tab w:leader="none" w:pos="24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Accounting Terms</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72" w:lineRule="auto"/>
        <w:tabs>
          <w:tab w:leader="none" w:pos="226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leases that would be treated as operating leases for purposes of [</w:t>
      </w:r>
      <w:r>
        <w:rPr>
          <w:rFonts w:ascii="Arial" w:cs="Arial" w:eastAsia="Arial" w:hAnsi="Arial"/>
          <w:sz w:val="17"/>
          <w:szCs w:val="17"/>
          <w:color w:val="FF0000"/>
          <w:strike w:val="1"/>
        </w:rPr>
        <w:t>GAAPon</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GAAP on</w:t>
      </w:r>
      <w:r>
        <w:rPr>
          <w:rFonts w:ascii="Arial" w:cs="Arial" w:eastAsia="Arial" w:hAnsi="Arial"/>
          <w:sz w:val="17"/>
          <w:szCs w:val="17"/>
          <w:color w:val="auto"/>
        </w:rPr>
        <w:t xml:space="preserve"> the Closing Date shall continue to be accounted for as operating leases for purposes of all financial definitions and calculations hereunder regardless of any change to GAAP following the Closing Date that would otherwise require such leases to be treated as Capital Lease Obligations or the equivalent thereof.</w:t>
      </w:r>
    </w:p>
    <w:p>
      <w:pPr>
        <w:spacing w:after="0" w:line="177" w:lineRule="exact"/>
        <w:rPr>
          <w:rFonts w:ascii="Arial" w:cs="Arial" w:eastAsia="Arial" w:hAnsi="Arial"/>
          <w:sz w:val="17"/>
          <w:szCs w:val="17"/>
          <w:color w:val="auto"/>
        </w:rPr>
      </w:pPr>
    </w:p>
    <w:p>
      <w:pPr>
        <w:jc w:val="both"/>
        <w:ind w:left="660" w:firstLine="644"/>
        <w:spacing w:after="0" w:line="293" w:lineRule="auto"/>
        <w:tabs>
          <w:tab w:leader="none" w:pos="2192"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Changes in GAAP</w:t>
      </w:r>
      <w:r>
        <w:rPr>
          <w:rFonts w:ascii="Arial" w:cs="Arial" w:eastAsia="Arial" w:hAnsi="Arial"/>
          <w:sz w:val="16"/>
          <w:szCs w:val="16"/>
          <w:color w:val="auto"/>
        </w:rPr>
        <w:t xml:space="preserve">. If at any time any change in GAAP would affect the computation of any financial ratio or requirement set forth in any Loan Document, and either the Borrower or the Lender shall so request, the Lender and the Borrower shall negotiate in good faith to amend such ratio or requirement to preserve the original intent thereof in light of such change in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so amended, (i) such ratio or requirement shall continue to be computed in accordance with GAAP prior to such change therein and (ii) the Borrower shall provide to the Lender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1.04 Rounding. </w:t>
      </w:r>
      <w:r>
        <w:rPr>
          <w:rFonts w:ascii="Arial" w:cs="Arial" w:eastAsia="Arial" w:hAnsi="Arial"/>
          <w:sz w:val="18"/>
          <w:szCs w:val="18"/>
          <w:color w:val="auto"/>
        </w:rPr>
        <w:t>Any financial ratios required to be maintained by the Loan Parties pursuant to this Agreement shall be calculated by</w:t>
      </w:r>
      <w:r>
        <w:rPr>
          <w:rFonts w:ascii="Arial" w:cs="Arial" w:eastAsia="Arial" w:hAnsi="Arial"/>
          <w:sz w:val="18"/>
          <w:szCs w:val="18"/>
          <w:b w:val="1"/>
          <w:bCs w:val="1"/>
          <w:color w:val="auto"/>
        </w:rPr>
        <w:t xml:space="preserve"> </w:t>
      </w:r>
      <w:r>
        <w:rPr>
          <w:rFonts w:ascii="Arial" w:cs="Arial" w:eastAsia="Arial" w:hAnsi="Arial"/>
          <w:sz w:val="18"/>
          <w:szCs w:val="18"/>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55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1.05 Times of Day. </w:t>
      </w:r>
      <w:r>
        <w:rPr>
          <w:rFonts w:ascii="Arial" w:cs="Arial" w:eastAsia="Arial" w:hAnsi="Arial"/>
          <w:sz w:val="18"/>
          <w:szCs w:val="18"/>
          <w:color w:val="auto"/>
        </w:rPr>
        <w:t>Unless otherwise specified, all references herein to times of day shall be references to Eastern time (daylight or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1.06 Letter of Credit Amounts. </w:t>
      </w:r>
      <w:r>
        <w:rPr>
          <w:rFonts w:ascii="Arial" w:cs="Arial" w:eastAsia="Arial" w:hAnsi="Arial"/>
          <w:sz w:val="18"/>
          <w:szCs w:val="18"/>
          <w:color w:val="auto"/>
        </w:rPr>
        <w:t>Unless otherwise specified, all references herein to the amount of a Letter of Credit at any time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the Stated Amount of such Letter of Credit in effect at such time; provided, however, that with respect to any Letter of Credit that, by its terms of any Issuer Documents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1.07 Currency Equivalents Generally. </w:t>
      </w:r>
      <w:r>
        <w:rPr>
          <w:rFonts w:ascii="Arial" w:cs="Arial" w:eastAsia="Arial" w:hAnsi="Arial"/>
          <w:sz w:val="18"/>
          <w:szCs w:val="18"/>
          <w:color w:val="auto"/>
        </w:rPr>
        <w:t>Any amount specified in this Agreement (other than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Articles II</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or any of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Documents to be in Dollars shall also include the equivalent of such amount in any currency other than Dollars, such equivalent amount thereof in the applicable currency to be determined by the Lender at such time on the basis of the Spot Rate (as defined below) for the purchase of such currency with Dollars. For purposes of this </w:t>
      </w:r>
      <w:r>
        <w:rPr>
          <w:rFonts w:ascii="Arial" w:cs="Arial" w:eastAsia="Arial" w:hAnsi="Arial"/>
          <w:sz w:val="18"/>
          <w:szCs w:val="18"/>
          <w:u w:val="single" w:color="auto"/>
          <w:color w:val="auto"/>
        </w:rPr>
        <w:t>Section 1.07</w:t>
      </w:r>
      <w:r>
        <w:rPr>
          <w:rFonts w:ascii="Arial" w:cs="Arial" w:eastAsia="Arial" w:hAnsi="Arial"/>
          <w:sz w:val="18"/>
          <w:szCs w:val="18"/>
          <w:color w:val="auto"/>
        </w:rPr>
        <w:t>, the “</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Lender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Lender may obtain such spot rate from another financial institution designated by the Lender if the Person acting in such capacity does not have as of the date of determination a spot buying rate for any such currency.</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1.08 Interest Rates</w:t>
      </w:r>
      <w:r>
        <w:rPr>
          <w:rFonts w:ascii="Arial" w:cs="Arial" w:eastAsia="Arial" w:hAnsi="Arial"/>
          <w:sz w:val="18"/>
          <w:szCs w:val="18"/>
          <w:color w:val="auto"/>
        </w:rPr>
        <w:t>. The Lender does not warrant, nor accept responsibility, nor shall the Lender have any liability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submission or any other matter related to the rates in the definition of “Eurodollar Rate” or with respect to any rate that is an alternative or replacement for or successor to any of such rate (including, without limitation, any LIBOR Successor Rate) or the effect of any of the foregoing, or of any LIBOR Successor Rate Conforming Changes.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COMMITMENTS AND CREDIT EXTENSIONS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2.01 Committed Loans; Reserves. </w:t>
      </w:r>
      <w:r>
        <w:rPr>
          <w:rFonts w:ascii="Arial" w:cs="Arial" w:eastAsia="Arial" w:hAnsi="Arial"/>
          <w:sz w:val="18"/>
          <w:szCs w:val="18"/>
          <w:color w:val="auto"/>
        </w:rPr>
        <w:t>Subject to the terms and conditions set forth herein, the Lender agrees to make loans (each such loan,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Committed Loan</w:t>
      </w:r>
      <w:r>
        <w:rPr>
          <w:rFonts w:ascii="Arial" w:cs="Arial" w:eastAsia="Arial" w:hAnsi="Arial"/>
          <w:sz w:val="18"/>
          <w:szCs w:val="18"/>
          <w:color w:val="auto"/>
        </w:rPr>
        <w:t>”) to the Borrower from time to time, on any Business Day during the Availability Period, in an aggregate amount not to exceed at any time outstanding the amount of the Lender’s Commitment; subject in each case to the following limitations:</w:t>
      </w:r>
    </w:p>
    <w:p>
      <w:pPr>
        <w:spacing w:after="0" w:line="180" w:lineRule="exact"/>
        <w:rPr>
          <w:sz w:val="20"/>
          <w:szCs w:val="20"/>
          <w:color w:val="auto"/>
        </w:rPr>
      </w:pPr>
    </w:p>
    <w:p>
      <w:pPr>
        <w:ind w:left="2180" w:hanging="876"/>
        <w:spacing w:after="0"/>
        <w:tabs>
          <w:tab w:leader="none" w:pos="2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after giving effect to any Committed Borrowing, the Total Outstandings shall not exceed the Loan Cap,</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2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after giving effect to any Committed Borrowing, the aggregate Outstanding Amount of the Committed Loans of the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Amount of all L/C Obligations shall not exceed the Commitment, and</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Outstanding Amount of all L/C Obligations shall not at any time exceed the Letter of Credit Sublimit.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56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Within the limits of the Commitment, and subject to the other terms and conditions hereof, the Borrower may 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prepay under Section 2.04, and reborrow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6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Committed Borrowings, Conversions and Continuations of Committed Loans</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63" w:lineRule="auto"/>
        <w:tabs>
          <w:tab w:leader="none" w:pos="22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Committed Loans shall be either Base Rate Loans or Eurodollar Rate Loans as the Borrower may request subject to and in accordance with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Subject to the other provisions of this </w:t>
      </w:r>
      <w:r>
        <w:rPr>
          <w:rFonts w:ascii="Arial" w:cs="Arial" w:eastAsia="Arial" w:hAnsi="Arial"/>
          <w:sz w:val="18"/>
          <w:szCs w:val="18"/>
          <w:u w:val="single" w:color="auto"/>
          <w:color w:val="auto"/>
        </w:rPr>
        <w:t>Section 2.02</w:t>
      </w:r>
      <w:r>
        <w:rPr>
          <w:rFonts w:ascii="Arial" w:cs="Arial" w:eastAsia="Arial" w:hAnsi="Arial"/>
          <w:sz w:val="18"/>
          <w:szCs w:val="18"/>
          <w:color w:val="auto"/>
        </w:rPr>
        <w:t>, Committed Borrowings of more than one Type may be incurred at the same time.</w:t>
      </w:r>
    </w:p>
    <w:p>
      <w:pPr>
        <w:spacing w:after="0" w:line="183" w:lineRule="exact"/>
        <w:rPr>
          <w:rFonts w:ascii="Arial" w:cs="Arial" w:eastAsia="Arial" w:hAnsi="Arial"/>
          <w:sz w:val="18"/>
          <w:szCs w:val="18"/>
          <w:color w:val="auto"/>
        </w:rPr>
      </w:pPr>
    </w:p>
    <w:p>
      <w:pPr>
        <w:jc w:val="both"/>
        <w:ind w:left="660" w:firstLine="644"/>
        <w:spacing w:after="0" w:line="282" w:lineRule="auto"/>
        <w:tabs>
          <w:tab w:leader="none" w:pos="2354"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Each Committed Borrowing, each Conversion of Committed Loans from one Type to the other, and each continuation of Eurodollar Rate Loans shall be made upon the Borrower’s irrevocable notice to the Lender, which may be given by telephone. Each such notice must be received by the Lender not later than 11:00 a.m. (i) three (3) Business Days prior to the requested date of any Committed Borrowing of, Conversion to or continuation of Eurodollar Rate Loans or of any Conversion of Eurodollar Rate Loans to Base Rate Loans, and (ii) one Business Day prior to the requested date of any Committed Borrowing of Base Rate Loans. Each telephonic notice by the Borrower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2.02(b)</w:t>
      </w:r>
      <w:r>
        <w:rPr>
          <w:rFonts w:ascii="Arial" w:cs="Arial" w:eastAsia="Arial" w:hAnsi="Arial"/>
          <w:sz w:val="16"/>
          <w:szCs w:val="16"/>
          <w:color w:val="auto"/>
        </w:rPr>
        <w:t xml:space="preserve"> must be confirmed promptly by delivery to the Lender of a written Committed Loan Notice, appropriately completed and signed by a Responsible Officer of the Borrower. Each Committed Borrowing of, Conversion to or continuation of Eurodollar Rate Loans shall be in a principal amount of $1,000,000 or a whole multiple of $1,000,000 in excess thereof. Except as provided in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each Committed Borrowing of or Conversion to Base Rate Loans shall be in such minimum amounts as the Lender may require. Each Committed Loan Notice (whether telephonic or written) shall specify (i) whether the Borrower is requesting a Committed Borrowing, a Conversion of Committed Loans from one Type to the other, or a continuation of Eurodollar Rate Loans, (ii) the requested date of the Committed Borrowing, Conversion or continuation, as the case may be (which shall be a Business Day), (iii) the principal amount of Committed Loans to be borrowed, Converted or continued, (iv) the Type of Committed Loans to be borrowed or to which existing Committed Loans are to be Converted, and (v) if applicable, the duration of the Interest Period with respect thereto. If the Borrower fails to specify a Type of Committed Loan in a Committed Loan Notice or if the Borrower fails to give a timely notice requesting a Conversion or continuation, then the applicable Committed Loans shall be made as, or Converted to, Base Rate Loans. Any such automatic Conversion to Base Rate Loans shall be effective as of the last day of the Interest Period then in effect with respect to the applicable Eurodollar Rate Loans. If the Borrower requests a Committed Borrowing of, Conversion to, or continuation of Eurodollar Rate Loans in any such Committed Loan Notice, but fails to specify an Interest Period, it will be deemed to have specified an Interest Period of one (1) month.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Committed Borrowing is on</w:t>
      </w:r>
    </w:p>
    <w:p>
      <w:pPr>
        <w:spacing w:after="0" w:line="1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 xml:space="preserve">the Closing Date,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Lender shall use reasonable efforts to make all funds available to the Borrower no later than 4:00 p.m. either by (i) crediting the account of the Borrower on the books of Bank of America with the amount of such funds or (ii) wire transfer of such funds, in each case in accordance with instructions provided to (and reasonably acceptable to) the Lender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the Committed Loan Notice with respect to such Committed Borrowing is given by the Borrower, there are L/C Borrowings outstanding, then the proceeds of such Committed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Borrower as provided above.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57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4"/>
        <w:spacing w:after="0" w:line="254" w:lineRule="auto"/>
        <w:tabs>
          <w:tab w:leader="none" w:pos="15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Lender, without the request of the Borrower, may advance any interest, fees, service charge (including direct wire fees), and if an Event of Default is then continuing, expenses or other payment to which any Credit Party is entitled from the Loan Parties pursuant hereto or any other Loan Document, and may charge the same to the Loan Account notwithstanding that an Overadvance may result thereby. The Lender shall advise the Borrower of any such advance or charge promptly after the making thereof. Such action on the part of the Lender shall not constitute a waiver of the Lender’s rights and the Borrower’s obligations under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Any amount which is added to the principal balance of the Loan Account as provided in this </w:t>
      </w:r>
      <w:r>
        <w:rPr>
          <w:rFonts w:ascii="Arial" w:cs="Arial" w:eastAsia="Arial" w:hAnsi="Arial"/>
          <w:sz w:val="18"/>
          <w:szCs w:val="18"/>
          <w:u w:val="single" w:color="auto"/>
          <w:color w:val="auto"/>
        </w:rPr>
        <w:t>Section 2.02(c)</w:t>
      </w:r>
      <w:r>
        <w:rPr>
          <w:rFonts w:ascii="Arial" w:cs="Arial" w:eastAsia="Arial" w:hAnsi="Arial"/>
          <w:sz w:val="18"/>
          <w:szCs w:val="18"/>
          <w:color w:val="auto"/>
        </w:rPr>
        <w:t xml:space="preserve"> shall bear interest at the interest rate then and thereafter applicable to Base Rate Loans.</w:t>
      </w:r>
    </w:p>
    <w:p>
      <w:pPr>
        <w:spacing w:after="0" w:line="194" w:lineRule="exact"/>
        <w:rPr>
          <w:rFonts w:ascii="Arial" w:cs="Arial" w:eastAsia="Arial" w:hAnsi="Arial"/>
          <w:sz w:val="18"/>
          <w:szCs w:val="18"/>
          <w:color w:val="auto"/>
        </w:rPr>
      </w:pPr>
    </w:p>
    <w:p>
      <w:pPr>
        <w:jc w:val="both"/>
        <w:ind w:right="20" w:firstLine="644"/>
        <w:spacing w:after="0" w:line="263" w:lineRule="auto"/>
        <w:tabs>
          <w:tab w:leader="none" w:pos="17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or an Event of Default, no Loans may be requested as, Converted to or continued as Eurodollar Rate Loans without the consent of the Lender.</w:t>
      </w:r>
    </w:p>
    <w:p>
      <w:pPr>
        <w:spacing w:after="0" w:line="183" w:lineRule="exact"/>
        <w:rPr>
          <w:rFonts w:ascii="Arial" w:cs="Arial" w:eastAsia="Arial" w:hAnsi="Arial"/>
          <w:sz w:val="18"/>
          <w:szCs w:val="18"/>
          <w:color w:val="auto"/>
        </w:rPr>
      </w:pPr>
    </w:p>
    <w:p>
      <w:pPr>
        <w:jc w:val="both"/>
        <w:ind w:firstLine="644"/>
        <w:spacing w:after="0" w:line="286" w:lineRule="auto"/>
        <w:tabs>
          <w:tab w:leader="none" w:pos="152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Lender shall promptly notify the Borrower of the interest rate applicable to any Interest Period for Eurodollar Rate Loans upon determination of such interest rate. At any time that Base Rate Loans are outstanding, the Lender shall notify the Borrower of any change in Bank of America’s prime rate used in determining the Base Rate promptly following the public announcement of such change.</w:t>
      </w:r>
    </w:p>
    <w:p>
      <w:pPr>
        <w:spacing w:after="0" w:line="165" w:lineRule="exact"/>
        <w:rPr>
          <w:rFonts w:ascii="Arial" w:cs="Arial" w:eastAsia="Arial" w:hAnsi="Arial"/>
          <w:sz w:val="17"/>
          <w:szCs w:val="17"/>
          <w:color w:val="auto"/>
        </w:rPr>
      </w:pPr>
    </w:p>
    <w:p>
      <w:pPr>
        <w:jc w:val="both"/>
        <w:ind w:firstLine="644"/>
        <w:spacing w:after="0" w:line="263" w:lineRule="auto"/>
        <w:tabs>
          <w:tab w:leader="none" w:pos="1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After giving effect to all Committed Borrowings, all Conversions of Committed Loans from one Type to the other, and all continuations of Committed Loans as the same Type, there shall not, at any time, be more than five (5) Interest Periods in effect with respect to Committed Loans.</w:t>
      </w:r>
    </w:p>
    <w:p>
      <w:pPr>
        <w:spacing w:after="0" w:line="183" w:lineRule="exact"/>
        <w:rPr>
          <w:rFonts w:ascii="Arial" w:cs="Arial" w:eastAsia="Arial" w:hAnsi="Arial"/>
          <w:sz w:val="18"/>
          <w:szCs w:val="18"/>
          <w:color w:val="auto"/>
        </w:rPr>
      </w:pPr>
    </w:p>
    <w:p>
      <w:pPr>
        <w:jc w:val="both"/>
        <w:ind w:firstLine="644"/>
        <w:spacing w:after="0" w:line="255" w:lineRule="auto"/>
        <w:tabs>
          <w:tab w:leader="none" w:pos="1897"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Lender and the L/C Issuer shall have no obligation to make any Loan or to provide any Letter of Credit if an Overadvance would result. The Lender may, in its discretion, make Overadvances without the consent of the Borrower and the L/C Issuer and the Borrower and the L/C Issuer shall be bound thereby. An Overadvance is for the account of the Borrower and shall constitute a Base Rate Loan and an Obligation and shall be repaid by the Borrower in accordance with the provisions of </w:t>
      </w:r>
      <w:r>
        <w:rPr>
          <w:rFonts w:ascii="Arial" w:cs="Arial" w:eastAsia="Arial" w:hAnsi="Arial"/>
          <w:sz w:val="18"/>
          <w:szCs w:val="18"/>
          <w:u w:val="single" w:color="auto"/>
          <w:color w:val="auto"/>
        </w:rPr>
        <w:t>Section 2.04(b)</w:t>
      </w:r>
      <w:r>
        <w:rPr>
          <w:rFonts w:ascii="Arial" w:cs="Arial" w:eastAsia="Arial" w:hAnsi="Arial"/>
          <w:sz w:val="18"/>
          <w:szCs w:val="18"/>
          <w:color w:val="auto"/>
        </w:rPr>
        <w:t>. The making of any such Overadvance on any one occasion shall not obligate the Lender to make or permit any Overadvance on any other occasion or to permit such Overadvances to remain outstanding.</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58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8" w:name="page79"/>
    <w:bookmarkEnd w:id="78"/>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Letters of Credit</w:t>
      </w:r>
    </w:p>
    <w:p>
      <w:pPr>
        <w:spacing w:after="0" w:line="229" w:lineRule="exact"/>
        <w:rPr>
          <w:sz w:val="20"/>
          <w:szCs w:val="20"/>
          <w:color w:val="auto"/>
        </w:rPr>
      </w:pPr>
    </w:p>
    <w:p>
      <w:pPr>
        <w:ind w:left="1520" w:hanging="876"/>
        <w:spacing w:after="0"/>
        <w:tabs>
          <w:tab w:leader="none" w:pos="1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Letter of Credit Commitment.</w:t>
      </w:r>
    </w:p>
    <w:p>
      <w:pPr>
        <w:spacing w:after="0" w:line="225" w:lineRule="exact"/>
        <w:rPr>
          <w:rFonts w:ascii="Arial" w:cs="Arial" w:eastAsia="Arial" w:hAnsi="Arial"/>
          <w:sz w:val="18"/>
          <w:szCs w:val="18"/>
          <w:color w:val="auto"/>
        </w:rPr>
      </w:pPr>
    </w:p>
    <w:p>
      <w:pPr>
        <w:jc w:val="both"/>
        <w:ind w:left="640" w:firstLine="652"/>
        <w:spacing w:after="0" w:line="253" w:lineRule="auto"/>
        <w:tabs>
          <w:tab w:leader="none" w:pos="2344"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the L/C Issuer agrees (1) from time to time on any Business Day during the period from the Closing Date until the Letter of Credit Expiration Date, to issue Letters of Credit for the account of the Borrower and the other Loan Parties or their respective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and to amend or extend Letters of Credit previously issued by it, in accordance with Section 2.03(b) below, and (2) to honor drawings under the Letters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L/C Credit Extension with respect to any Letter of Credit, (x) the Total Outstandings shall not exceed the Loan Cap and (y)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91" w:lineRule="exact"/>
        <w:rPr>
          <w:rFonts w:ascii="Arial" w:cs="Arial" w:eastAsia="Arial" w:hAnsi="Arial"/>
          <w:sz w:val="18"/>
          <w:szCs w:val="18"/>
          <w:color w:val="auto"/>
        </w:rPr>
      </w:pPr>
    </w:p>
    <w:p>
      <w:pPr>
        <w:ind w:left="2140" w:hanging="848"/>
        <w:spacing w:after="0"/>
        <w:tabs>
          <w:tab w:leader="none" w:pos="2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225" w:lineRule="exact"/>
        <w:rPr>
          <w:sz w:val="20"/>
          <w:szCs w:val="20"/>
          <w:color w:val="auto"/>
        </w:rPr>
      </w:pPr>
    </w:p>
    <w:p>
      <w:pPr>
        <w:ind w:left="640" w:right="20" w:firstLine="652"/>
        <w:spacing w:after="0" w:line="277" w:lineRule="auto"/>
        <w:tabs>
          <w:tab w:leader="none" w:pos="2271"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Standby Letter of Credit would occur more than twelve (12) months after the date of issuance or last extension; or</w:t>
      </w:r>
    </w:p>
    <w:p>
      <w:pPr>
        <w:spacing w:after="0" w:line="170" w:lineRule="exact"/>
        <w:rPr>
          <w:rFonts w:ascii="Arial" w:cs="Arial" w:eastAsia="Arial" w:hAnsi="Arial"/>
          <w:sz w:val="18"/>
          <w:szCs w:val="18"/>
          <w:color w:val="auto"/>
        </w:rPr>
      </w:pPr>
    </w:p>
    <w:p>
      <w:pPr>
        <w:ind w:left="640" w:firstLine="652"/>
        <w:spacing w:after="0" w:line="277" w:lineRule="auto"/>
        <w:tabs>
          <w:tab w:leader="none" w:pos="23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expiry date of such requested Commercial Letter of Credit would occur more than one hundred twenty (120) days after the date of issuance; or</w:t>
      </w:r>
    </w:p>
    <w:p>
      <w:pPr>
        <w:spacing w:after="0" w:line="170" w:lineRule="exact"/>
        <w:rPr>
          <w:rFonts w:ascii="Arial" w:cs="Arial" w:eastAsia="Arial" w:hAnsi="Arial"/>
          <w:sz w:val="18"/>
          <w:szCs w:val="18"/>
          <w:color w:val="auto"/>
        </w:rPr>
      </w:pPr>
    </w:p>
    <w:p>
      <w:pPr>
        <w:jc w:val="both"/>
        <w:ind w:left="640" w:firstLine="652"/>
        <w:spacing w:after="0" w:line="263" w:lineRule="auto"/>
        <w:tabs>
          <w:tab w:leader="none" w:pos="217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such Letter of Credit is Cash Collateralized on or prior to the date of issuance of such Letter of Credit (or such later date as the Lender may agree); or</w:t>
      </w:r>
    </w:p>
    <w:p>
      <w:pPr>
        <w:spacing w:after="0" w:line="183" w:lineRule="exact"/>
        <w:rPr>
          <w:rFonts w:ascii="Arial" w:cs="Arial" w:eastAsia="Arial" w:hAnsi="Arial"/>
          <w:sz w:val="18"/>
          <w:szCs w:val="18"/>
          <w:color w:val="auto"/>
        </w:rPr>
      </w:pPr>
    </w:p>
    <w:p>
      <w:pPr>
        <w:ind w:left="2120" w:hanging="828"/>
        <w:spacing w:after="0"/>
        <w:tabs>
          <w:tab w:leader="none" w:pos="2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order, judgment or decree of any Governmental</w:t>
      </w:r>
    </w:p>
    <w:p>
      <w:pPr>
        <w:spacing w:after="0" w:line="225" w:lineRule="exact"/>
        <w:rPr>
          <w:rFonts w:ascii="Arial" w:cs="Arial" w:eastAsia="Arial" w:hAnsi="Arial"/>
          <w:sz w:val="18"/>
          <w:szCs w:val="18"/>
          <w:color w:val="auto"/>
        </w:rPr>
      </w:pPr>
    </w:p>
    <w:p>
      <w:pPr>
        <w:jc w:val="both"/>
        <w:ind w:left="640" w:firstLine="652"/>
        <w:spacing w:after="0" w:line="254" w:lineRule="auto"/>
        <w:tabs>
          <w:tab w:leader="none" w:pos="23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 or</w:t>
      </w:r>
    </w:p>
    <w:p>
      <w:pPr>
        <w:spacing w:after="0" w:line="19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59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9" w:name="page80"/>
    <w:bookmarkEnd w:id="79"/>
    <w:p>
      <w:pPr>
        <w:jc w:val="center"/>
        <w:ind w:right="1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1840" w:hanging="1008"/>
        <w:spacing w:after="0"/>
        <w:tabs>
          <w:tab w:leader="none" w:pos="18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the L/C Issuer applicable to letters of</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credit generally; or</w:t>
      </w:r>
    </w:p>
    <w:p>
      <w:pPr>
        <w:spacing w:after="0" w:line="210" w:lineRule="exact"/>
        <w:rPr>
          <w:rFonts w:ascii="Arial" w:cs="Arial" w:eastAsia="Arial" w:hAnsi="Arial"/>
          <w:sz w:val="16"/>
          <w:szCs w:val="16"/>
          <w:color w:val="auto"/>
        </w:rPr>
      </w:pPr>
    </w:p>
    <w:p>
      <w:pPr>
        <w:ind w:left="1660" w:hanging="828"/>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 or</w:t>
      </w:r>
    </w:p>
    <w:p>
      <w:pPr>
        <w:spacing w:after="0" w:line="225" w:lineRule="exact"/>
        <w:rPr>
          <w:rFonts w:ascii="Arial" w:cs="Arial" w:eastAsia="Arial" w:hAnsi="Arial"/>
          <w:sz w:val="18"/>
          <w:szCs w:val="18"/>
          <w:color w:val="auto"/>
        </w:rPr>
      </w:pPr>
    </w:p>
    <w:p>
      <w:pPr>
        <w:ind w:left="1780" w:hanging="948"/>
        <w:spacing w:after="0"/>
        <w:tabs>
          <w:tab w:leader="none" w:pos="1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such Letter of Credit contains any provisions for automatic reinstatement of the Stated Amount after any drawing</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11" w:lineRule="exact"/>
        <w:rPr>
          <w:sz w:val="20"/>
          <w:szCs w:val="20"/>
          <w:color w:val="auto"/>
        </w:rPr>
      </w:pPr>
    </w:p>
    <w:p>
      <w:pPr>
        <w:jc w:val="both"/>
        <w:ind w:left="180" w:firstLine="652"/>
        <w:spacing w:after="0" w:line="263" w:lineRule="auto"/>
        <w:tabs>
          <w:tab w:leader="none" w:pos="173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such Letter of Credit in its amended form under the terms hereof or if the beneficiary of such Letter of Credit does not accept the proposed amendment to such Letter of Credit.</w:t>
      </w:r>
    </w:p>
    <w:p>
      <w:pPr>
        <w:spacing w:after="0" w:line="183" w:lineRule="exact"/>
        <w:rPr>
          <w:rFonts w:ascii="Arial" w:cs="Arial" w:eastAsia="Arial" w:hAnsi="Arial"/>
          <w:sz w:val="18"/>
          <w:szCs w:val="18"/>
          <w:color w:val="auto"/>
        </w:rPr>
      </w:pPr>
    </w:p>
    <w:p>
      <w:pPr>
        <w:ind w:left="1060" w:hanging="87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Procedures for Issuance and Amendment of Letters of Credit; Auto-Extension Letters of Credit.</w:t>
      </w:r>
    </w:p>
    <w:p>
      <w:pPr>
        <w:spacing w:after="0" w:line="225" w:lineRule="exact"/>
        <w:rPr>
          <w:rFonts w:ascii="Arial" w:cs="Arial" w:eastAsia="Arial" w:hAnsi="Arial"/>
          <w:sz w:val="18"/>
          <w:szCs w:val="18"/>
          <w:color w:val="auto"/>
        </w:rPr>
      </w:pPr>
    </w:p>
    <w:p>
      <w:pPr>
        <w:jc w:val="both"/>
        <w:ind w:left="180" w:firstLine="652"/>
        <w:spacing w:after="0" w:line="268" w:lineRule="auto"/>
        <w:tabs>
          <w:tab w:leader="none" w:pos="1776" w:val="left"/>
        </w:tabs>
        <w:numPr>
          <w:ilvl w:val="1"/>
          <w:numId w:val="61"/>
        </w:numPr>
        <w:rPr>
          <w:rFonts w:ascii="Arial" w:cs="Arial" w:eastAsia="Arial" w:hAnsi="Arial"/>
          <w:sz w:val="17"/>
          <w:szCs w:val="17"/>
          <w:color w:val="auto"/>
        </w:rPr>
      </w:pPr>
      <w:r>
        <w:rPr>
          <w:rFonts w:ascii="Arial" w:cs="Arial" w:eastAsia="Arial" w:hAnsi="Arial"/>
          <w:sz w:val="17"/>
          <w:szCs w:val="17"/>
          <w:color w:val="auto"/>
        </w:rPr>
        <w:t>Each Letter of Credit shall be issued or amended, as the case may be, upon the request of the Borrower delivered to the L/C Issuer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not later than 11:00 a.m. at least two (2) Business Days (or such other date and time as the L/C Issuer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Borrower shall furnish to the L/C Issuer such other documents and information pertaining to such requested Letter of Credit issuance or amendment, including any Issuer Documents, as the L/C Issuer may require.</w:t>
      </w:r>
    </w:p>
    <w:p>
      <w:pPr>
        <w:spacing w:after="0" w:line="1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60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0" w:name="page81"/>
    <w:bookmarkEnd w:id="80"/>
    <w:p>
      <w:pPr>
        <w:spacing w:after="0" w:line="11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180" w:firstLine="652"/>
        <w:spacing w:after="0" w:line="275" w:lineRule="auto"/>
        <w:tabs>
          <w:tab w:leader="none" w:pos="1718"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Unless one or more applicable conditions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not then be satisfied or unless the L/C Issuer would not be permitted, or would have no obligation, at such time to issue such Letter of Credit under the terms hereof (by reason of the provisions of </w:t>
      </w:r>
      <w:r>
        <w:rPr>
          <w:rFonts w:ascii="Arial" w:cs="Arial" w:eastAsia="Arial" w:hAnsi="Arial"/>
          <w:sz w:val="17"/>
          <w:szCs w:val="17"/>
          <w:u w:val="single" w:color="auto"/>
          <w:color w:val="auto"/>
        </w:rPr>
        <w:t>Section 2.03(a)(ii)</w:t>
      </w:r>
      <w:r>
        <w:rPr>
          <w:rFonts w:ascii="Arial" w:cs="Arial" w:eastAsia="Arial" w:hAnsi="Arial"/>
          <w:sz w:val="17"/>
          <w:szCs w:val="17"/>
          <w:color w:val="auto"/>
        </w:rPr>
        <w:t xml:space="preserve"> or otherwise), then, subject to the terms and conditions hereof, the L/C Issuer shall, on the requested date, issue a Letter of Credit for the account of the applicable Borrower or enter into the applicable amendment, as the case may be, in each case in accordance with the L/C Issuer’s usual and customary business practices.</w:t>
      </w:r>
    </w:p>
    <w:p>
      <w:pPr>
        <w:spacing w:after="0" w:line="176" w:lineRule="exact"/>
        <w:rPr>
          <w:rFonts w:ascii="Arial" w:cs="Arial" w:eastAsia="Arial" w:hAnsi="Arial"/>
          <w:sz w:val="17"/>
          <w:szCs w:val="17"/>
          <w:color w:val="auto"/>
        </w:rPr>
      </w:pPr>
    </w:p>
    <w:p>
      <w:pPr>
        <w:jc w:val="both"/>
        <w:ind w:left="180" w:firstLine="652"/>
        <w:spacing w:after="0" w:line="269" w:lineRule="auto"/>
        <w:tabs>
          <w:tab w:leader="none" w:pos="1638"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the Borrower so requests in any applicable Letter of Credit Application, the L/C Issuer may, in its sole and absolute discretion, agree to issue a Standby Letter of Credit that has automatic extension provisions (each, an “</w:t>
      </w:r>
      <w:r>
        <w:rPr>
          <w:rFonts w:ascii="Arial" w:cs="Arial" w:eastAsia="Arial" w:hAnsi="Arial"/>
          <w:sz w:val="17"/>
          <w:szCs w:val="17"/>
          <w:u w:val="single" w:color="auto"/>
          <w:color w:val="auto"/>
        </w:rPr>
        <w:t>Auto-Extension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Auto-Extension Letter of Credit must permit the L/C Issuer to prevent any such extension at least once in each twelve-month period (commencing with the date of issuance of such Standby Letter of Credit) by giving prior notice to the beneficiary thereof not later than a day (the “</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xml:space="preserve">”) in each such twelve-month period to be agreed upon at the time such Standby Letter of Credit is issued. Unless otherwise directed by the L/C Issuer, the Borrower shall not be required to make a specific request to the L/C Issuer for any such extension. Once an Auto-Extension Letter of Credit has been issued, the L/C Issuer may permit the extension of such Standby Letter of Credit at any time to an expiry date not later than the Letter of Credit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L/C Issuer shall not permit any such extension if (A) the L/C Issuer has determined that it would not be permitted, or would have no obligation, at such time to issue such Standby Letter of Credit in its revised form (as extended) under the terms hereof (by reason of the provisions of </w:t>
      </w:r>
      <w:r>
        <w:rPr>
          <w:rFonts w:ascii="Arial" w:cs="Arial" w:eastAsia="Arial" w:hAnsi="Arial"/>
          <w:sz w:val="17"/>
          <w:szCs w:val="17"/>
          <w:u w:val="single" w:color="auto"/>
          <w:color w:val="auto"/>
        </w:rPr>
        <w:t>Section 2.03(a)(ii)</w:t>
      </w:r>
      <w:r>
        <w:rPr>
          <w:rFonts w:ascii="Arial" w:cs="Arial" w:eastAsia="Arial" w:hAnsi="Arial"/>
          <w:sz w:val="17"/>
          <w:szCs w:val="17"/>
          <w:color w:val="auto"/>
        </w:rPr>
        <w:t xml:space="preserve"> or otherwise), or (B)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w:t>
      </w:r>
    </w:p>
    <w:p>
      <w:pPr>
        <w:spacing w:after="0" w:line="178" w:lineRule="exact"/>
        <w:rPr>
          <w:rFonts w:ascii="Arial" w:cs="Arial" w:eastAsia="Arial" w:hAnsi="Arial"/>
          <w:sz w:val="17"/>
          <w:szCs w:val="17"/>
          <w:color w:val="auto"/>
        </w:rPr>
      </w:pPr>
    </w:p>
    <w:p>
      <w:pPr>
        <w:ind w:left="1060" w:hanging="87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Drawings and Reimbursements.</w:t>
      </w:r>
    </w:p>
    <w:p>
      <w:pPr>
        <w:spacing w:after="0" w:line="225" w:lineRule="exact"/>
        <w:rPr>
          <w:rFonts w:ascii="Arial" w:cs="Arial" w:eastAsia="Arial" w:hAnsi="Arial"/>
          <w:sz w:val="18"/>
          <w:szCs w:val="18"/>
          <w:color w:val="auto"/>
        </w:rPr>
      </w:pPr>
    </w:p>
    <w:p>
      <w:pPr>
        <w:jc w:val="both"/>
        <w:ind w:left="180" w:firstLine="652"/>
        <w:spacing w:after="0" w:line="268" w:lineRule="auto"/>
        <w:tabs>
          <w:tab w:leader="none" w:pos="1884"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Upon receipt from the beneficiary of any Letter of Credit of any notice of a drawing under such Letter of Credit, the L/C Issuer shall notify the Borrower thereof not less than two (2) Business Days prior to the Honor Date (as defined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failure to give or delay in giving such notice shall not relieve the Borrower of its obligation to reimburse the L/C Issuer. On the date of any payment by the L/C Issuer under a Letter of Credit (each such date, an “Honor Date”), the Borrower shall be deemed to have requested a Committed Borrowing of Base Rate Loans to be disbursed on the Honor Date in an amount equal to the amount of such payment, without regard to the minimum and multiples specified in </w:t>
      </w:r>
      <w:r>
        <w:rPr>
          <w:rFonts w:ascii="Arial" w:cs="Arial" w:eastAsia="Arial" w:hAnsi="Arial"/>
          <w:sz w:val="17"/>
          <w:szCs w:val="17"/>
          <w:u w:val="single" w:color="auto"/>
          <w:color w:val="auto"/>
        </w:rPr>
        <w:t>Section 2.02(b)</w:t>
      </w:r>
      <w:r>
        <w:rPr>
          <w:rFonts w:ascii="Arial" w:cs="Arial" w:eastAsia="Arial" w:hAnsi="Arial"/>
          <w:sz w:val="17"/>
          <w:szCs w:val="17"/>
          <w:color w:val="auto"/>
        </w:rPr>
        <w:t xml:space="preserve"> for the principal amount of Base Rate Loans, but subject to the amount of the unutilized portion of the Loan Cap and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the delivery of a Committed Loan Notice). Any notice given by the L/C Issuer pursuant to this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 In the event that such Committed Borrowing cannot be made pursuant to the terms hereof, then not later than 11:00 a.m. on the Honor Date,the Borrower shall reimburse the L/C Issuer in an amount equal to the amount of such drawing. With respect to any Unreimbursed Amount that is not fully refinanced by a Committed Borrowing of Base Rate Loans because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cannot be satisfied or for any other reason, the Borrower shall be deemed to have incurred from the L/C Issuer an L/C Borrowing in the amount of any Unreimbursed Amount, which L/C Borrowing shall be due and payable on demand and shall bear interest at the Default Rate for Base Rate Loans.</w:t>
      </w:r>
    </w:p>
    <w:p>
      <w:pPr>
        <w:spacing w:after="0" w:line="18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61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1" w:name="page82"/>
    <w:bookmarkEnd w:id="81"/>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4"/>
        <w:spacing w:after="0" w:line="263" w:lineRule="auto"/>
        <w:tabs>
          <w:tab w:leader="none" w:pos="170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3" w:lineRule="exact"/>
        <w:rPr>
          <w:rFonts w:ascii="Arial" w:cs="Arial" w:eastAsia="Arial" w:hAnsi="Arial"/>
          <w:sz w:val="18"/>
          <w:szCs w:val="18"/>
          <w:color w:val="auto"/>
        </w:rPr>
      </w:pPr>
    </w:p>
    <w:p>
      <w:pPr>
        <w:ind w:left="2220" w:hanging="928"/>
        <w:spacing w:after="0"/>
        <w:tabs>
          <w:tab w:leader="none" w:pos="22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any lack of validity or enforceability of such Letter of Credit, this Agreement, or any other Loan Document;</w:t>
      </w:r>
    </w:p>
    <w:p>
      <w:pPr>
        <w:spacing w:after="0" w:line="232" w:lineRule="exact"/>
        <w:rPr>
          <w:rFonts w:ascii="Arial" w:cs="Arial" w:eastAsia="Arial" w:hAnsi="Arial"/>
          <w:sz w:val="17"/>
          <w:szCs w:val="17"/>
          <w:color w:val="auto"/>
        </w:rPr>
      </w:pPr>
    </w:p>
    <w:p>
      <w:pPr>
        <w:jc w:val="both"/>
        <w:ind w:left="640" w:firstLine="652"/>
        <w:spacing w:after="0" w:line="258" w:lineRule="auto"/>
        <w:tabs>
          <w:tab w:leader="none" w:pos="2488"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the existence of any claim, counterclaim, setoff, defense or other right that the Borrower or 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7" w:lineRule="exact"/>
        <w:rPr>
          <w:rFonts w:ascii="Arial" w:cs="Arial" w:eastAsia="Arial" w:hAnsi="Arial"/>
          <w:sz w:val="18"/>
          <w:szCs w:val="18"/>
          <w:color w:val="auto"/>
        </w:rPr>
      </w:pPr>
    </w:p>
    <w:p>
      <w:pPr>
        <w:jc w:val="both"/>
        <w:ind w:left="640" w:right="20" w:firstLine="652"/>
        <w:spacing w:after="0" w:line="286" w:lineRule="auto"/>
        <w:tabs>
          <w:tab w:leader="none" w:pos="2395"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65" w:lineRule="exact"/>
        <w:rPr>
          <w:rFonts w:ascii="Arial" w:cs="Arial" w:eastAsia="Arial" w:hAnsi="Arial"/>
          <w:sz w:val="17"/>
          <w:szCs w:val="17"/>
          <w:color w:val="auto"/>
        </w:rPr>
      </w:pPr>
    </w:p>
    <w:p>
      <w:pPr>
        <w:ind w:left="640" w:firstLine="652"/>
        <w:spacing w:after="0" w:line="277" w:lineRule="auto"/>
        <w:tabs>
          <w:tab w:leader="none" w:pos="22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waiver by the L/C Issuer of any requirement that exists for the L/C Issuer’s protection and not the protection of the Borrower or any waiver by the L/C Issuer which does not in fact materially prejudice the Borrower;</w:t>
      </w:r>
    </w:p>
    <w:p>
      <w:pPr>
        <w:spacing w:after="0" w:line="170" w:lineRule="exact"/>
        <w:rPr>
          <w:rFonts w:ascii="Arial" w:cs="Arial" w:eastAsia="Arial" w:hAnsi="Arial"/>
          <w:sz w:val="18"/>
          <w:szCs w:val="18"/>
          <w:color w:val="auto"/>
        </w:rPr>
      </w:pPr>
    </w:p>
    <w:p>
      <w:pPr>
        <w:ind w:left="2180" w:hanging="888"/>
        <w:spacing w:after="0"/>
        <w:tabs>
          <w:tab w:leader="none" w:pos="21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honor of a demand for payment presented electronically even if such Letter of Credit requires that demand be in</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the form of a draft;</w:t>
      </w:r>
    </w:p>
    <w:p>
      <w:pPr>
        <w:spacing w:after="0" w:line="210" w:lineRule="exact"/>
        <w:rPr>
          <w:rFonts w:ascii="Arial" w:cs="Arial" w:eastAsia="Arial" w:hAnsi="Arial"/>
          <w:sz w:val="16"/>
          <w:szCs w:val="16"/>
          <w:color w:val="auto"/>
        </w:rPr>
      </w:pPr>
    </w:p>
    <w:p>
      <w:pPr>
        <w:jc w:val="both"/>
        <w:ind w:left="640" w:firstLine="652"/>
        <w:spacing w:after="0" w:line="263" w:lineRule="auto"/>
        <w:tabs>
          <w:tab w:leader="none" w:pos="2173"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62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1300" w:firstLine="652"/>
        <w:spacing w:after="0" w:line="257" w:lineRule="auto"/>
        <w:tabs>
          <w:tab w:leader="none" w:pos="27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7" w:lineRule="exact"/>
        <w:rPr>
          <w:rFonts w:ascii="Arial" w:cs="Arial" w:eastAsia="Arial" w:hAnsi="Arial"/>
          <w:sz w:val="18"/>
          <w:szCs w:val="18"/>
          <w:color w:val="auto"/>
        </w:rPr>
      </w:pPr>
    </w:p>
    <w:p>
      <w:pPr>
        <w:jc w:val="both"/>
        <w:ind w:left="1300" w:right="20" w:firstLine="652"/>
        <w:spacing w:after="0" w:line="263" w:lineRule="auto"/>
        <w:tabs>
          <w:tab w:leader="none" w:pos="2722"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any other circumstance or happening whatsoever, whether or not similar to any of the foregoing, including any other circumstance that might otherwise constitute a defense available to, or a discharge of, the Borrower or any of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or</w:t>
      </w:r>
    </w:p>
    <w:p>
      <w:pPr>
        <w:spacing w:after="0" w:line="183" w:lineRule="exact"/>
        <w:rPr>
          <w:rFonts w:ascii="Arial" w:cs="Arial" w:eastAsia="Arial" w:hAnsi="Arial"/>
          <w:sz w:val="18"/>
          <w:szCs w:val="18"/>
          <w:color w:val="auto"/>
        </w:rPr>
      </w:pPr>
    </w:p>
    <w:p>
      <w:pPr>
        <w:ind w:left="2800" w:hanging="848"/>
        <w:spacing w:after="0"/>
        <w:tabs>
          <w:tab w:leader="none" w:pos="2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any Default or Event of Default shall have occurred and be continuing.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65" w:lineRule="exact"/>
        <w:rPr>
          <w:sz w:val="20"/>
          <w:szCs w:val="20"/>
          <w:color w:val="auto"/>
        </w:rPr>
      </w:pPr>
    </w:p>
    <w:p>
      <w:pPr>
        <w:jc w:val="both"/>
        <w:ind w:left="660" w:firstLine="644"/>
        <w:spacing w:after="0" w:line="283" w:lineRule="auto"/>
        <w:tabs>
          <w:tab w:leader="none" w:pos="2263"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xml:space="preserve">. The Borrower agrees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Except as provided in the final sentence of this clause (e), none of the Lender, the L/C Issuer nor any of their respective Related Parties nor any correspondent, participant or assignee of the L/C Issuer shall be liable to any Loan Party for (i) any error, omission, interruption, loss or delay in transmission or delivery of any draft, notice or other communication under or relating to any Letter of Credit or any error in interpretation of technical terms; (ii) the due execution, effectiveness, validity or enforceability of any document or instrument related to any Letter of Credit or Issuer Document, or (iii) for any action, neglect or omission under or in connection with any Letter of Credit or Issuer Documents, including, without limitation, the issuance or amendment of any Letter of Credit, the failure to issue or amend any Letter of Credit, or the honoring or dishonoring of any demand under any Letter of Credit, and such action or neglect or omission will be binding upon the Loan Parties.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assumption is not intended to, and shall not, preclude the Borrower’s pursuing such rights and remedies as it may have against the beneficiary or transferee at law or under any other agreement, In furtherance and not in limitation of the foregoing, the L/C Issuer may accept documents that appear on their face to be in order, without responsibility for further investigation, regardless of any notice or information to the contrary (or the L/C Issuer may refuse to accept and make payment upon such documents if such documents are not in strict compliance with the terms of such Letter of Credit and may disregard any requirement in a Letter of Credit that notice of dishonor be given in a particular manner and any requirement that presentation be made at a particular place or by a particular time of day),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shall not be responsible for the wording of any Letter of Credit (including, without limitation, any drawing conditions or any terms or conditions that are ineffective, ambiguous, inconsistent, unduly complicated or reasonably impossible to satisfy), notwithstanding any assistance the L/C Issuer may provide to the Borrower with drafting or recommending text for any Letter of Credit Application or with the structuring of any transaction related to any Letter of Credit, and the Borrower hereby acknowledges and agrees that any such assistance will not constitute legal or other advice by the L/C Issuer or any representation or warranty by the L/C Issuer that any such wording or such Letter of Credit will be effective. Without limiting the foregoing, the L/C Issuer may, as it deems appropriate, modify or alter and use in any Letter of Credit the terminology contained on the Letter of Credit Application for such Letter of Credit. Notwithstanding anything to the contrary herein contained in this clause (e), the Borrower may have a claim against the L/C Issuer, and the L/C Issuer may be liable to the Borrower, to the extent, but only to the extent, of any direct, as opposed to punitive, consequential or exemplary, damages suffered by the Borrower which the Borrower proves were caused by the L/C Issuer’s willful misconduct or gross negligence.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63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right="20" w:firstLine="644"/>
        <w:spacing w:after="0" w:line="287" w:lineRule="auto"/>
        <w:tabs>
          <w:tab w:leader="none" w:pos="1606"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Cash Collateral. If, as of the Letter of Credit Expiration Date, any L/C Obligation for any reason remains outstanding, the Borrower shall, in each case, immediately Cash Collateralize the then Outstanding Amount of all L/C Obligations. </w:t>
      </w:r>
      <w:r>
        <w:rPr>
          <w:rFonts w:ascii="Arial" w:cs="Arial" w:eastAsia="Arial" w:hAnsi="Arial"/>
          <w:sz w:val="16"/>
          <w:szCs w:val="16"/>
          <w:u w:val="single" w:color="auto"/>
          <w:color w:val="auto"/>
        </w:rPr>
        <w:t>Sections 2.04, 2.05(c)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8.02(c)</w:t>
      </w:r>
      <w:r>
        <w:rPr>
          <w:rFonts w:ascii="Arial" w:cs="Arial" w:eastAsia="Arial" w:hAnsi="Arial"/>
          <w:sz w:val="16"/>
          <w:szCs w:val="16"/>
          <w:color w:val="auto"/>
        </w:rPr>
        <w:t xml:space="preserve"> set forth certain additional requirements to deliver Cash Collateral hereunder. For purposes of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p>
    <w:p>
      <w:pPr>
        <w:spacing w:after="0" w:line="2" w:lineRule="exact"/>
        <w:rPr>
          <w:rFonts w:ascii="Arial" w:cs="Arial" w:eastAsia="Arial" w:hAnsi="Arial"/>
          <w:sz w:val="16"/>
          <w:szCs w:val="16"/>
          <w:color w:val="auto"/>
        </w:rPr>
      </w:pPr>
    </w:p>
    <w:p>
      <w:pPr>
        <w:jc w:val="both"/>
        <w:spacing w:after="0" w:line="285" w:lineRule="auto"/>
        <w:rPr>
          <w:rFonts w:ascii="Arial" w:cs="Arial" w:eastAsia="Arial" w:hAnsi="Arial"/>
          <w:sz w:val="16"/>
          <w:szCs w:val="16"/>
          <w:color w:val="auto"/>
        </w:rPr>
      </w:pPr>
      <w:r>
        <w:rPr>
          <w:rFonts w:ascii="Arial" w:cs="Arial" w:eastAsia="Arial" w:hAnsi="Arial"/>
          <w:sz w:val="16"/>
          <w:szCs w:val="16"/>
          <w:u w:val="single" w:color="auto"/>
          <w:color w:val="auto"/>
        </w:rPr>
        <w:t>2.05(c)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8.02(c)</w:t>
      </w:r>
      <w:r>
        <w:rPr>
          <w:rFonts w:ascii="Arial" w:cs="Arial" w:eastAsia="Arial" w:hAnsi="Arial"/>
          <w:sz w:val="16"/>
          <w:szCs w:val="16"/>
          <w:color w:val="auto"/>
        </w:rPr>
        <w:t>, “</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the Lender, for the benefit of the Credit Parties, as collateral for the L/C Obligations, cash or deposit account balances in an amount equal to one hundred and three (103%) of the Outstanding Amount of all L/C Obligations, pursuant to documentation in form and substance satisfactory to the Lender and the L/C Issuer. The Borrower hereby grants to the Lender a security interest in all such cash, deposit accounts and all balances therein and all proceeds of the foregoing to secure all Obligations. Such cash collateral shall be maintained in blocked, non-interest bearing deposit accounts at Bank of America under the sole and exclusive dominion and control of the Lender. If at any time the Lender determines that any funds held as cash collateral are subject to any right or claim of any Person other than the Lender or that the total amount of such funds is less than the aggregate Outstanding Amount of all L/C Obligations, the Borrower will, forthwith upon demand by the Lender, pay to the Lender, as additional funds to be deposited as cash collateral, an amount equal to the excess of (x) such aggregate Outstanding Amount over (y) the total amount of funds, if any, then held as cash collateral that the Lender determines to be free and clear of any such right and claim. Upon the drawing of any Letter of Credit for which funds are on deposit as cash collateral, such funds shall be applied to reimburse the L/C Issuer and, to the extent not so applied, shall thereafter be applied to satisfy other Obligations, as and to the extent such other Obligations shall then be due and payable.</w:t>
      </w:r>
    </w:p>
    <w:p>
      <w:pPr>
        <w:spacing w:after="0" w:line="17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64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84" w:name="page85"/>
    <w:bookmarkEnd w:id="84"/>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4"/>
        <w:spacing w:after="0" w:line="290" w:lineRule="auto"/>
        <w:tabs>
          <w:tab w:leader="none" w:pos="153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w:t>
      </w:r>
      <w:r>
        <w:rPr>
          <w:rFonts w:ascii="Arial" w:cs="Arial" w:eastAsia="Arial" w:hAnsi="Arial"/>
          <w:sz w:val="16"/>
          <w:szCs w:val="16"/>
          <w:color w:val="auto"/>
        </w:rPr>
        <w:t>. Unless otherwise expressly agreed by the L/C Issuer and the Borrower when a Letter of Credit is issued,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5" w:lineRule="exact"/>
        <w:rPr>
          <w:rFonts w:ascii="Arial" w:cs="Arial" w:eastAsia="Arial" w:hAnsi="Arial"/>
          <w:sz w:val="16"/>
          <w:szCs w:val="16"/>
          <w:color w:val="auto"/>
        </w:rPr>
      </w:pPr>
    </w:p>
    <w:p>
      <w:pPr>
        <w:jc w:val="both"/>
        <w:ind w:firstLine="644"/>
        <w:spacing w:after="0" w:line="290" w:lineRule="auto"/>
        <w:tabs>
          <w:tab w:leader="none" w:pos="1613"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The Borrower shall pay to the Lender for its own account a Letter of Credit fee (the “Letter of Credit Fee”) for each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average daily Stated Amount under each such Letter of Credit (whether or not such maximum amount is then in effect under such Letter of Credit). For purposes of computing the daily amount available to be drawn under any Letter of Credit, the amount of the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Letter of Credit Fees shall be (i) due and payable on the first day after the end of each March, June, September and December, or if such day is not a Business Day, on the next succeeding Business Day, commencing with the first such date to occur after the issuance of such Letter of Credit, on the Letter of Credit Expiration Date and thereafter on demand, and (ii) computed on a quarterly basis in arrears. Notwithstanding anything to the contrary contained herein, while any Event of Default exists, all Letter of Credit Fees shall accrue at the Default Rate as provided in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hereof.</w:t>
      </w:r>
    </w:p>
    <w:p>
      <w:pPr>
        <w:spacing w:after="0" w:line="165" w:lineRule="exact"/>
        <w:rPr>
          <w:rFonts w:ascii="Arial" w:cs="Arial" w:eastAsia="Arial" w:hAnsi="Arial"/>
          <w:sz w:val="16"/>
          <w:szCs w:val="16"/>
          <w:color w:val="auto"/>
        </w:rPr>
      </w:pPr>
    </w:p>
    <w:p>
      <w:pPr>
        <w:jc w:val="both"/>
        <w:ind w:firstLine="644"/>
        <w:spacing w:after="0" w:line="259" w:lineRule="auto"/>
        <w:tabs>
          <w:tab w:leader="none" w:pos="167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Documentary and Processing Charges Payable to L/C Issuer</w:t>
      </w:r>
      <w:r>
        <w:rPr>
          <w:rFonts w:ascii="Arial" w:cs="Arial" w:eastAsia="Arial" w:hAnsi="Arial"/>
          <w:sz w:val="18"/>
          <w:szCs w:val="18"/>
          <w:color w:val="auto"/>
        </w:rPr>
        <w:t>.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86" w:lineRule="exact"/>
        <w:rPr>
          <w:rFonts w:ascii="Arial" w:cs="Arial" w:eastAsia="Arial" w:hAnsi="Arial"/>
          <w:sz w:val="18"/>
          <w:szCs w:val="18"/>
          <w:color w:val="auto"/>
        </w:rPr>
      </w:pPr>
    </w:p>
    <w:p>
      <w:pPr>
        <w:ind w:firstLine="644"/>
        <w:spacing w:after="0" w:line="277" w:lineRule="auto"/>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65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85" w:name="page86"/>
    <w:bookmarkEnd w:id="85"/>
    <w:p>
      <w:pPr>
        <w:jc w:val="center"/>
        <w:ind w:right="636"/>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Prepayments</w:t>
      </w:r>
      <w:r>
        <w:rPr>
          <w:rFonts w:ascii="Arial" w:cs="Arial" w:eastAsia="Arial" w:hAnsi="Arial"/>
          <w:sz w:val="16"/>
          <w:szCs w:val="16"/>
          <w:color w:val="auto"/>
        </w:rPr>
        <w:t>.</w:t>
      </w:r>
    </w:p>
    <w:p>
      <w:pPr>
        <w:spacing w:after="0" w:line="229" w:lineRule="exact"/>
        <w:rPr>
          <w:sz w:val="20"/>
          <w:szCs w:val="20"/>
          <w:color w:val="auto"/>
        </w:rPr>
      </w:pPr>
    </w:p>
    <w:p>
      <w:pPr>
        <w:jc w:val="both"/>
        <w:ind w:left="4" w:firstLine="644"/>
        <w:spacing w:after="0" w:line="287" w:lineRule="auto"/>
        <w:tabs>
          <w:tab w:leader="none" w:pos="1648"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The Borrower may, upon irrevocable notice to the Lender, at any time or from time to time voluntarily prepay Committed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Lender not later than 11:00 a.m. (A) [</w:t>
      </w:r>
      <w:r>
        <w:rPr>
          <w:rFonts w:ascii="Arial" w:cs="Arial" w:eastAsia="Arial" w:hAnsi="Arial"/>
          <w:sz w:val="16"/>
          <w:szCs w:val="16"/>
          <w:color w:val="FF0000"/>
          <w:strike w:val="1"/>
        </w:rPr>
        <w:t>three</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two</w:t>
      </w:r>
      <w:r>
        <w:rPr>
          <w:rFonts w:ascii="Arial" w:cs="Arial" w:eastAsia="Arial" w:hAnsi="Arial"/>
          <w:sz w:val="16"/>
          <w:szCs w:val="16"/>
          <w:color w:val="auto"/>
        </w:rPr>
        <w:t xml:space="preserve"> ([</w:t>
      </w:r>
      <w:r>
        <w:rPr>
          <w:rFonts w:ascii="Arial" w:cs="Arial" w:eastAsia="Arial" w:hAnsi="Arial"/>
          <w:sz w:val="16"/>
          <w:szCs w:val="16"/>
          <w:color w:val="FF0000"/>
          <w:strike w:val="1"/>
        </w:rPr>
        <w:t>3</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2</w:t>
      </w:r>
      <w:r>
        <w:rPr>
          <w:rFonts w:ascii="Arial" w:cs="Arial" w:eastAsia="Arial" w:hAnsi="Arial"/>
          <w:sz w:val="16"/>
          <w:szCs w:val="16"/>
          <w:color w:val="auto"/>
        </w:rPr>
        <w:t>) Business Days prior to any date of prepayment of Eurodollar Rate Loans and (B) on the date of prepayment of Base Rate Loans;</w:t>
      </w:r>
    </w:p>
    <w:p>
      <w:pPr>
        <w:spacing w:after="0" w:line="2" w:lineRule="exact"/>
        <w:rPr>
          <w:rFonts w:ascii="Arial" w:cs="Arial" w:eastAsia="Arial" w:hAnsi="Arial"/>
          <w:sz w:val="16"/>
          <w:szCs w:val="16"/>
          <w:color w:val="auto"/>
        </w:rPr>
      </w:pPr>
    </w:p>
    <w:p>
      <w:pPr>
        <w:jc w:val="both"/>
        <w:ind w:left="4" w:hanging="4"/>
        <w:spacing w:after="0" w:line="269" w:lineRule="auto"/>
        <w:tabs>
          <w:tab w:leader="none" w:pos="2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any prepayment of Eurodollar Rate Loans shall be in a principal amount of $1,000,000 or a whole multiple of $1,000,000 in excess thereof; and (iii) any prepayment of Base Rate Loans shall be in a principal amount of $500,000 or a whole multiple of $100,000 in excess thereof or, in the case of either (ii) or (iii) above, if less, the entire principal amount thereof then outstanding. Each such notice shall specify the date and amount of such prepayment and the Type(s) of Loans to be prepaid and, if Eurodollar Rate Loans, the Interest Period(s) of such Loans.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left="4" w:firstLine="644"/>
        <w:spacing w:after="0" w:line="301" w:lineRule="auto"/>
        <w:tabs>
          <w:tab w:leader="none" w:pos="1617"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If for any reason the Total Outstandings at any time exceed the Loan Cap as then in effect, the Borrower shall immediately prepay the Loans and L/C Borrowings and Cash Collateralize the L/C Obligations (other than L/C Borrowings) in an aggregate amount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 shall not be required to Cash Collateralize the L/C Obligations (other than L/C Borrowings) pursuant to this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unless after the prepayment in full of the Loans the Total Outstandings exceed the Loan Cap as then in effect.</w:t>
      </w:r>
    </w:p>
    <w:p>
      <w:pPr>
        <w:spacing w:after="0" w:line="153" w:lineRule="exact"/>
        <w:rPr>
          <w:rFonts w:ascii="Arial" w:cs="Arial" w:eastAsia="Arial" w:hAnsi="Arial"/>
          <w:sz w:val="16"/>
          <w:szCs w:val="16"/>
          <w:color w:val="auto"/>
        </w:rPr>
      </w:pPr>
    </w:p>
    <w:p>
      <w:pPr>
        <w:jc w:val="both"/>
        <w:ind w:left="4" w:firstLine="644"/>
        <w:spacing w:after="0" w:line="266" w:lineRule="auto"/>
        <w:tabs>
          <w:tab w:leader="none" w:pos="1607"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The Borrower shall prepay the Loans </w:t>
      </w:r>
      <w:r>
        <w:rPr>
          <w:rFonts w:ascii="Arial" w:cs="Arial" w:eastAsia="Arial" w:hAnsi="Arial"/>
          <w:sz w:val="18"/>
          <w:szCs w:val="18"/>
          <w:b w:val="1"/>
          <w:bCs w:val="1"/>
          <w:u w:val="single" w:color="auto"/>
          <w:color w:val="0000FF"/>
        </w:rPr>
        <w:t>(including L/C Borrowings)</w:t>
      </w:r>
      <w:r>
        <w:rPr>
          <w:rFonts w:ascii="Arial" w:cs="Arial" w:eastAsia="Arial" w:hAnsi="Arial"/>
          <w:sz w:val="18"/>
          <w:szCs w:val="18"/>
          <w:color w:val="auto"/>
        </w:rPr>
        <w:t xml:space="preserve"> and, after the occurrence and during the continuance of an Event of Default or to the extent required by the provisions of </w:t>
      </w:r>
      <w:r>
        <w:rPr>
          <w:rFonts w:ascii="Arial" w:cs="Arial" w:eastAsia="Arial" w:hAnsi="Arial"/>
          <w:sz w:val="18"/>
          <w:szCs w:val="18"/>
          <w:u w:val="single" w:color="auto"/>
          <w:color w:val="auto"/>
        </w:rPr>
        <w:t>Section 2.05(c)</w:t>
      </w:r>
      <w:r>
        <w:rPr>
          <w:rFonts w:ascii="Arial" w:cs="Arial" w:eastAsia="Arial" w:hAnsi="Arial"/>
          <w:sz w:val="18"/>
          <w:szCs w:val="18"/>
          <w:color w:val="auto"/>
        </w:rPr>
        <w:t xml:space="preserve">, Cash Collateralize the L/C Obligations to the extent required pursuant to the provisions of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hereof.</w:t>
      </w:r>
    </w:p>
    <w:p>
      <w:pPr>
        <w:spacing w:after="0" w:line="179" w:lineRule="exact"/>
        <w:rPr>
          <w:rFonts w:ascii="Arial" w:cs="Arial" w:eastAsia="Arial" w:hAnsi="Arial"/>
          <w:sz w:val="18"/>
          <w:szCs w:val="18"/>
          <w:color w:val="auto"/>
        </w:rPr>
      </w:pPr>
    </w:p>
    <w:p>
      <w:pPr>
        <w:jc w:val="both"/>
        <w:ind w:left="4" w:firstLine="644"/>
        <w:spacing w:after="0" w:line="259" w:lineRule="auto"/>
        <w:tabs>
          <w:tab w:leader="none" w:pos="1536"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FF0000"/>
          <w:strike w:val="1"/>
        </w:rPr>
        <w:t>The Borrower shall prepay the Loans (including L/C Borrowings) and, after the occurrence and during the continuance of an</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Event of Default or to the extent required by the provisions of </w:t>
      </w:r>
      <w:r>
        <w:rPr>
          <w:rFonts w:ascii="Arial" w:cs="Arial" w:eastAsia="Arial" w:hAnsi="Arial"/>
          <w:sz w:val="18"/>
          <w:szCs w:val="18"/>
          <w:u w:val="single" w:color="auto"/>
          <w:color w:val="FF0000"/>
          <w:strike w:val="1"/>
        </w:rPr>
        <w:t>Section 2.05(c)</w:t>
      </w:r>
      <w:r>
        <w:rPr>
          <w:rFonts w:ascii="Arial" w:cs="Arial" w:eastAsia="Arial" w:hAnsi="Arial"/>
          <w:sz w:val="18"/>
          <w:szCs w:val="18"/>
          <w:color w:val="FF0000"/>
          <w:strike w:val="1"/>
        </w:rPr>
        <w:t>, Cash Collateralize the other L/C Obligations in an amount equal to the Net Cash Proceeds received by a Loan Party on account of a Prepayment Event, irrespective of whether a Cash Dominion Event then exists and is continuing</w:t>
      </w:r>
      <w:r>
        <w:rPr>
          <w:rFonts w:ascii="Arial" w:cs="Arial" w:eastAsia="Arial" w:hAnsi="Arial"/>
          <w:sz w:val="18"/>
          <w:szCs w:val="18"/>
          <w:color w:val="000000"/>
          <w:strike w:val="1"/>
        </w:rPr>
        <w:t>]</w:t>
      </w:r>
      <w:r>
        <w:rPr>
          <w:rFonts w:ascii="Arial" w:cs="Arial" w:eastAsia="Arial" w:hAnsi="Arial"/>
          <w:sz w:val="18"/>
          <w:szCs w:val="18"/>
          <w:b w:val="1"/>
          <w:bCs w:val="1"/>
          <w:u w:val="single" w:color="auto"/>
          <w:color w:val="0000FF"/>
          <w:strike w:val="1"/>
        </w:rPr>
        <w:t>[Reserved]</w:t>
      </w:r>
      <w:r>
        <w:rPr>
          <w:rFonts w:ascii="Arial" w:cs="Arial" w:eastAsia="Arial" w:hAnsi="Arial"/>
          <w:sz w:val="18"/>
          <w:szCs w:val="18"/>
          <w:color w:val="000000"/>
          <w:strike w:val="1"/>
        </w:rPr>
        <w:t>.</w:t>
      </w:r>
    </w:p>
    <w:p>
      <w:pPr>
        <w:spacing w:after="0" w:line="186" w:lineRule="exact"/>
        <w:rPr>
          <w:rFonts w:ascii="Arial" w:cs="Arial" w:eastAsia="Arial" w:hAnsi="Arial"/>
          <w:sz w:val="18"/>
          <w:szCs w:val="18"/>
          <w:color w:val="auto"/>
        </w:rPr>
      </w:pPr>
    </w:p>
    <w:p>
      <w:pPr>
        <w:jc w:val="both"/>
        <w:ind w:left="4" w:firstLine="644"/>
        <w:spacing w:after="0" w:line="270" w:lineRule="auto"/>
        <w:tabs>
          <w:tab w:leader="none" w:pos="1756"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Prepayments made pursuant to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shall be applied ratably to the L/C Borrowings,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shall be applied ratably to the outstanding Committed Loans,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after the occurrence and during the continuance of an Event of Default, shall be used to Cash Collateralize the remaining L/C Obligations; and,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the amount remaining, if any, after the prepayment in full of all L/C Borrowings and Committed Loans outstanding at such time and the Cash Collateralization of the remaining L/C Obligations (to the extent required hereunder) in full shall be deposited by the Lender in a deposit account of the Borrower and may be utilized by the Borrower in the ordinary course of its business to the extent otherwise permitted hereunder. Upon the drawing of any Letter of Credit that has been Cash Collateralized, the funds held as Cash Collateral shall be applied (without any further action by or notice to or from the Borrower or any other Loan Party) to reimburse the L/C Issuer or the Lender, as applicable, and, to the extent not so applied, shall thereafter be applied to satisfy other Obligations, as and to the extent such other Obligations shall then be due and payable.</w:t>
      </w:r>
    </w:p>
    <w:p>
      <w:pPr>
        <w:spacing w:after="0" w:line="18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66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288925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0"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color w:val="auto"/>
        </w:rPr>
        <w:t>Termination or Reduction of Commitments</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75" w:lineRule="auto"/>
        <w:tabs>
          <w:tab w:leader="none" w:pos="2263"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The Borrower may, without penalty or premium, upon irrevocable notice to the Lender, terminate the Commitment or from time to time permanently reduce the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notice shall be received by the Lender not later than 11:00 a.m. [</w:t>
      </w:r>
      <w:r>
        <w:rPr>
          <w:rFonts w:ascii="Arial" w:cs="Arial" w:eastAsia="Arial" w:hAnsi="Arial"/>
          <w:sz w:val="17"/>
          <w:szCs w:val="17"/>
          <w:color w:val="FF0000"/>
          <w:strike w:val="1"/>
        </w:rPr>
        <w:t>five</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two</w:t>
      </w:r>
      <w:r>
        <w:rPr>
          <w:rFonts w:ascii="Arial" w:cs="Arial" w:eastAsia="Arial" w:hAnsi="Arial"/>
          <w:sz w:val="17"/>
          <w:szCs w:val="17"/>
          <w:color w:val="auto"/>
        </w:rPr>
        <w:t xml:space="preserve"> ([</w:t>
      </w:r>
      <w:r>
        <w:rPr>
          <w:rFonts w:ascii="Arial" w:cs="Arial" w:eastAsia="Arial" w:hAnsi="Arial"/>
          <w:sz w:val="17"/>
          <w:szCs w:val="17"/>
          <w:color w:val="FF0000"/>
          <w:strike w:val="1"/>
        </w:rPr>
        <w:t>5</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2</w:t>
      </w:r>
      <w:r>
        <w:rPr>
          <w:rFonts w:ascii="Arial" w:cs="Arial" w:eastAsia="Arial" w:hAnsi="Arial"/>
          <w:sz w:val="17"/>
          <w:szCs w:val="17"/>
          <w:color w:val="auto"/>
        </w:rPr>
        <w:t>) Business Days prior to the date of termination or reduction, (ii) any such partial reduction shall be in an aggregate amount of $5,000,000 or any whole multiple of $1,000,000 in excess thereof, (iii) the Borrower shall not terminate or reduce the Commitment if, after giving effect thereto and to any concurrent prepayments hereunder, the Total Outstandings would exceed the Commitment.</w:t>
      </w:r>
    </w:p>
    <w:p>
      <w:pPr>
        <w:spacing w:after="0" w:line="176" w:lineRule="exact"/>
        <w:rPr>
          <w:rFonts w:ascii="Arial" w:cs="Arial" w:eastAsia="Arial" w:hAnsi="Arial"/>
          <w:sz w:val="17"/>
          <w:szCs w:val="17"/>
          <w:color w:val="auto"/>
        </w:rPr>
      </w:pPr>
    </w:p>
    <w:p>
      <w:pPr>
        <w:ind w:left="660" w:firstLine="644"/>
        <w:spacing w:after="0" w:line="277" w:lineRule="auto"/>
        <w:tabs>
          <w:tab w:leader="none" w:pos="2543"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after giving effect to any reduction of the Commitment, the Letter of Credit Sublimit exceeds the amount of the Commitment, such Letter of Credit Sublimit shall be automatically reduced by the amount of such excess.</w:t>
      </w:r>
    </w:p>
    <w:p>
      <w:pPr>
        <w:spacing w:after="0" w:line="170" w:lineRule="exact"/>
        <w:rPr>
          <w:rFonts w:ascii="Arial" w:cs="Arial" w:eastAsia="Arial" w:hAnsi="Arial"/>
          <w:sz w:val="18"/>
          <w:szCs w:val="18"/>
          <w:color w:val="auto"/>
        </w:rPr>
      </w:pPr>
    </w:p>
    <w:p>
      <w:pPr>
        <w:jc w:val="both"/>
        <w:ind w:left="660" w:firstLine="644"/>
        <w:spacing w:after="0" w:line="287" w:lineRule="auto"/>
        <w:tabs>
          <w:tab w:leader="none" w:pos="2250" w:val="left"/>
        </w:tabs>
        <w:numPr>
          <w:ilvl w:val="1"/>
          <w:numId w:val="71"/>
        </w:numPr>
        <w:rPr>
          <w:rFonts w:ascii="Arial" w:cs="Arial" w:eastAsia="Arial" w:hAnsi="Arial"/>
          <w:sz w:val="16"/>
          <w:szCs w:val="16"/>
          <w:color w:val="auto"/>
        </w:rPr>
      </w:pPr>
      <w:r>
        <w:rPr>
          <w:rFonts w:ascii="Arial" w:cs="Arial" w:eastAsia="Arial" w:hAnsi="Arial"/>
          <w:sz w:val="16"/>
          <w:szCs w:val="16"/>
          <w:color w:val="auto"/>
        </w:rPr>
        <w:t>Upon any reduction of the Commitment, the Commitment of the Lender shall be reduced by such reduction amount. If, as a result of such termination or reduction, (i) the Outstanding Amount of L/C Obligations not fully Cash Collateralized hereunder would exceed the Letter of Credit Sublimit, the Borrower shall contemporaneously with such reduction or termination, Cash Collateralize such excess amount, and</w:t>
      </w:r>
    </w:p>
    <w:p>
      <w:pPr>
        <w:spacing w:after="0" w:line="2" w:lineRule="exact"/>
        <w:rPr>
          <w:rFonts w:ascii="Arial" w:cs="Arial" w:eastAsia="Arial" w:hAnsi="Arial"/>
          <w:sz w:val="16"/>
          <w:szCs w:val="16"/>
          <w:color w:val="auto"/>
        </w:rPr>
      </w:pPr>
    </w:p>
    <w:p>
      <w:pPr>
        <w:ind w:left="660" w:hanging="4"/>
        <w:spacing w:after="0" w:line="260" w:lineRule="auto"/>
        <w:tabs>
          <w:tab w:leader="none" w:pos="9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Committed Loans would exceed the Commitment,the Borrower shall contemporaneously with such reduction or termination, pay the Lender an amount equal to such excess.</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6"/>
          <w:szCs w:val="16"/>
          <w:b w:val="1"/>
          <w:bCs w:val="1"/>
          <w:color w:val="auto"/>
        </w:rPr>
        <w:t>Repayment of Obligations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with respect to the collateralization of the Other Liabilities, the Borrower shall repay to the Lender on the Termination Date all Obligations outstanding on such date (other than contingent indemnification claims for which a claim has not been asserted) and shall cause each Letter of Credit to be returned to the L/C Issuer undrawn or shall Cash Collateralize all L/C Obligations (to the extent not previously Cash Collateralized as required herein).</w:t>
      </w:r>
    </w:p>
    <w:p>
      <w:pPr>
        <w:spacing w:after="0" w:line="18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color w:val="auto"/>
        </w:rPr>
        <w:t>Interest.</w:t>
      </w:r>
    </w:p>
    <w:p>
      <w:pPr>
        <w:spacing w:after="0" w:line="229" w:lineRule="exact"/>
        <w:rPr>
          <w:sz w:val="20"/>
          <w:szCs w:val="20"/>
          <w:color w:val="auto"/>
        </w:rPr>
      </w:pPr>
    </w:p>
    <w:p>
      <w:pPr>
        <w:jc w:val="both"/>
        <w:ind w:firstLine="656"/>
        <w:spacing w:after="0" w:line="259" w:lineRule="auto"/>
        <w:tabs>
          <w:tab w:leader="none" w:pos="12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2.07(b)</w:t>
      </w:r>
      <w:r>
        <w:rPr>
          <w:rFonts w:ascii="Arial" w:cs="Arial" w:eastAsia="Arial" w:hAnsi="Arial"/>
          <w:sz w:val="18"/>
          <w:szCs w:val="18"/>
          <w:color w:val="auto"/>
        </w:rPr>
        <w:t xml:space="preserve"> below, (i) each Eurodollar Rate Loan shall bear interest on the outstanding principal amount thereof for each Interest Period at a rate per annum equal to the Eurodollar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Eurodollar Rate Loans; and (ii) each Base Rate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Base Rate Loans.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67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660" w:right="60" w:firstLine="644"/>
        <w:spacing w:after="0" w:line="263" w:lineRule="auto"/>
        <w:tabs>
          <w:tab w:leader="none" w:pos="23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amount payable under any Loan Document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3" w:lineRule="exact"/>
        <w:rPr>
          <w:rFonts w:ascii="Arial" w:cs="Arial" w:eastAsia="Arial" w:hAnsi="Arial"/>
          <w:sz w:val="18"/>
          <w:szCs w:val="18"/>
          <w:color w:val="auto"/>
        </w:rPr>
      </w:pPr>
    </w:p>
    <w:p>
      <w:pPr>
        <w:jc w:val="both"/>
        <w:ind w:left="1300" w:firstLine="652"/>
        <w:spacing w:after="0" w:line="259" w:lineRule="auto"/>
        <w:tabs>
          <w:tab w:leader="none" w:pos="2909"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any other Event of Default exists, then the Lender may notify the Borrower that all outstanding Obligations shall bear interest retroactively from the date such Default arose at a fluctuating interest rate per annum at all times equal to the Default Rate and such Obligations shall bear interest retroactively from the date such Default arose at the Default Rate to the fullest extent permitted by Law.</w:t>
      </w:r>
    </w:p>
    <w:p>
      <w:pPr>
        <w:spacing w:after="0" w:line="186" w:lineRule="exact"/>
        <w:rPr>
          <w:rFonts w:ascii="Arial" w:cs="Arial" w:eastAsia="Arial" w:hAnsi="Arial"/>
          <w:sz w:val="18"/>
          <w:szCs w:val="18"/>
          <w:color w:val="auto"/>
        </w:rPr>
      </w:pPr>
    </w:p>
    <w:p>
      <w:pPr>
        <w:ind w:left="2900" w:hanging="948"/>
        <w:spacing w:after="0"/>
        <w:tabs>
          <w:tab w:leader="none" w:pos="29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upon demand.</w:t>
      </w:r>
    </w:p>
    <w:p>
      <w:pPr>
        <w:spacing w:after="0" w:line="210" w:lineRule="exact"/>
        <w:rPr>
          <w:rFonts w:ascii="Arial" w:cs="Arial" w:eastAsia="Arial" w:hAnsi="Arial"/>
          <w:sz w:val="16"/>
          <w:szCs w:val="16"/>
          <w:color w:val="auto"/>
        </w:rPr>
      </w:pPr>
    </w:p>
    <w:p>
      <w:pPr>
        <w:jc w:val="both"/>
        <w:ind w:left="660" w:firstLine="644"/>
        <w:spacing w:after="0" w:line="311" w:lineRule="auto"/>
        <w:tabs>
          <w:tab w:leader="none" w:pos="2219"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2.07(b)(iii)</w:t>
      </w:r>
      <w:r>
        <w:rPr>
          <w:rFonts w:ascii="Arial" w:cs="Arial" w:eastAsia="Arial" w:hAnsi="Arial"/>
          <w:sz w:val="16"/>
          <w:szCs w:val="16"/>
          <w:color w:val="auto"/>
        </w:rPr>
        <w:t xml:space="preserve">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4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In addition to certain fees described in subsections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96" w:lineRule="auto"/>
        <w:tabs>
          <w:tab w:leader="none" w:pos="2479"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The Borrower shall pay to the Lender a commitment fee equal to the Commitment Fee Percentage </w:t>
      </w:r>
      <w:r>
        <w:rPr>
          <w:rFonts w:ascii="Arial" w:cs="Arial" w:eastAsia="Arial" w:hAnsi="Arial"/>
          <w:sz w:val="16"/>
          <w:szCs w:val="16"/>
          <w:i w:val="1"/>
          <w:iCs w:val="1"/>
          <w:color w:val="auto"/>
        </w:rPr>
        <w:t xml:space="preserve">multiplied by </w:t>
      </w:r>
      <w:r>
        <w:rPr>
          <w:rFonts w:ascii="Arial" w:cs="Arial" w:eastAsia="Arial" w:hAnsi="Arial"/>
          <w:sz w:val="16"/>
          <w:szCs w:val="16"/>
          <w:color w:val="auto"/>
        </w:rPr>
        <w:t>the actual daily amount by which the Commitment exceeds the Total Outstandings during the immediately preceding Fiscal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commitment fee shall accrue at all times during the Availability Period, including at any time during which one or more of the conditions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met, and shall be due and payable in arrears on the first day after the end of each March, June, September and December, or if such day is not a Business Day, on the next succeeding Business Day, and on the last day of the Availability Period.</w:t>
      </w:r>
    </w:p>
    <w:p>
      <w:pPr>
        <w:spacing w:after="0" w:line="161" w:lineRule="exact"/>
        <w:rPr>
          <w:rFonts w:ascii="Arial" w:cs="Arial" w:eastAsia="Arial" w:hAnsi="Arial"/>
          <w:sz w:val="16"/>
          <w:szCs w:val="16"/>
          <w:color w:val="auto"/>
        </w:rPr>
      </w:pPr>
    </w:p>
    <w:p>
      <w:pPr>
        <w:ind w:left="660" w:firstLine="644"/>
        <w:spacing w:after="0" w:line="277" w:lineRule="auto"/>
        <w:tabs>
          <w:tab w:leader="none" w:pos="23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 shall pay to the Lender for its own account fees in the amounts and at the times specified in the Fee Letter. Such fees shall be fully earned when paid and shall not be refundable for any reason whatsoever.</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2.09 Computation of Interest and Fees. </w:t>
      </w:r>
      <w:r>
        <w:rPr>
          <w:rFonts w:ascii="Arial" w:cs="Arial" w:eastAsia="Arial" w:hAnsi="Arial"/>
          <w:sz w:val="17"/>
          <w:szCs w:val="17"/>
          <w:color w:val="auto"/>
        </w:rPr>
        <w:t>All computations of interest for Base Rate Loans when the Base Rate is determined by Bank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America’s “prime rate” shall be made on the 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Section 2.11(a)</w:t>
      </w:r>
      <w:r>
        <w:rPr>
          <w:rFonts w:ascii="Arial" w:cs="Arial" w:eastAsia="Arial" w:hAnsi="Arial"/>
          <w:sz w:val="17"/>
          <w:szCs w:val="17"/>
          <w:color w:val="auto"/>
        </w:rPr>
        <w:t>, bear interest for one day. Each determination by the Lender of an interest rate or fee hereunder shall be conclusive and binding for all purposes, absent manifest error.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68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Evidence of Debt</w:t>
      </w:r>
      <w:r>
        <w:rPr>
          <w:rFonts w:ascii="Arial" w:cs="Arial" w:eastAsia="Arial" w:hAnsi="Arial"/>
          <w:sz w:val="16"/>
          <w:szCs w:val="16"/>
          <w:color w:val="auto"/>
        </w:rPr>
        <w:t>.</w:t>
      </w:r>
    </w:p>
    <w:p>
      <w:pPr>
        <w:spacing w:after="0" w:line="229" w:lineRule="exact"/>
        <w:rPr>
          <w:sz w:val="20"/>
          <w:szCs w:val="20"/>
          <w:color w:val="auto"/>
        </w:rPr>
      </w:pPr>
    </w:p>
    <w:p>
      <w:pPr>
        <w:jc w:val="both"/>
        <w:ind w:firstLine="644"/>
        <w:spacing w:after="0" w:line="287" w:lineRule="auto"/>
        <w:tabs>
          <w:tab w:leader="none" w:pos="1576"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Credit Extensions made by the Lender shall be evidenced by one or more accounts or records maintained by the Lender (the “</w:t>
      </w:r>
      <w:r>
        <w:rPr>
          <w:rFonts w:ascii="Arial" w:cs="Arial" w:eastAsia="Arial" w:hAnsi="Arial"/>
          <w:sz w:val="16"/>
          <w:szCs w:val="16"/>
          <w:u w:val="single" w:color="auto"/>
          <w:color w:val="auto"/>
        </w:rPr>
        <w:t>Loan Account</w:t>
      </w:r>
      <w:r>
        <w:rPr>
          <w:rFonts w:ascii="Arial" w:cs="Arial" w:eastAsia="Arial" w:hAnsi="Arial"/>
          <w:sz w:val="16"/>
          <w:szCs w:val="16"/>
          <w:color w:val="auto"/>
        </w:rPr>
        <w:t>”) in the ordinary course of business. In addition, the Lender may record in the Lender’s internal records, an appropriate notation evidencing the date and amount of each Loan from the Lender, each payment and prepayment of principal of any such Loan, and each payment of interest, fees and other amounts due in connection with the Obligations due to the Lender. The accounts or records maintained by the Lender shall be conclusive absent manifest error of the amount of the Credit Extensions made by the Lender to the Borrower and the interest and payments thereon. Any failure to so record or any error in doing so shall not, however, limit or otherwise affect the obligation of the Borrower hereunder to pay any amount owing with respect to the Obligations. Upon the request of the Lender, the Borrower shall execute and deliver to the Lender a Note, which shall evidence the Lender’s Loans in addition to such accounts or records. The Lender may attach schedules to its Note and endorse thereon the date, Type (if applicable), amount and maturity of its Loans and payments with respect thereto. Upon receipt of an affidavit and indemnity of the Lender as to the loss, theft, destruction or mutilation of the Lender’s Note and upon cancellation of such Note, the Borrower will issue, in lieu thereof, a replacement Note in favor of the Lender, in the same principal amount thereof and otherwise of like tenor.</w:t>
      </w:r>
    </w:p>
    <w:p>
      <w:pPr>
        <w:spacing w:after="0" w:line="1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Payments Generally; Lender’s Clawback</w:t>
      </w:r>
      <w:r>
        <w:rPr>
          <w:rFonts w:ascii="Arial" w:cs="Arial" w:eastAsia="Arial" w:hAnsi="Arial"/>
          <w:sz w:val="16"/>
          <w:szCs w:val="16"/>
          <w:color w:val="auto"/>
        </w:rPr>
        <w:t>.</w:t>
      </w:r>
    </w:p>
    <w:p>
      <w:pPr>
        <w:spacing w:after="0" w:line="229" w:lineRule="exact"/>
        <w:rPr>
          <w:sz w:val="20"/>
          <w:szCs w:val="20"/>
          <w:color w:val="auto"/>
        </w:rPr>
      </w:pPr>
    </w:p>
    <w:p>
      <w:pPr>
        <w:jc w:val="both"/>
        <w:ind w:firstLine="644"/>
        <w:spacing w:after="0" w:line="272" w:lineRule="auto"/>
        <w:tabs>
          <w:tab w:leader="none" w:pos="1738"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 shall be made without condition or deduction for any counterclaim, defense, recoupment or setoff. Except as otherwise expressly provided herein, all payments by the Borrower hereunder shall be made to the Lender, at the Lender’s Office in Dollars and in immediately available funds not later than 2:00 p.m. on the date specified herein. All payments received by the Lender after 2:00 p.m. shall, at the option of the Lender, be deemed received on the next succeeding Business Day and any applicable interest or fee shall continue to accrue. If any payment to be made by the Borrower shall come due on a day other than a Business Day, payment shall be made on the next following Business Day (other than with respect to payment of a Eurodollar Loan), and such extension of time shall be reflected in computing interest or fees, as the case may be.</w:t>
      </w:r>
    </w:p>
    <w:p>
      <w:pPr>
        <w:spacing w:after="0" w:line="177" w:lineRule="exact"/>
        <w:rPr>
          <w:rFonts w:ascii="Arial" w:cs="Arial" w:eastAsia="Arial" w:hAnsi="Arial"/>
          <w:sz w:val="17"/>
          <w:szCs w:val="17"/>
          <w:color w:val="auto"/>
        </w:rPr>
      </w:pPr>
    </w:p>
    <w:p>
      <w:pPr>
        <w:jc w:val="both"/>
        <w:ind w:firstLine="644"/>
        <w:spacing w:after="0" w:line="263" w:lineRule="auto"/>
        <w:tabs>
          <w:tab w:leader="none" w:pos="165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Funding Source</w:t>
      </w:r>
      <w:r>
        <w:rPr>
          <w:rFonts w:ascii="Arial" w:cs="Arial" w:eastAsia="Arial" w:hAnsi="Arial"/>
          <w:sz w:val="18"/>
          <w:szCs w:val="18"/>
          <w:color w:val="auto"/>
        </w:rPr>
        <w:t>. Nothing herein shall be deemed to obligate the Lender to obtain the funds for any Loan in any particular place or manner or to constitute a representation by the Lender that it has obtained or will obtain the funds for any Loan in any particular place or manner.</w:t>
      </w:r>
    </w:p>
    <w:p>
      <w:pPr>
        <w:spacing w:after="0" w:line="18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Increase in Commitments</w:t>
      </w:r>
      <w:r>
        <w:rPr>
          <w:rFonts w:ascii="Arial" w:cs="Arial" w:eastAsia="Arial" w:hAnsi="Arial"/>
          <w:sz w:val="16"/>
          <w:szCs w:val="16"/>
          <w:color w:val="auto"/>
        </w:rPr>
        <w:t>.</w:t>
      </w:r>
    </w:p>
    <w:p>
      <w:pPr>
        <w:spacing w:after="0" w:line="229" w:lineRule="exact"/>
        <w:rPr>
          <w:sz w:val="20"/>
          <w:szCs w:val="20"/>
          <w:color w:val="auto"/>
        </w:rPr>
      </w:pPr>
    </w:p>
    <w:p>
      <w:pPr>
        <w:jc w:val="both"/>
        <w:ind w:firstLine="644"/>
        <w:spacing w:after="0" w:line="293" w:lineRule="auto"/>
        <w:tabs>
          <w:tab w:leader="none" w:pos="176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Request for Increase</w:t>
      </w:r>
      <w:r>
        <w:rPr>
          <w:rFonts w:ascii="Arial" w:cs="Arial" w:eastAsia="Arial" w:hAnsi="Arial"/>
          <w:sz w:val="16"/>
          <w:szCs w:val="16"/>
          <w:color w:val="auto"/>
        </w:rPr>
        <w:t xml:space="preserve">. Provided no Default or Event of Default then exists or would arise therefrom, upon notice to the Lender, the Borrower may from time to time, request an increase in the Commitment by an amount (for all such requests) not exceeding $25,000,000;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request for an increase shall be in a minimum amount of $5,000,000, and (ii) the Borrower may make a maximum of [</w:t>
      </w:r>
      <w:r>
        <w:rPr>
          <w:rFonts w:ascii="Arial" w:cs="Arial" w:eastAsia="Arial" w:hAnsi="Arial"/>
          <w:sz w:val="16"/>
          <w:szCs w:val="16"/>
          <w:color w:val="FF0000"/>
          <w:strike w:val="1"/>
        </w:rPr>
        <w:t>two</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four</w:t>
      </w:r>
      <w:r>
        <w:rPr>
          <w:rFonts w:ascii="Arial" w:cs="Arial" w:eastAsia="Arial" w:hAnsi="Arial"/>
          <w:sz w:val="16"/>
          <w:szCs w:val="16"/>
          <w:color w:val="auto"/>
        </w:rPr>
        <w:t xml:space="preserve"> ([</w:t>
      </w:r>
      <w:r>
        <w:rPr>
          <w:rFonts w:ascii="Arial" w:cs="Arial" w:eastAsia="Arial" w:hAnsi="Arial"/>
          <w:sz w:val="16"/>
          <w:szCs w:val="16"/>
          <w:color w:val="FF0000"/>
          <w:strike w:val="1"/>
        </w:rPr>
        <w:t>2</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4</w:t>
      </w:r>
      <w:r>
        <w:rPr>
          <w:rFonts w:ascii="Arial" w:cs="Arial" w:eastAsia="Arial" w:hAnsi="Arial"/>
          <w:sz w:val="16"/>
          <w:szCs w:val="16"/>
          <w:color w:val="auto"/>
        </w:rPr>
        <w:t>) such requests. At the time of sending such notice, the Borrower shall specify the time period within which the Lender is requested to respond (which shall in no event be less than ten (10) Business Days from the date of delivery of such notice to the Lender). The Lender shall notify the Borrower of its willingness (or that it is not willing) to increase its Commitment within the time specified above.</w:t>
      </w:r>
    </w:p>
    <w:p>
      <w:pPr>
        <w:spacing w:after="0" w:line="16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69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9" w:name="page90"/>
    <w:bookmarkEnd w:id="89"/>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firstLine="644"/>
        <w:spacing w:after="0" w:line="277" w:lineRule="auto"/>
        <w:tabs>
          <w:tab w:leader="none" w:pos="16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If the Commitment is increased in accordance with this Section, the Lender, in consultation with the Borrower, shall determine the effective date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of such increase.</w:t>
      </w:r>
    </w:p>
    <w:p>
      <w:pPr>
        <w:spacing w:after="0" w:line="170" w:lineRule="exact"/>
        <w:rPr>
          <w:rFonts w:ascii="Arial" w:cs="Arial" w:eastAsia="Arial" w:hAnsi="Arial"/>
          <w:sz w:val="18"/>
          <w:szCs w:val="18"/>
          <w:color w:val="auto"/>
        </w:rPr>
      </w:pPr>
    </w:p>
    <w:p>
      <w:pPr>
        <w:jc w:val="both"/>
        <w:ind w:firstLine="644"/>
        <w:spacing w:after="0" w:line="287" w:lineRule="auto"/>
        <w:tabs>
          <w:tab w:leader="none" w:pos="1752"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xml:space="preserve">. As a condition precedent to such increase, (i) the Borrower shall deliver to the Lender a certificate of each Loan Party dated as of the Increase Effective Date signed by a Responsible Officer of such Loan Party (A) certifying and attaching the resolutions adopted by such Loan Party approving or consenting to such increase, and (B) in the case of the Borrower, certifying that, before and after giving effect to such increase, (1)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other Loan Documents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the representations and warranties contained in subsections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and (2) no Default or Event of Default exists or would arise therefrom, (ii) the Borrower shall have paid such fees to the Lender in respect of such increase as the Borrower and the Lender may agree; (iii) if requested by the Lender, the Borrower shall deliver an opinion or opinions, in form and substance reasonably satisfactory to the Lender, from counsel to the Borrower reasonably satisfactory to the Lender and dated such date; (iv) the Borrower shall have delivered such other instruments, documents and agreements as the Lender may reasonably have requested; and (v) no Default or Event of Default exists.</w:t>
      </w:r>
    </w:p>
    <w:p>
      <w:pPr>
        <w:spacing w:after="0" w:line="167" w:lineRule="exact"/>
        <w:rPr>
          <w:rFonts w:ascii="Arial" w:cs="Arial" w:eastAsia="Arial" w:hAnsi="Arial"/>
          <w:sz w:val="16"/>
          <w:szCs w:val="16"/>
          <w:color w:val="auto"/>
        </w:rPr>
      </w:pPr>
    </w:p>
    <w:p>
      <w:pPr>
        <w:ind w:left="1520" w:hanging="876"/>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This Section shall supersede any provisions in Section 9.01 to the contrary.</w:t>
      </w:r>
    </w:p>
    <w:p>
      <w:pPr>
        <w:spacing w:after="0" w:line="22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5"/>
          <w:szCs w:val="15"/>
          <w:b w:val="1"/>
          <w:bCs w:val="1"/>
          <w:color w:val="auto"/>
        </w:rPr>
        <w:t>Taxes.</w:t>
      </w:r>
    </w:p>
    <w:p>
      <w:pPr>
        <w:spacing w:after="0" w:line="229" w:lineRule="exact"/>
        <w:rPr>
          <w:sz w:val="20"/>
          <w:szCs w:val="20"/>
          <w:color w:val="auto"/>
        </w:rPr>
      </w:pPr>
    </w:p>
    <w:p>
      <w:pPr>
        <w:ind w:left="1800" w:hanging="1156"/>
        <w:spacing w:after="0"/>
        <w:tabs>
          <w:tab w:leader="none" w:pos="180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xml:space="preserve"> For purposes of this Section 3.01, the term “applicable Law” includes FATCA and the term “Lender”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includes any L/C Issuer.</w:t>
      </w:r>
    </w:p>
    <w:p>
      <w:pPr>
        <w:spacing w:after="0" w:line="210" w:lineRule="exact"/>
        <w:rPr>
          <w:rFonts w:ascii="Arial" w:cs="Arial" w:eastAsia="Arial" w:hAnsi="Arial"/>
          <w:sz w:val="17"/>
          <w:szCs w:val="17"/>
          <w:color w:val="auto"/>
        </w:rPr>
      </w:pPr>
    </w:p>
    <w:p>
      <w:pPr>
        <w:jc w:val="both"/>
        <w:ind w:firstLine="644"/>
        <w:spacing w:after="0" w:line="271" w:lineRule="auto"/>
        <w:tabs>
          <w:tab w:leader="none" w:pos="1789"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the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3.01) the Lender receives an amount equal to the sum it would have received had no such deduction or withholding been made.</w:t>
      </w:r>
    </w:p>
    <w:p>
      <w:pPr>
        <w:spacing w:after="0" w:line="17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70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0" w:name="page91"/>
    <w:bookmarkEnd w:id="90"/>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4"/>
        <w:spacing w:after="0" w:line="266" w:lineRule="auto"/>
        <w:tabs>
          <w:tab w:leader="none" w:pos="160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t>
      </w:r>
      <w:r>
        <w:rPr>
          <w:rFonts w:ascii="Arial" w:cs="Arial" w:eastAsia="Arial" w:hAnsi="Arial"/>
          <w:sz w:val="18"/>
          <w:szCs w:val="18"/>
          <w:color w:val="FF0000"/>
          <w:strike w:val="1"/>
        </w:rPr>
        <w:t>Without limiting the provisions of subsection (a) above, the</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The</w:t>
      </w:r>
      <w:r>
        <w:rPr>
          <w:rFonts w:ascii="Arial" w:cs="Arial" w:eastAsia="Arial" w:hAnsi="Arial"/>
          <w:sz w:val="18"/>
          <w:szCs w:val="18"/>
          <w:color w:val="auto"/>
        </w:rPr>
        <w:t xml:space="preserve"> Borrower shall timely pay to the relevant Governmental Authority in accordance with applicable Law, or at the option of the Lender timely reimburse it for the payment of, any Other Taxes.</w:t>
      </w:r>
    </w:p>
    <w:p>
      <w:pPr>
        <w:spacing w:after="0" w:line="179" w:lineRule="exact"/>
        <w:rPr>
          <w:rFonts w:ascii="Arial" w:cs="Arial" w:eastAsia="Arial" w:hAnsi="Arial"/>
          <w:sz w:val="18"/>
          <w:szCs w:val="18"/>
          <w:color w:val="auto"/>
        </w:rPr>
      </w:pPr>
    </w:p>
    <w:p>
      <w:pPr>
        <w:jc w:val="both"/>
        <w:ind w:firstLine="644"/>
        <w:spacing w:after="0" w:line="255" w:lineRule="auto"/>
        <w:tabs>
          <w:tab w:leader="none" w:pos="157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indemnify the Lender, within 10 days after demand therefor, for the full amount of any Indemnified Taxes (including Indemnified Taxes imposed or asserted on or attributable to amounts payable under this Section 3.01) payable or paid by the Lender or required to be withheld or deducted from a payment to the Lender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the Lender shall be conclusive absent manifest error.</w:t>
      </w:r>
    </w:p>
    <w:p>
      <w:pPr>
        <w:spacing w:after="0" w:line="192" w:lineRule="exact"/>
        <w:rPr>
          <w:rFonts w:ascii="Arial" w:cs="Arial" w:eastAsia="Arial" w:hAnsi="Arial"/>
          <w:sz w:val="18"/>
          <w:szCs w:val="18"/>
          <w:color w:val="auto"/>
        </w:rPr>
      </w:pPr>
    </w:p>
    <w:p>
      <w:pPr>
        <w:jc w:val="both"/>
        <w:ind w:right="20" w:firstLine="644"/>
        <w:spacing w:after="0" w:line="259" w:lineRule="auto"/>
        <w:tabs>
          <w:tab w:leader="none" w:pos="160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the Borrower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Lender the original or a certified copy of a receipt issued by such Governmental Authority evidencing such payment, a copy of any return required by applicable Law to report such payment or other evidence of such payment reasonably satisfactory to the Lender.</w:t>
      </w:r>
    </w:p>
    <w:p>
      <w:pPr>
        <w:spacing w:after="0" w:line="186" w:lineRule="exact"/>
        <w:rPr>
          <w:rFonts w:ascii="Arial" w:cs="Arial" w:eastAsia="Arial" w:hAnsi="Arial"/>
          <w:sz w:val="18"/>
          <w:szCs w:val="18"/>
          <w:color w:val="auto"/>
        </w:rPr>
      </w:pPr>
    </w:p>
    <w:p>
      <w:pPr>
        <w:ind w:left="1540" w:hanging="896"/>
        <w:spacing w:after="0"/>
        <w:tabs>
          <w:tab w:leader="none" w:pos="15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52"/>
        <w:spacing w:after="0" w:line="289" w:lineRule="auto"/>
        <w:tabs>
          <w:tab w:leader="none" w:pos="2438" w:val="left"/>
        </w:tabs>
        <w:numPr>
          <w:ilvl w:val="1"/>
          <w:numId w:val="81"/>
        </w:numPr>
        <w:rPr>
          <w:rFonts w:ascii="Arial" w:cs="Arial" w:eastAsia="Arial" w:hAnsi="Arial"/>
          <w:sz w:val="16"/>
          <w:szCs w:val="16"/>
          <w:color w:val="auto"/>
        </w:rPr>
      </w:pPr>
      <w:r>
        <w:rPr>
          <w:rFonts w:ascii="Arial" w:cs="Arial" w:eastAsia="Arial" w:hAnsi="Arial"/>
          <w:sz w:val="16"/>
          <w:szCs w:val="16"/>
          <w:color w:val="auto"/>
        </w:rPr>
        <w:t>If the Lender is entitled to an exemption from or reduction of withholding Tax with respect to payments made under any Loan Document, the Lender shall deliver to the Borrower, at the time or times reasonably requested by the Borrower, such properly completed and executed documentation reasonably requested by the Borrower as will permit such payments to be made without withholding or at a reduced rate of withholding. In addition, the Lender, if reasonably requested by the Borrower shall deliver such other documentation prescribed by applicable Law or reasonably requested by the Borrower as will enable the Borrower to determine whether or not the Lender is subject to backup withholding or information reporting requirements. Notwithstanding anything to the contrary in the preceding two sentences, the completion, execution and submission of such documentation shall not be required if in the Lender’s reasonable judgment such completion, execution or submission would subject the Lender to any material unreimbursed cost or expense or would materially prejudice the legal or commercial position of the Lender.</w:t>
      </w:r>
    </w:p>
    <w:p>
      <w:pPr>
        <w:spacing w:after="0" w:line="16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71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91" w:name="page92"/>
    <w:bookmarkEnd w:id="91"/>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2140" w:hanging="848"/>
        <w:spacing w:after="0"/>
        <w:tabs>
          <w:tab w:leader="none" w:pos="2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225" w:lineRule="exact"/>
        <w:rPr>
          <w:sz w:val="20"/>
          <w:szCs w:val="20"/>
          <w:color w:val="auto"/>
        </w:rPr>
      </w:pPr>
    </w:p>
    <w:p>
      <w:pPr>
        <w:jc w:val="both"/>
        <w:ind w:left="640" w:firstLine="652"/>
        <w:spacing w:after="0" w:line="286" w:lineRule="auto"/>
        <w:tabs>
          <w:tab w:leader="none" w:pos="219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the Lender is a U.S. Person, the Lender shall deliver to the Borrower on or prior to the date on which the Lender becomes a Lender under this Agreement (and from time to time thereafter upon the reasonable request of the Borrower), executed copies of IRS Form W-9 certifying that the Lender is exempt from U.S. federal backup withholding tax; and</w:t>
      </w:r>
    </w:p>
    <w:p>
      <w:pPr>
        <w:spacing w:after="0" w:line="165" w:lineRule="exact"/>
        <w:rPr>
          <w:rFonts w:ascii="Arial" w:cs="Arial" w:eastAsia="Arial" w:hAnsi="Arial"/>
          <w:sz w:val="17"/>
          <w:szCs w:val="17"/>
          <w:color w:val="auto"/>
        </w:rPr>
      </w:pPr>
    </w:p>
    <w:p>
      <w:pPr>
        <w:jc w:val="both"/>
        <w:ind w:left="640" w:firstLine="652"/>
        <w:spacing w:after="0" w:line="271" w:lineRule="auto"/>
        <w:tabs>
          <w:tab w:leader="none" w:pos="2387"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a payment made to the Lender under any Loan Document would be subject to U.S. federal withholding Tax imposed by FATCA if the Lender were to fail to comply with the applicable reporting requirements of FATCA (including those contained in Section 1471(b) or 1472(b) of the Code, as applicable), the Lender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 may be necessary for the Borrower to comply with their obligations under FATCA and to determine that the Lender has complied with the Lender’s obligations under FATCA or to determine the amount to deduct and withhold from such payment. Solely for purposes of this clause (D), “FATCA” shall include any amendments made to FATCA after the date of this Agreement.</w:t>
      </w:r>
    </w:p>
    <w:p>
      <w:pPr>
        <w:spacing w:after="0" w:line="178" w:lineRule="exact"/>
        <w:rPr>
          <w:sz w:val="20"/>
          <w:szCs w:val="20"/>
          <w:color w:val="auto"/>
        </w:rPr>
      </w:pPr>
    </w:p>
    <w:p>
      <w:pPr>
        <w:jc w:val="both"/>
        <w:ind w:left="640" w:firstLine="652"/>
        <w:spacing w:after="0" w:line="263" w:lineRule="auto"/>
        <w:tabs>
          <w:tab w:leader="none" w:pos="2233"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The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in writing of its legal inability to do so.</w:t>
      </w:r>
    </w:p>
    <w:p>
      <w:pPr>
        <w:spacing w:after="0" w:line="183" w:lineRule="exact"/>
        <w:rPr>
          <w:rFonts w:ascii="Arial" w:cs="Arial" w:eastAsia="Arial" w:hAnsi="Arial"/>
          <w:sz w:val="18"/>
          <w:szCs w:val="18"/>
          <w:color w:val="auto"/>
        </w:rPr>
      </w:pPr>
    </w:p>
    <w:p>
      <w:pPr>
        <w:jc w:val="both"/>
        <w:ind w:firstLine="644"/>
        <w:spacing w:after="0" w:line="268" w:lineRule="auto"/>
        <w:tabs>
          <w:tab w:leader="none" w:pos="1627"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If the Lender determines, in its sole discretion exercised in good faith, that it has received a refund of any Taxes as to which it has been indemnified by any Loan Party or with respect to which any Loan Party has paid additional amounts pursuant to this Section 3.01, it shall pay to the Loan Party an amount equal to such refund (but only to the extent of indemnity payments made, or additional amounts paid, by a Loan Party under this Section 3.01 with respect to the Taxes giving rise to such refund), net of all out-of-pocket expenses (including Taxes) incurred by Lender, and without interest (other than any interest paid by the relevant Governmental Authority with respect to such refund), provided that the Loan Party, upon the request of the Lender, agrees to repay the amount paid over to the Loan Party (plus any penalties, interest or other charges imposed by the relevant Governmental Authority) to the Lender in the event the Lender is required to repay such refund to such Governmental Authority. Notwithstanding anything to the contrary in this clause (h), in no event will the Lender be required to pay any amount to the Loan Party pursuant to this clause (g) the payment of which would place the Lender in a less favorable net after-Tax position than the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the Lender to make available its tax returns (or any other information relating to its taxes that it deems confidential) to any Loan Party or any other Person.</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72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3.02 Illegality. </w:t>
      </w:r>
      <w:r>
        <w:rPr>
          <w:rFonts w:ascii="Arial" w:cs="Arial" w:eastAsia="Arial" w:hAnsi="Arial"/>
          <w:sz w:val="16"/>
          <w:szCs w:val="16"/>
          <w:color w:val="auto"/>
        </w:rPr>
        <w:t>If the Lender determines that any Law has made it unlawful, or that any Governmental Authority has asserted that it is</w:t>
      </w:r>
      <w:r>
        <w:rPr>
          <w:rFonts w:ascii="Arial" w:cs="Arial" w:eastAsia="Arial" w:hAnsi="Arial"/>
          <w:sz w:val="16"/>
          <w:szCs w:val="16"/>
          <w:b w:val="1"/>
          <w:bCs w:val="1"/>
          <w:color w:val="auto"/>
        </w:rPr>
        <w:t xml:space="preserve"> </w:t>
      </w:r>
      <w:r>
        <w:rPr>
          <w:rFonts w:ascii="Arial" w:cs="Arial" w:eastAsia="Arial" w:hAnsi="Arial"/>
          <w:sz w:val="16"/>
          <w:szCs w:val="16"/>
          <w:color w:val="auto"/>
        </w:rPr>
        <w:t>unlawful, for the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the Lender to purchase or sell, or to take deposits of, Dollars in the London interbank market, then, upon notice thereof by the Lender to the Borrower,</w:t>
      </w:r>
    </w:p>
    <w:p>
      <w:pPr>
        <w:spacing w:after="0" w:line="2" w:lineRule="exact"/>
        <w:rPr>
          <w:sz w:val="20"/>
          <w:szCs w:val="20"/>
          <w:color w:val="auto"/>
        </w:rPr>
      </w:pPr>
    </w:p>
    <w:p>
      <w:pPr>
        <w:jc w:val="both"/>
        <w:ind w:firstLine="8"/>
        <w:spacing w:after="0" w:line="267" w:lineRule="auto"/>
        <w:tabs>
          <w:tab w:leader="none" w:pos="2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any obligation of the Lender to make or continue Eurodollar Rate Loans or to convert Base Rate Loans to Eurodollar Rate Loans shall be suspended, and (b) if such notice asserts the illegality of the Lender making or maintaining Base Rate Loans the interest rate on which is determined by reference to the Eurodollar Rate component of the Base Rate, the interest rate on which Base Rate Loans of the Lender shall, if necessary to avoid such illegality, be determined by the Lender without reference to the Eurodollar Rate component of the Base Rate, in each case until the Lender notifies the Borrower that the circumstances giving rise to such determination no longer exist. Upon receipt of such notice, (i) the Borrower shall, upon demand from the Lender, prepay or, if applicable, convert all Eurodollar Rate Loans of the Lender to Base Rate Loans (the interest rate on which Base Rate Loans of the Lender shall, if necessary to avoid such illegality, be determined by the Lender without reference to the Eurodollar Rate component of the Base Rate), either on the last day of the Interest Period therefor, if the Lender may lawfully continue to maintain such Eurodollar Rate Loans to such day, or immediately, if the Lender may not lawfully continue to maintain such Eurodollar Rate Loans and (ii) if such notice asserts the illegality of the Lender determining or charging interest rates based upon the Eurodollar Rate, the Lender shall during the period of such suspension compute the Base Rate applicable to the Lender without reference to the Eurodollar Rate component thereof until it is no longer illegal for the Lender to determine or charge interest rates based upon the Eurodollar Rate. Upon any such prepayment or conversion, the Borrower shall also pay accrued interest on the amount so prepaid or converted,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w:t>
      </w:r>
    </w:p>
    <w:p>
      <w:pPr>
        <w:spacing w:after="0" w:line="17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Inability to Determine Rates</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86" w:lineRule="auto"/>
        <w:tabs>
          <w:tab w:leader="none" w:pos="229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Subject to Section 3.03(c)</w:t>
      </w:r>
      <w:r>
        <w:rPr>
          <w:rFonts w:ascii="Arial" w:cs="Arial" w:eastAsia="Arial" w:hAnsi="Arial"/>
          <w:sz w:val="16"/>
          <w:szCs w:val="16"/>
          <w:color w:val="auto"/>
        </w:rPr>
        <w:t>, if in connection with any request for a Eurodollar Rate Loan or a conversion to or continuation thereof, (i) the Lender determines that (A) Dollar deposits are not being offered to banks in the London interbank Eurodollar market for the applicable amount and Interest Period of such Eurodollar Rate Loan, or (B) adequate and reasonable means do not exist for determining the Eurodollar Rate for any requested Interest Period with respect to a proposed Eurodollar Rate Loan or in connection with an existing or proposed Base Rate Loan utilizing the Eurodollar Rate Component (in each case with respect to this clause (i), “</w:t>
      </w:r>
      <w:r>
        <w:rPr>
          <w:rFonts w:ascii="Arial" w:cs="Arial" w:eastAsia="Arial" w:hAnsi="Arial"/>
          <w:sz w:val="16"/>
          <w:szCs w:val="16"/>
          <w:u w:val="single" w:color="auto"/>
          <w:color w:val="auto"/>
        </w:rPr>
        <w:t>Impacted Loans</w:t>
      </w:r>
      <w:r>
        <w:rPr>
          <w:rFonts w:ascii="Arial" w:cs="Arial" w:eastAsia="Arial" w:hAnsi="Arial"/>
          <w:sz w:val="16"/>
          <w:szCs w:val="16"/>
          <w:color w:val="auto"/>
        </w:rPr>
        <w:t>”), or (ii) the Lender determines that for any reason the Eurodollar Rate for any requested Interest Period with respect to a proposed Eurodollar Rate Loan does not adequately and fairly reflect the cost to the Lender of funding such Eurodollar Rate Loan, the Lender will promptly so notify the Borrower. Thereafter, (x) the obligation of the Lender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Lender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73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4"/>
        <w:spacing w:after="0" w:line="270" w:lineRule="auto"/>
        <w:tabs>
          <w:tab w:leader="none" w:pos="1762"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Notwithstanding the foregoing, if the Lender has made the determination described in clause (i) of Section 3.03(a), the Lender, in consultation with the Borrower, may establish an alternative interest rate for the Impacted Loans, in which case, such alternative rate of interest shall apply with respect to the Impacted Loans until (i) the Lender revokes the notice delivered with respect to the Impacted Loans under clause (i) of the first sentence of </w:t>
      </w:r>
      <w:r>
        <w:rPr>
          <w:rFonts w:ascii="Arial" w:cs="Arial" w:eastAsia="Arial" w:hAnsi="Arial"/>
          <w:sz w:val="17"/>
          <w:szCs w:val="17"/>
          <w:u w:val="single" w:color="auto"/>
          <w:color w:val="auto"/>
        </w:rPr>
        <w:t>Section 3.03(a)</w:t>
      </w:r>
      <w:r>
        <w:rPr>
          <w:rFonts w:ascii="Arial" w:cs="Arial" w:eastAsia="Arial" w:hAnsi="Arial"/>
          <w:sz w:val="17"/>
          <w:szCs w:val="17"/>
          <w:color w:val="auto"/>
        </w:rPr>
        <w:t>, (ii) the Lender notifies the Borrower that such alternative interest rate does not adequately and fairly reflect the cost to the Lender of funding the Impacted Loans, or (iii) the Lender determines that any Law has made it unlawful, or that any Governmental Authority has asserted that it is unlawful, for the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the Lender to do any of the foregoing and provides the Lender and the Borrower written notice thereof.</w:t>
      </w:r>
    </w:p>
    <w:p>
      <w:pPr>
        <w:spacing w:after="0" w:line="180" w:lineRule="exact"/>
        <w:rPr>
          <w:rFonts w:ascii="Arial" w:cs="Arial" w:eastAsia="Arial" w:hAnsi="Arial"/>
          <w:sz w:val="17"/>
          <w:szCs w:val="17"/>
          <w:color w:val="auto"/>
        </w:rPr>
      </w:pPr>
    </w:p>
    <w:p>
      <w:pPr>
        <w:ind w:firstLine="644"/>
        <w:spacing w:after="0" w:line="308" w:lineRule="auto"/>
        <w:tabs>
          <w:tab w:leader="none" w:pos="1590"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Loan Documents, if the Lender determines (which determination shall be conclusive absent manifest error), or the Borrower notifies the Lender that the Borrower has determined, that:</w:t>
      </w:r>
    </w:p>
    <w:p>
      <w:pPr>
        <w:spacing w:after="0" w:line="142" w:lineRule="exact"/>
        <w:rPr>
          <w:rFonts w:ascii="Arial" w:cs="Arial" w:eastAsia="Arial" w:hAnsi="Arial"/>
          <w:sz w:val="17"/>
          <w:szCs w:val="17"/>
          <w:color w:val="auto"/>
        </w:rPr>
      </w:pPr>
    </w:p>
    <w:p>
      <w:pPr>
        <w:jc w:val="both"/>
        <w:ind w:left="640" w:firstLine="652"/>
        <w:spacing w:after="0" w:line="266" w:lineRule="auto"/>
        <w:tabs>
          <w:tab w:leader="none" w:pos="2263"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adequate and reasonable means do not exist for ascertaining LIBOR for any[ </w:t>
      </w:r>
      <w:r>
        <w:rPr>
          <w:rFonts w:ascii="Arial" w:cs="Arial" w:eastAsia="Arial" w:hAnsi="Arial"/>
          <w:sz w:val="18"/>
          <w:szCs w:val="18"/>
          <w:color w:val="FF0000"/>
          <w:strike w:val="1"/>
        </w:rPr>
        <w:t>requested</w:t>
      </w:r>
      <w:r>
        <w:rPr>
          <w:rFonts w:ascii="Arial" w:cs="Arial" w:eastAsia="Arial" w:hAnsi="Arial"/>
          <w:sz w:val="18"/>
          <w:szCs w:val="18"/>
          <w:color w:val="auto"/>
        </w:rPr>
        <w:t xml:space="preserve">] Interest Period </w:t>
      </w:r>
      <w:r>
        <w:rPr>
          <w:rFonts w:ascii="Arial" w:cs="Arial" w:eastAsia="Arial" w:hAnsi="Arial"/>
          <w:sz w:val="18"/>
          <w:szCs w:val="18"/>
          <w:b w:val="1"/>
          <w:bCs w:val="1"/>
          <w:u w:val="single" w:color="auto"/>
          <w:color w:val="0000FF"/>
        </w:rPr>
        <w:t>hereunder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or any other tenors of LIBOR</w:t>
      </w:r>
      <w:r>
        <w:rPr>
          <w:rFonts w:ascii="Arial" w:cs="Arial" w:eastAsia="Arial" w:hAnsi="Arial"/>
          <w:sz w:val="18"/>
          <w:szCs w:val="18"/>
          <w:color w:val="000000"/>
        </w:rPr>
        <w:t>, including, without limitation, because the LIBOR Screen Rate is not available or published on a current</w:t>
      </w:r>
      <w:r>
        <w:rPr>
          <w:rFonts w:ascii="Arial" w:cs="Arial" w:eastAsia="Arial" w:hAnsi="Arial"/>
          <w:sz w:val="18"/>
          <w:szCs w:val="18"/>
          <w:b w:val="1"/>
          <w:bCs w:val="1"/>
          <w:color w:val="0000FF"/>
        </w:rPr>
        <w:t xml:space="preserve"> </w:t>
      </w:r>
      <w:r>
        <w:rPr>
          <w:rFonts w:ascii="Arial" w:cs="Arial" w:eastAsia="Arial" w:hAnsi="Arial"/>
          <w:sz w:val="18"/>
          <w:szCs w:val="18"/>
          <w:color w:val="000000"/>
        </w:rPr>
        <w:t>basis and such circumstances are unlikely to be temporary; or</w:t>
      </w:r>
    </w:p>
    <w:p>
      <w:pPr>
        <w:spacing w:after="0" w:line="175" w:lineRule="exact"/>
        <w:rPr>
          <w:rFonts w:ascii="Arial" w:cs="Arial" w:eastAsia="Arial" w:hAnsi="Arial"/>
          <w:sz w:val="18"/>
          <w:szCs w:val="18"/>
          <w:color w:val="auto"/>
        </w:rPr>
      </w:pPr>
    </w:p>
    <w:p>
      <w:pPr>
        <w:jc w:val="both"/>
        <w:ind w:left="640" w:firstLine="652"/>
        <w:spacing w:after="0" w:line="258" w:lineRule="auto"/>
        <w:tabs>
          <w:tab w:leader="none" w:pos="2286"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the administrator of the LIBOR Screen Rate or a Governmental Authority having jurisdiction over the Lender </w:t>
      </w:r>
      <w:r>
        <w:rPr>
          <w:rFonts w:ascii="Arial" w:cs="Arial" w:eastAsia="Arial" w:hAnsi="Arial"/>
          <w:sz w:val="18"/>
          <w:szCs w:val="18"/>
          <w:b w:val="1"/>
          <w:bCs w:val="1"/>
          <w:u w:val="single" w:color="auto"/>
          <w:color w:val="0000FF"/>
        </w:rPr>
        <w:t>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such administrator</w:t>
      </w:r>
      <w:r>
        <w:rPr>
          <w:rFonts w:ascii="Arial" w:cs="Arial" w:eastAsia="Arial" w:hAnsi="Arial"/>
          <w:sz w:val="18"/>
          <w:szCs w:val="18"/>
          <w:b w:val="1"/>
          <w:bCs w:val="1"/>
          <w:color w:val="0000FF"/>
        </w:rPr>
        <w:t xml:space="preserve"> </w:t>
      </w:r>
      <w:r>
        <w:rPr>
          <w:rFonts w:ascii="Arial" w:cs="Arial" w:eastAsia="Arial" w:hAnsi="Arial"/>
          <w:sz w:val="18"/>
          <w:szCs w:val="18"/>
          <w:color w:val="000000"/>
        </w:rPr>
        <w:t>has made a public statement identifying a specific date after which LIBOR or the LIBOR Screen Rate shall no</w:t>
      </w:r>
      <w:r>
        <w:rPr>
          <w:rFonts w:ascii="Arial" w:cs="Arial" w:eastAsia="Arial" w:hAnsi="Arial"/>
          <w:sz w:val="18"/>
          <w:szCs w:val="18"/>
          <w:b w:val="1"/>
          <w:bCs w:val="1"/>
          <w:color w:val="0000FF"/>
        </w:rPr>
        <w:t xml:space="preserve"> </w:t>
      </w:r>
      <w:r>
        <w:rPr>
          <w:rFonts w:ascii="Arial" w:cs="Arial" w:eastAsia="Arial" w:hAnsi="Arial"/>
          <w:sz w:val="18"/>
          <w:szCs w:val="18"/>
          <w:color w:val="000000"/>
        </w:rPr>
        <w:t>longer be made available, or used for determining the interest rate of loans, provided that, at the time of such statement, there is no successor administrator that is satisfactory to the Lender, that will continue to provide LIBOR after such specific date (such specific date, the “</w:t>
      </w:r>
      <w:r>
        <w:rPr>
          <w:rFonts w:ascii="Arial" w:cs="Arial" w:eastAsia="Arial" w:hAnsi="Arial"/>
          <w:sz w:val="18"/>
          <w:szCs w:val="18"/>
          <w:u w:val="single" w:color="auto"/>
          <w:color w:val="000000"/>
        </w:rPr>
        <w:t>Scheduled Unavailability Date</w:t>
      </w:r>
      <w:r>
        <w:rPr>
          <w:rFonts w:ascii="Arial" w:cs="Arial" w:eastAsia="Arial" w:hAnsi="Arial"/>
          <w:sz w:val="18"/>
          <w:szCs w:val="18"/>
          <w:color w:val="000000"/>
        </w:rPr>
        <w:t>”); [</w:t>
      </w:r>
      <w:r>
        <w:rPr>
          <w:rFonts w:ascii="Arial" w:cs="Arial" w:eastAsia="Arial" w:hAnsi="Arial"/>
          <w:sz w:val="18"/>
          <w:szCs w:val="18"/>
          <w:color w:val="FF0000"/>
          <w:strike w:val="1"/>
        </w:rPr>
        <w:t>or</w:t>
      </w:r>
      <w:r>
        <w:rPr>
          <w:rFonts w:ascii="Arial" w:cs="Arial" w:eastAsia="Arial" w:hAnsi="Arial"/>
          <w:sz w:val="18"/>
          <w:szCs w:val="18"/>
          <w:color w:val="000000"/>
        </w:rPr>
        <w:t>]</w:t>
      </w:r>
    </w:p>
    <w:p>
      <w:pPr>
        <w:spacing w:after="0" w:line="18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74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left="1300" w:firstLine="652"/>
        <w:spacing w:after="0" w:line="266" w:lineRule="auto"/>
        <w:tabs>
          <w:tab w:leader="none" w:pos="3041" w:val="left"/>
        </w:tabs>
        <w:numPr>
          <w:ilvl w:val="0"/>
          <w:numId w:val="89"/>
        </w:numPr>
        <w:rPr>
          <w:rFonts w:ascii="Arial" w:cs="Arial" w:eastAsia="Arial" w:hAnsi="Arial"/>
          <w:sz w:val="18"/>
          <w:szCs w:val="18"/>
          <w:b w:val="1"/>
          <w:bCs w:val="1"/>
          <w:color w:val="0000FF"/>
        </w:rPr>
      </w:pPr>
      <w:r>
        <w:rPr>
          <w:rFonts w:ascii="Arial" w:cs="Arial" w:eastAsia="Arial" w:hAnsi="Arial"/>
          <w:sz w:val="18"/>
          <w:szCs w:val="18"/>
          <w:b w:val="1"/>
          <w:bCs w:val="1"/>
          <w:u w:val="single" w:color="auto"/>
          <w:color w:val="0000FF"/>
        </w:rPr>
        <w:t xml:space="preserve">the administrator of the LIBOR Screen Rate or </w:t>
      </w:r>
      <w:r>
        <w:rPr>
          <w:rFonts w:ascii="Arial" w:cs="Arial" w:eastAsia="Arial" w:hAnsi="Arial"/>
          <w:sz w:val="18"/>
          <w:szCs w:val="18"/>
          <w:u w:val="single" w:color="auto"/>
          <w:color w:val="00C000"/>
        </w:rPr>
        <w:t>a Governmental Authority</w:t>
      </w:r>
      <w:r>
        <w:rPr>
          <w:rFonts w:ascii="Arial" w:cs="Arial" w:eastAsia="Arial" w:hAnsi="Arial"/>
          <w:sz w:val="18"/>
          <w:szCs w:val="18"/>
          <w:b w:val="1"/>
          <w:bCs w:val="1"/>
          <w:u w:val="single" w:color="auto"/>
          <w:color w:val="0000FF"/>
        </w:rPr>
        <w:t xml:space="preserve"> having jurisdiction over such administrator has made a public statement announcing that all Interest Periods and other tenors of LIBOR are no longer representative; or</w:t>
      </w:r>
    </w:p>
    <w:p>
      <w:pPr>
        <w:spacing w:after="0" w:line="175" w:lineRule="exact"/>
        <w:rPr>
          <w:rFonts w:ascii="Arial" w:cs="Arial" w:eastAsia="Arial" w:hAnsi="Arial"/>
          <w:sz w:val="18"/>
          <w:szCs w:val="18"/>
          <w:b w:val="1"/>
          <w:bCs w:val="1"/>
          <w:color w:val="0000FF"/>
        </w:rPr>
      </w:pPr>
    </w:p>
    <w:p>
      <w:pPr>
        <w:ind w:left="1300" w:firstLine="652"/>
        <w:spacing w:after="0" w:line="312" w:lineRule="auto"/>
        <w:tabs>
          <w:tab w:leader="none" w:pos="2792" w:val="left"/>
        </w:tabs>
        <w:numPr>
          <w:ilvl w:val="0"/>
          <w:numId w:val="89"/>
        </w:numPr>
        <w:rPr>
          <w:rFonts w:ascii="Arial" w:cs="Arial" w:eastAsia="Arial" w:hAnsi="Arial"/>
          <w:sz w:val="17"/>
          <w:szCs w:val="17"/>
          <w:color w:val="auto"/>
        </w:rPr>
      </w:pPr>
      <w:r>
        <w:rPr>
          <w:rFonts w:ascii="Arial" w:cs="Arial" w:eastAsia="Arial" w:hAnsi="Arial"/>
          <w:sz w:val="17"/>
          <w:szCs w:val="17"/>
          <w:b w:val="1"/>
          <w:bCs w:val="1"/>
          <w:u w:val="single" w:color="auto"/>
          <w:color w:val="0000FF"/>
        </w:rPr>
        <w:t>syndicated</w:t>
      </w:r>
      <w:r>
        <w:rPr>
          <w:rFonts w:ascii="Arial" w:cs="Arial" w:eastAsia="Arial" w:hAnsi="Arial"/>
          <w:sz w:val="17"/>
          <w:szCs w:val="17"/>
          <w:b w:val="1"/>
          <w:bCs w:val="1"/>
          <w:color w:val="0000FF"/>
        </w:rPr>
        <w:t xml:space="preserve"> </w:t>
      </w:r>
      <w:r>
        <w:rPr>
          <w:rFonts w:ascii="Arial" w:cs="Arial" w:eastAsia="Arial" w:hAnsi="Arial"/>
          <w:sz w:val="17"/>
          <w:szCs w:val="17"/>
          <w:color w:val="000000"/>
        </w:rPr>
        <w:t>loans currently being executed, or that include language similar to that contained in this Section 3.03, are</w:t>
      </w:r>
      <w:r>
        <w:rPr>
          <w:rFonts w:ascii="Arial" w:cs="Arial" w:eastAsia="Arial" w:hAnsi="Arial"/>
          <w:sz w:val="17"/>
          <w:szCs w:val="17"/>
          <w:b w:val="1"/>
          <w:bCs w:val="1"/>
          <w:color w:val="0000FF"/>
        </w:rPr>
        <w:t xml:space="preserve"> </w:t>
      </w:r>
      <w:r>
        <w:rPr>
          <w:rFonts w:ascii="Arial" w:cs="Arial" w:eastAsia="Arial" w:hAnsi="Arial"/>
          <w:sz w:val="17"/>
          <w:szCs w:val="17"/>
          <w:color w:val="000000"/>
        </w:rPr>
        <w:t>being executed or amended (as applicable) to incorporate or adopt a new benchmark interest rate to replace LIBOR[</w:t>
      </w:r>
      <w:r>
        <w:rPr>
          <w:rFonts w:ascii="Arial" w:cs="Arial" w:eastAsia="Arial" w:hAnsi="Arial"/>
          <w:sz w:val="17"/>
          <w:szCs w:val="17"/>
          <w:color w:val="FF0000"/>
          <w:strike w:val="1"/>
        </w:rPr>
        <w:t>,</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-747395</wp:posOffset>
            </wp:positionV>
            <wp:extent cx="368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then, reasonably promptly after</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u w:val="single" w:color="auto"/>
          <w:color w:val="0000FF"/>
        </w:rPr>
        <w:t>then, in the case of clauses (i)-(iii) above, on a date and time determined by the Lender (any such date, the “LIBOR Replacement Date”), which date shall be at the end of an Interest Period or on the relevant interest payment date, as applicable, for interest calculated and shall occur reasonably promptly upon the occurrence of any of the events or circumstances under clauses (i), (ii) or (iii) above and, solely with respect to clause (ii) above, no later than the Scheduled Unavailability Date, LIBOR will be replaced hereunder and under any Loan Document with, subject to the proviso below, the first available alternative set forth in the order below for any payment period for interest calculated that can be determined by the Lender, in each case, without any amendment to, or further action or consent of any other party to, this Agreement or any other Loan Document (the “LIBOR Successor Rate”; and any such rate before giving effect to the Related Adjustment, the “Pre-Adjustment Successor Rate”):</w:t>
      </w:r>
    </w:p>
    <w:p>
      <w:pPr>
        <w:spacing w:after="0" w:line="192" w:lineRule="exact"/>
        <w:rPr>
          <w:sz w:val="20"/>
          <w:szCs w:val="20"/>
          <w:color w:val="auto"/>
        </w:rPr>
      </w:pPr>
    </w:p>
    <w:p>
      <w:pPr>
        <w:ind w:left="1180" w:hanging="524"/>
        <w:spacing w:after="0"/>
        <w:tabs>
          <w:tab w:leader="none" w:pos="1180" w:val="left"/>
        </w:tabs>
        <w:numPr>
          <w:ilvl w:val="0"/>
          <w:numId w:val="90"/>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 xml:space="preserve">Term SOFR </w:t>
      </w:r>
      <w:r>
        <w:rPr>
          <w:rFonts w:ascii="Arial" w:cs="Arial" w:eastAsia="Arial" w:hAnsi="Arial"/>
          <w:sz w:val="18"/>
          <w:szCs w:val="18"/>
          <w:b w:val="1"/>
          <w:bCs w:val="1"/>
          <w:i w:val="1"/>
          <w:iCs w:val="1"/>
          <w:u w:val="single" w:color="auto"/>
          <w:color w:val="0000FF"/>
        </w:rPr>
        <w:t>plus</w:t>
      </w:r>
      <w:r>
        <w:rPr>
          <w:rFonts w:ascii="Arial" w:cs="Arial" w:eastAsia="Arial" w:hAnsi="Arial"/>
          <w:sz w:val="18"/>
          <w:szCs w:val="18"/>
          <w:b w:val="1"/>
          <w:bCs w:val="1"/>
          <w:u w:val="single" w:color="auto"/>
          <w:color w:val="0000FF"/>
        </w:rPr>
        <w:t xml:space="preserve"> the Related Adjustment; and</w:t>
      </w:r>
    </w:p>
    <w:p>
      <w:pPr>
        <w:spacing w:after="0" w:line="225" w:lineRule="exact"/>
        <w:rPr>
          <w:rFonts w:ascii="Arial" w:cs="Arial" w:eastAsia="Arial" w:hAnsi="Arial"/>
          <w:sz w:val="18"/>
          <w:szCs w:val="18"/>
          <w:b w:val="1"/>
          <w:bCs w:val="1"/>
          <w:u w:val="single" w:color="auto"/>
          <w:color w:val="0000FF"/>
        </w:rPr>
      </w:pPr>
    </w:p>
    <w:p>
      <w:pPr>
        <w:ind w:left="1220" w:hanging="564"/>
        <w:spacing w:after="0"/>
        <w:tabs>
          <w:tab w:leader="none" w:pos="1220" w:val="left"/>
        </w:tabs>
        <w:numPr>
          <w:ilvl w:val="0"/>
          <w:numId w:val="90"/>
        </w:numPr>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SOFR </w:t>
      </w:r>
      <w:r>
        <w:rPr>
          <w:rFonts w:ascii="Arial" w:cs="Arial" w:eastAsia="Arial" w:hAnsi="Arial"/>
          <w:sz w:val="18"/>
          <w:szCs w:val="18"/>
          <w:b w:val="1"/>
          <w:bCs w:val="1"/>
          <w:i w:val="1"/>
          <w:iCs w:val="1"/>
          <w:color w:val="0000FF"/>
        </w:rPr>
        <w:t>plus</w:t>
      </w:r>
      <w:r>
        <w:rPr>
          <w:rFonts w:ascii="Arial" w:cs="Arial" w:eastAsia="Arial" w:hAnsi="Arial"/>
          <w:sz w:val="18"/>
          <w:szCs w:val="18"/>
          <w:b w:val="1"/>
          <w:bCs w:val="1"/>
          <w:color w:val="0000FF"/>
        </w:rPr>
        <w:t xml:space="preserve"> the Related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21170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170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-7620</wp:posOffset>
            </wp:positionV>
            <wp:extent cx="21196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19630" cy="8890"/>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0000FF"/>
        </w:rPr>
        <w:t>and in the case of clause (iv) above, the Borrower and Lender may amend this Agreement solely for the purpose of replacing LIBOR under this Agreement and under any other Loan Document in accordance with the definition of “LIBOR Successor Rate”;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u w:val="single" w:color="auto"/>
          <w:color w:val="0000FF"/>
        </w:rPr>
        <w:t xml:space="preserve">provided </w:t>
      </w:r>
      <w:r>
        <w:rPr>
          <w:rFonts w:ascii="Arial" w:cs="Arial" w:eastAsia="Arial" w:hAnsi="Arial"/>
          <w:sz w:val="18"/>
          <w:szCs w:val="18"/>
          <w:b w:val="1"/>
          <w:bCs w:val="1"/>
          <w:u w:val="single" w:color="auto"/>
          <w:color w:val="0000FF"/>
        </w:rPr>
        <w:t>that, if the Lender determines that Term SOFR has become available, is administratively feasible for the Lender and would have been</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b w:val="1"/>
          <w:bCs w:val="1"/>
          <w:u w:val="single" w:color="auto"/>
          <w:color w:val="0000FF"/>
        </w:rPr>
        <w:t xml:space="preserve">identified as the Pre-Adjustment Successor Rate in accordance with the foregoing if it had been so available at the time that the LIBOR Successor Rate then in effect was so identified, and the Lender notifies the Borrower of such availability, then from and after the beginning of the Interest Period, relevant interest payment date or payment period for interest calculated, in each case, commencing no less than thirty (30) days after the date of such notice, the Pre-Adjustment Successor Rate shall be Term SOFR and the LIBOR Successor Rate shall be Term SOFR </w:t>
      </w:r>
      <w:r>
        <w:rPr>
          <w:rFonts w:ascii="Arial" w:cs="Arial" w:eastAsia="Arial" w:hAnsi="Arial"/>
          <w:sz w:val="18"/>
          <w:szCs w:val="18"/>
          <w:b w:val="1"/>
          <w:bCs w:val="1"/>
          <w:i w:val="1"/>
          <w:iCs w:val="1"/>
          <w:u w:val="single" w:color="auto"/>
          <w:color w:val="0000FF"/>
        </w:rPr>
        <w:t>plus</w:t>
      </w:r>
      <w:r>
        <w:rPr>
          <w:rFonts w:ascii="Arial" w:cs="Arial" w:eastAsia="Arial" w:hAnsi="Arial"/>
          <w:sz w:val="18"/>
          <w:szCs w:val="18"/>
          <w:b w:val="1"/>
          <w:bCs w:val="1"/>
          <w:u w:val="single" w:color="auto"/>
          <w:color w:val="0000FF"/>
        </w:rPr>
        <w:t xml:space="preserve"> the relevant Related Adjustment.</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0000FF"/>
        </w:rPr>
        <w:t>The Lender will promptly (in one or more notices) notify the Borrower of (x) any occurrence of any of the events, periods or circumstances under clauses (i) through (iii) above, (y) a LIBOR Replacement Date and (z) the LIBOR Successor Rate.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75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u w:val="single" w:color="auto"/>
          <w:color w:val="0000FF"/>
        </w:rPr>
        <w:t xml:space="preserve">Any </w:t>
      </w:r>
      <w:r>
        <w:rPr>
          <w:rFonts w:ascii="Arial" w:cs="Arial" w:eastAsia="Arial" w:hAnsi="Arial"/>
          <w:sz w:val="16"/>
          <w:szCs w:val="16"/>
          <w:u w:val="single" w:color="auto"/>
          <w:color w:val="00C000"/>
        </w:rPr>
        <w:t>LIBOR Successor Rate shall be applied in a manner consistent with market practice; provided that to the extent such market practice is not</w:t>
      </w:r>
      <w:r>
        <w:rPr>
          <w:rFonts w:ascii="Arial" w:cs="Arial" w:eastAsia="Arial" w:hAnsi="Arial"/>
          <w:sz w:val="16"/>
          <w:szCs w:val="16"/>
          <w:b w:val="1"/>
          <w:bCs w:val="1"/>
          <w:u w:val="single" w:color="auto"/>
          <w:color w:val="0000FF"/>
        </w:rPr>
        <w:t xml:space="preserve"> </w:t>
      </w:r>
      <w:r>
        <w:rPr>
          <w:rFonts w:ascii="Arial" w:cs="Arial" w:eastAsia="Arial" w:hAnsi="Arial"/>
          <w:sz w:val="16"/>
          <w:szCs w:val="16"/>
          <w:u w:val="single" w:color="auto"/>
          <w:color w:val="00C000"/>
        </w:rPr>
        <w:t>administratively feasible for the Lender, such LIBOR Successor Rate shall be applied in a manner as otherwise reasonably determined by the Lender</w:t>
      </w:r>
      <w:r>
        <w:rPr>
          <w:rFonts w:ascii="Arial" w:cs="Arial" w:eastAsia="Arial" w:hAnsi="Arial"/>
          <w:sz w:val="16"/>
          <w:szCs w:val="16"/>
          <w:b w:val="1"/>
          <w:bCs w:val="1"/>
          <w:u w:val="single" w:color="auto"/>
          <w:color w:val="0000FF"/>
        </w:rPr>
        <w:t>.</w:t>
      </w:r>
    </w:p>
    <w:p>
      <w:pPr>
        <w:spacing w:after="0" w:line="1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u w:val="single" w:color="auto"/>
          <w:color w:val="00C000"/>
        </w:rPr>
        <w:t xml:space="preserve">Notwithstanding anything else herein, </w:t>
      </w:r>
      <w:r>
        <w:rPr>
          <w:rFonts w:ascii="Arial" w:cs="Arial" w:eastAsia="Arial" w:hAnsi="Arial"/>
          <w:sz w:val="17"/>
          <w:szCs w:val="17"/>
          <w:b w:val="1"/>
          <w:bCs w:val="1"/>
          <w:u w:val="single" w:color="auto"/>
          <w:color w:val="0000FF"/>
        </w:rPr>
        <w:t>if at any time any LIBOR Successor Rate as so determined would otherwise be less than 0.25%, the</w:t>
      </w:r>
      <w:r>
        <w:rPr>
          <w:rFonts w:ascii="Arial" w:cs="Arial" w:eastAsia="Arial" w:hAnsi="Arial"/>
          <w:sz w:val="17"/>
          <w:szCs w:val="17"/>
          <w:u w:val="single" w:color="auto"/>
          <w:color w:val="00C000"/>
        </w:rPr>
        <w:t xml:space="preserve"> </w:t>
      </w:r>
      <w:r>
        <w:rPr>
          <w:rFonts w:ascii="Arial" w:cs="Arial" w:eastAsia="Arial" w:hAnsi="Arial"/>
          <w:sz w:val="17"/>
          <w:szCs w:val="17"/>
          <w:b w:val="1"/>
          <w:bCs w:val="1"/>
          <w:u w:val="single" w:color="auto"/>
          <w:color w:val="0000FF"/>
        </w:rPr>
        <w:t xml:space="preserve">LIBOR Successor Rate will be deemed to be 0.25% for the </w:t>
      </w:r>
      <w:r>
        <w:rPr>
          <w:rFonts w:ascii="Arial" w:cs="Arial" w:eastAsia="Arial" w:hAnsi="Arial"/>
          <w:sz w:val="17"/>
          <w:szCs w:val="17"/>
          <w:u w:val="single" w:color="auto"/>
          <w:color w:val="00C000"/>
        </w:rPr>
        <w:t>purposes of this Agreement</w:t>
      </w:r>
      <w:r>
        <w:rPr>
          <w:rFonts w:ascii="Arial" w:cs="Arial" w:eastAsia="Arial" w:hAnsi="Arial"/>
          <w:sz w:val="17"/>
          <w:szCs w:val="17"/>
          <w:b w:val="1"/>
          <w:bCs w:val="1"/>
          <w:u w:val="single" w:color="auto"/>
          <w:color w:val="0000FF"/>
        </w:rPr>
        <w:t xml:space="preserve"> and the other Loan Documents</w:t>
      </w:r>
      <w:r>
        <w:rPr>
          <w:rFonts w:ascii="Arial" w:cs="Arial" w:eastAsia="Arial" w:hAnsi="Arial"/>
          <w:sz w:val="17"/>
          <w:szCs w:val="17"/>
          <w:u w:val="single" w:color="auto"/>
          <w:color w:val="00C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-61595</wp:posOffset>
            </wp:positionV>
            <wp:extent cx="285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-61595</wp:posOffset>
            </wp:positionV>
            <wp:extent cx="285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u w:val="single" w:color="auto"/>
          <w:color w:val="00C000"/>
        </w:rPr>
        <w:t>In connection with the implementation of a LIBOR Successor Rate, the Lender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w:t>
      </w:r>
      <w:r>
        <w:rPr>
          <w:rFonts w:ascii="Arial" w:cs="Arial" w:eastAsia="Arial" w:hAnsi="Arial"/>
          <w:sz w:val="17"/>
          <w:szCs w:val="17"/>
          <w:b w:val="1"/>
          <w:bCs w:val="1"/>
          <w:u w:val="single" w:color="auto"/>
          <w:color w:val="0000FF"/>
        </w:rPr>
        <w:t>; provided</w:t>
      </w:r>
      <w:r>
        <w:rPr>
          <w:rFonts w:ascii="Arial" w:cs="Arial" w:eastAsia="Arial" w:hAnsi="Arial"/>
          <w:sz w:val="17"/>
          <w:szCs w:val="17"/>
          <w:u w:val="single" w:color="auto"/>
          <w:color w:val="00C000"/>
        </w:rPr>
        <w:t xml:space="preserve"> </w:t>
      </w:r>
      <w:r>
        <w:rPr>
          <w:rFonts w:ascii="Arial" w:cs="Arial" w:eastAsia="Arial" w:hAnsi="Arial"/>
          <w:sz w:val="17"/>
          <w:szCs w:val="17"/>
          <w:b w:val="1"/>
          <w:bCs w:val="1"/>
          <w:u w:val="single" w:color="auto"/>
          <w:color w:val="0000FF"/>
        </w:rPr>
        <w:t>that, with respect to any such amendment effected, the Lender shall post each such amendment implementing such LIBOR Successor Rate Conforming Changes to the Borrower reasonably promptly after such amendment becomes effective.</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0000FF"/>
        </w:rPr>
        <w:t>If the events or circumstances of the type described in 3.03(c)(i)-(iii) have occurred with respect to the LIBOR Successor Rate then in effect, then the successor rate thereto shall be determined in accordance with the definition of “LIBOR Successor Rate.”</w:t>
      </w:r>
    </w:p>
    <w:p>
      <w:pPr>
        <w:spacing w:after="0" w:line="162" w:lineRule="exact"/>
        <w:rPr>
          <w:sz w:val="20"/>
          <w:szCs w:val="20"/>
          <w:color w:val="auto"/>
        </w:rPr>
      </w:pPr>
    </w:p>
    <w:p>
      <w:pPr>
        <w:jc w:val="both"/>
        <w:ind w:left="660" w:firstLine="644"/>
        <w:spacing w:after="0" w:line="286" w:lineRule="auto"/>
        <w:tabs>
          <w:tab w:leader="none" w:pos="2198" w:val="left"/>
        </w:tabs>
        <w:numPr>
          <w:ilvl w:val="0"/>
          <w:numId w:val="91"/>
        </w:numPr>
        <w:rPr>
          <w:rFonts w:ascii="Arial" w:cs="Arial" w:eastAsia="Arial" w:hAnsi="Arial"/>
          <w:sz w:val="16"/>
          <w:szCs w:val="16"/>
          <w:b w:val="1"/>
          <w:bCs w:val="1"/>
          <w:color w:val="0000FF"/>
        </w:rPr>
      </w:pPr>
      <w:r>
        <w:rPr>
          <w:rFonts w:ascii="Arial" w:cs="Arial" w:eastAsia="Arial" w:hAnsi="Arial"/>
          <w:sz w:val="16"/>
          <w:szCs w:val="16"/>
          <w:b w:val="1"/>
          <w:bCs w:val="1"/>
          <w:u w:val="single" w:color="auto"/>
          <w:color w:val="0000FF"/>
        </w:rPr>
        <w:t>Notwithstanding anything to the contrary herein, (i) after any</w:t>
      </w:r>
      <w:r>
        <w:rPr>
          <w:rFonts w:ascii="Arial" w:cs="Arial" w:eastAsia="Arial" w:hAnsi="Arial"/>
          <w:sz w:val="16"/>
          <w:szCs w:val="16"/>
          <w:b w:val="1"/>
          <w:bCs w:val="1"/>
          <w:color w:val="0000FF"/>
        </w:rPr>
        <w:t xml:space="preserve"> </w:t>
      </w:r>
      <w:r>
        <w:rPr>
          <w:rFonts w:ascii="Arial" w:cs="Arial" w:eastAsia="Arial" w:hAnsi="Arial"/>
          <w:sz w:val="16"/>
          <w:szCs w:val="16"/>
          <w:color w:val="000000"/>
        </w:rPr>
        <w:t>such determination by the Lender or receipt by the Lender</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of </w:t>
      </w:r>
      <w:r>
        <w:rPr>
          <w:rFonts w:ascii="Arial" w:cs="Arial" w:eastAsia="Arial" w:hAnsi="Arial"/>
          <w:sz w:val="16"/>
          <w:szCs w:val="16"/>
          <w:b w:val="1"/>
          <w:bCs w:val="1"/>
          <w:u w:val="single" w:color="auto"/>
          <w:color w:val="0000FF"/>
        </w:rPr>
        <w:t>any</w:t>
      </w:r>
      <w:r>
        <w:rPr>
          <w:rFonts w:ascii="Arial" w:cs="Arial" w:eastAsia="Arial" w:hAnsi="Arial"/>
          <w:sz w:val="16"/>
          <w:szCs w:val="16"/>
          <w:color w:val="000000"/>
        </w:rPr>
        <w:t xml:space="preserve"> such notice </w:t>
      </w:r>
      <w:r>
        <w:rPr>
          <w:rFonts w:ascii="Arial" w:cs="Arial" w:eastAsia="Arial" w:hAnsi="Arial"/>
          <w:sz w:val="16"/>
          <w:szCs w:val="16"/>
          <w:b w:val="1"/>
          <w:bCs w:val="1"/>
          <w:u w:val="single" w:color="auto"/>
          <w:color w:val="0000FF"/>
        </w:rPr>
        <w:t>described under Section 3.03(c)(i)-(iii)</w:t>
      </w:r>
      <w:r>
        <w:rPr>
          <w:rFonts w:ascii="Arial" w:cs="Arial" w:eastAsia="Arial" w:hAnsi="Arial"/>
          <w:sz w:val="16"/>
          <w:szCs w:val="16"/>
          <w:color w:val="000000"/>
        </w:rPr>
        <w:t>, as applicable</w:t>
      </w:r>
      <w:r>
        <w:rPr>
          <w:rFonts w:ascii="Arial" w:cs="Arial" w:eastAsia="Arial" w:hAnsi="Arial"/>
          <w:sz w:val="16"/>
          <w:szCs w:val="16"/>
          <w:b w:val="1"/>
          <w:bCs w:val="1"/>
          <w:u w:val="single" w:color="auto"/>
          <w:color w:val="0000FF"/>
        </w:rPr>
        <w:t>, if the Lender determines that none of the LIBOR Successor Rates</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is available on or prior to the LIBOR Replacement Date, (ii) if the events or circumstances described in Section 3.03(c)(iv) have occurred but none of the LIBOR Successor Rates is available, or (iii) if the events or circumstances of the type described in Section 3.03(c)(i)-(iii) have occurred with respect to the LIBOR Successor Rate then in effect and the Lender determines that none of the LIBOR Successor Rates is available, then in each case</w:t>
      </w:r>
      <w:r>
        <w:rPr>
          <w:rFonts w:ascii="Arial" w:cs="Arial" w:eastAsia="Arial" w:hAnsi="Arial"/>
          <w:sz w:val="16"/>
          <w:szCs w:val="16"/>
          <w:color w:val="000000"/>
        </w:rPr>
        <w:t>, the Lender and the Borrower may amend this Agreement solely for the purpose of replacing LIBOR</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or any</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then current LIBOR Successor Rate</w:t>
      </w:r>
      <w:r>
        <w:rPr>
          <w:rFonts w:ascii="Arial" w:cs="Arial" w:eastAsia="Arial" w:hAnsi="Arial"/>
          <w:sz w:val="16"/>
          <w:szCs w:val="16"/>
          <w:b w:val="1"/>
          <w:bCs w:val="1"/>
          <w:color w:val="0000FF"/>
        </w:rPr>
        <w:t xml:space="preserve"> </w:t>
      </w:r>
      <w:r>
        <w:rPr>
          <w:rFonts w:ascii="Arial" w:cs="Arial" w:eastAsia="Arial" w:hAnsi="Arial"/>
          <w:sz w:val="16"/>
          <w:szCs w:val="16"/>
          <w:color w:val="000000"/>
        </w:rPr>
        <w:t>in accordance with this Section 3.03</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at the end of any Interest Period, relevant interest payment date</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or payment period for interest calculated, as applicable,</w:t>
      </w:r>
      <w:r>
        <w:rPr>
          <w:rFonts w:ascii="Arial" w:cs="Arial" w:eastAsia="Arial" w:hAnsi="Arial"/>
          <w:sz w:val="16"/>
          <w:szCs w:val="16"/>
          <w:b w:val="1"/>
          <w:bCs w:val="1"/>
          <w:color w:val="0000FF"/>
        </w:rPr>
        <w:t xml:space="preserve"> </w:t>
      </w:r>
      <w:r>
        <w:rPr>
          <w:rFonts w:ascii="Arial" w:cs="Arial" w:eastAsia="Arial" w:hAnsi="Arial"/>
          <w:sz w:val="16"/>
          <w:szCs w:val="16"/>
          <w:color w:val="000000"/>
        </w:rPr>
        <w:t>with[</w:t>
      </w:r>
      <w:r>
        <w:rPr>
          <w:rFonts w:ascii="Arial" w:cs="Arial" w:eastAsia="Arial" w:hAnsi="Arial"/>
          <w:sz w:val="16"/>
          <w:szCs w:val="16"/>
          <w:b w:val="1"/>
          <w:bCs w:val="1"/>
          <w:color w:val="0000FF"/>
        </w:rPr>
        <w:t xml:space="preserve"> </w:t>
      </w:r>
      <w:r>
        <w:rPr>
          <w:rFonts w:ascii="Arial" w:cs="Arial" w:eastAsia="Arial" w:hAnsi="Arial"/>
          <w:sz w:val="16"/>
          <w:szCs w:val="16"/>
          <w:color w:val="FF0000"/>
          <w:strike w:val="1"/>
        </w:rPr>
        <w:t>(x) one or more SOFR-Based Rates or (y)</w:t>
      </w:r>
      <w:r>
        <w:rPr>
          <w:rFonts w:ascii="Arial" w:cs="Arial" w:eastAsia="Arial" w:hAnsi="Arial"/>
          <w:sz w:val="16"/>
          <w:szCs w:val="16"/>
          <w:color w:val="000000"/>
        </w:rPr>
        <w:t>] another alternate benchmark rate</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giving due consideration to any evolving or then existing convention for similar U.S. dollar denominated </w:t>
      </w:r>
      <w:r>
        <w:rPr>
          <w:rFonts w:ascii="Arial" w:cs="Arial" w:eastAsia="Arial" w:hAnsi="Arial"/>
          <w:sz w:val="16"/>
          <w:szCs w:val="16"/>
          <w:b w:val="1"/>
          <w:bCs w:val="1"/>
          <w:u w:val="single" w:color="auto"/>
          <w:color w:val="0000FF"/>
        </w:rPr>
        <w:t>syndicated</w:t>
      </w:r>
      <w:r>
        <w:rPr>
          <w:rFonts w:ascii="Arial" w:cs="Arial" w:eastAsia="Arial" w:hAnsi="Arial"/>
          <w:sz w:val="16"/>
          <w:szCs w:val="16"/>
          <w:color w:val="000000"/>
        </w:rPr>
        <w:t xml:space="preserve"> credit facilities for such alternative benchmarks and, in each case, including any </w:t>
      </w:r>
      <w:r>
        <w:rPr>
          <w:rFonts w:ascii="Arial" w:cs="Arial" w:eastAsia="Arial" w:hAnsi="Arial"/>
          <w:sz w:val="16"/>
          <w:szCs w:val="16"/>
          <w:b w:val="1"/>
          <w:bCs w:val="1"/>
          <w:u w:val="single" w:color="auto"/>
          <w:color w:val="0000FF"/>
        </w:rPr>
        <w:t>Related Adjustments and any other</w:t>
      </w:r>
      <w:r>
        <w:rPr>
          <w:rFonts w:ascii="Arial" w:cs="Arial" w:eastAsia="Arial" w:hAnsi="Arial"/>
          <w:sz w:val="16"/>
          <w:szCs w:val="16"/>
          <w:color w:val="000000"/>
        </w:rPr>
        <w:t xml:space="preserve">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Lender from time to time in its reasonable discretion and may be periodically updated</w:t>
      </w:r>
      <w:r>
        <w:rPr>
          <w:rFonts w:ascii="Arial" w:cs="Arial" w:eastAsia="Arial" w:hAnsi="Arial"/>
          <w:sz w:val="16"/>
          <w:szCs w:val="16"/>
          <w:b w:val="1"/>
          <w:bCs w:val="1"/>
          <w:u w:val="single" w:color="auto"/>
          <w:color w:val="0000FF"/>
        </w:rPr>
        <w:t>. For</w:t>
      </w:r>
      <w:r>
        <w:rPr>
          <w:rFonts w:ascii="Arial" w:cs="Arial" w:eastAsia="Arial" w:hAnsi="Arial"/>
          <w:sz w:val="16"/>
          <w:szCs w:val="16"/>
          <w:color w:val="000000"/>
        </w:rPr>
        <w:t xml:space="preserve"> [</w:t>
      </w:r>
      <w:r>
        <w:rPr>
          <w:rFonts w:ascii="Arial" w:cs="Arial" w:eastAsia="Arial" w:hAnsi="Arial"/>
          <w:sz w:val="16"/>
          <w:szCs w:val="16"/>
          <w:color w:val="FF0000"/>
          <w:strike w:val="1"/>
        </w:rPr>
        <w:t>(</w:t>
      </w:r>
      <w:r>
        <w:rPr>
          <w:rFonts w:ascii="Arial" w:cs="Arial" w:eastAsia="Arial" w:hAnsi="Arial"/>
          <w:sz w:val="16"/>
          <w:szCs w:val="16"/>
          <w:color w:val="000000"/>
        </w:rPr>
        <w:t>]the [</w:t>
      </w: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Adjustment</w:t>
      </w:r>
      <w:r>
        <w:rPr>
          <w:rFonts w:ascii="Arial" w:cs="Arial" w:eastAsia="Arial" w:hAnsi="Arial"/>
          <w:sz w:val="16"/>
          <w:szCs w:val="16"/>
          <w:color w:val="FF0000"/>
          <w:strike w:val="1"/>
        </w:rPr>
        <w:t>;” and</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avoidance of doubt,</w:t>
      </w:r>
      <w:r>
        <w:rPr>
          <w:rFonts w:ascii="Arial" w:cs="Arial" w:eastAsia="Arial" w:hAnsi="Arial"/>
          <w:sz w:val="16"/>
          <w:szCs w:val="16"/>
          <w:color w:val="000000"/>
        </w:rPr>
        <w:t xml:space="preserve"> any such proposed rate[</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and adjustments shall constitute</w:t>
      </w:r>
      <w:r>
        <w:rPr>
          <w:rFonts w:ascii="Arial" w:cs="Arial" w:eastAsia="Arial" w:hAnsi="Arial"/>
          <w:sz w:val="16"/>
          <w:szCs w:val="16"/>
          <w:color w:val="000000"/>
        </w:rPr>
        <w:t xml:space="preserve"> a [</w:t>
      </w:r>
      <w:r>
        <w:rPr>
          <w:rFonts w:ascii="Arial" w:cs="Arial" w:eastAsia="Arial" w:hAnsi="Arial"/>
          <w:sz w:val="16"/>
          <w:szCs w:val="16"/>
          <w:color w:val="FF0000"/>
          <w:strike w:val="1"/>
        </w:rPr>
        <w:t>“</w:t>
      </w:r>
      <w:r>
        <w:rPr>
          <w:rFonts w:ascii="Arial" w:cs="Arial" w:eastAsia="Arial" w:hAnsi="Arial"/>
          <w:sz w:val="16"/>
          <w:szCs w:val="16"/>
          <w:color w:val="000000"/>
        </w:rPr>
        <w:t>]LIBOR Successor Rate[</w:t>
      </w:r>
      <w:r>
        <w:rPr>
          <w:rFonts w:ascii="Arial" w:cs="Arial" w:eastAsia="Arial" w:hAnsi="Arial"/>
          <w:sz w:val="16"/>
          <w:szCs w:val="16"/>
          <w:color w:val="FF0000"/>
          <w:strike w:val="1"/>
        </w:rPr>
        <w:t>”). Such</w:t>
      </w:r>
      <w:r>
        <w:rPr>
          <w:rFonts w:ascii="Arial" w:cs="Arial" w:eastAsia="Arial" w:hAnsi="Arial"/>
          <w:sz w:val="16"/>
          <w:szCs w:val="16"/>
          <w:color w:val="000000"/>
        </w:rPr>
        <w:t xml:space="preserve">] </w:t>
      </w:r>
      <w:r>
        <w:rPr>
          <w:rFonts w:ascii="Arial" w:cs="Arial" w:eastAsia="Arial" w:hAnsi="Arial"/>
          <w:sz w:val="16"/>
          <w:szCs w:val="16"/>
          <w:color w:val="00C000"/>
          <w:strike w:val="1"/>
        </w:rPr>
        <w:t>LIBOR Successor Rate shall be applied in a</w:t>
      </w:r>
      <w:r>
        <w:rPr>
          <w:rFonts w:ascii="Arial" w:cs="Arial" w:eastAsia="Arial" w:hAnsi="Arial"/>
          <w:sz w:val="16"/>
          <w:szCs w:val="16"/>
          <w:color w:val="000000"/>
        </w:rPr>
        <w:t xml:space="preserve"> </w:t>
      </w:r>
      <w:r>
        <w:rPr>
          <w:rFonts w:ascii="Arial" w:cs="Arial" w:eastAsia="Arial" w:hAnsi="Arial"/>
          <w:sz w:val="16"/>
          <w:szCs w:val="16"/>
          <w:color w:val="00C000"/>
          <w:strike w:val="1"/>
        </w:rPr>
        <w:t xml:space="preserve">manner consistent with market practice; </w:t>
      </w:r>
      <w:r>
        <w:rPr>
          <w:rFonts w:ascii="Arial" w:cs="Arial" w:eastAsia="Arial" w:hAnsi="Arial"/>
          <w:sz w:val="16"/>
          <w:szCs w:val="16"/>
          <w:i w:val="1"/>
          <w:iCs w:val="1"/>
          <w:color w:val="00C000"/>
          <w:strike w:val="1"/>
        </w:rPr>
        <w:t>provided</w:t>
      </w:r>
      <w:r>
        <w:rPr>
          <w:rFonts w:ascii="Arial" w:cs="Arial" w:eastAsia="Arial" w:hAnsi="Arial"/>
          <w:sz w:val="16"/>
          <w:szCs w:val="16"/>
          <w:color w:val="00C000"/>
          <w:strike w:val="1"/>
        </w:rPr>
        <w:t xml:space="preserve"> that to the extent such market practice is not administratively feasible for the Lender, such LIBOR Successor Rate shall be applied in a manner as otherwise reasonably determined by the Lender.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76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left="660" w:firstLine="644"/>
        <w:spacing w:after="0" w:line="270" w:lineRule="auto"/>
        <w:tabs>
          <w:tab w:leader="none" w:pos="2398" w:val="left"/>
        </w:tabs>
        <w:numPr>
          <w:ilvl w:val="0"/>
          <w:numId w:val="92"/>
        </w:numPr>
        <w:rPr>
          <w:rFonts w:ascii="Arial" w:cs="Arial" w:eastAsia="Arial" w:hAnsi="Arial"/>
          <w:sz w:val="17"/>
          <w:szCs w:val="17"/>
          <w:b w:val="1"/>
          <w:bCs w:val="1"/>
          <w:color w:val="0000FF"/>
        </w:rPr>
      </w:pPr>
      <w:r>
        <w:rPr>
          <w:rFonts w:ascii="Arial" w:cs="Arial" w:eastAsia="Arial" w:hAnsi="Arial"/>
          <w:sz w:val="17"/>
          <w:szCs w:val="17"/>
          <w:color w:val="auto"/>
        </w:rPr>
        <w:t>If</w:t>
      </w:r>
      <w:r>
        <w:rPr>
          <w:rFonts w:ascii="Arial" w:cs="Arial" w:eastAsia="Arial" w:hAnsi="Arial"/>
          <w:sz w:val="17"/>
          <w:szCs w:val="17"/>
          <w:b w:val="1"/>
          <w:bCs w:val="1"/>
          <w:u w:val="single" w:color="auto"/>
          <w:color w:val="0000FF"/>
        </w:rPr>
        <w:t>, at the end of any Interest Period, relevant interest payment date or payment period for interest calculated,</w:t>
      </w:r>
      <w:r>
        <w:rPr>
          <w:rFonts w:ascii="Arial" w:cs="Arial" w:eastAsia="Arial" w:hAnsi="Arial"/>
          <w:sz w:val="17"/>
          <w:szCs w:val="17"/>
          <w:color w:val="auto"/>
        </w:rPr>
        <w:t xml:space="preserve"> no LIBOR Successor Rate has been determined </w:t>
      </w:r>
      <w:r>
        <w:rPr>
          <w:rFonts w:ascii="Arial" w:cs="Arial" w:eastAsia="Arial" w:hAnsi="Arial"/>
          <w:sz w:val="17"/>
          <w:szCs w:val="17"/>
          <w:b w:val="1"/>
          <w:bCs w:val="1"/>
          <w:u w:val="single" w:color="auto"/>
          <w:color w:val="0000FF"/>
        </w:rPr>
        <w:t>in accordance with clauses (c) or (d) of this Section 3.03</w:t>
      </w:r>
      <w:r>
        <w:rPr>
          <w:rFonts w:ascii="Arial" w:cs="Arial" w:eastAsia="Arial" w:hAnsi="Arial"/>
          <w:sz w:val="17"/>
          <w:szCs w:val="17"/>
          <w:color w:val="auto"/>
        </w:rPr>
        <w:t xml:space="preserve"> and the circumstances under [</w:t>
      </w:r>
      <w:r>
        <w:rPr>
          <w:rFonts w:ascii="Arial" w:cs="Arial" w:eastAsia="Arial" w:hAnsi="Arial"/>
          <w:sz w:val="17"/>
          <w:szCs w:val="17"/>
          <w:color w:val="FF0000"/>
          <w:strike w:val="1"/>
        </w:rPr>
        <w:t>clause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clauses (c)</w:t>
      </w:r>
      <w:r>
        <w:rPr>
          <w:rFonts w:ascii="Arial" w:cs="Arial" w:eastAsia="Arial" w:hAnsi="Arial"/>
          <w:sz w:val="17"/>
          <w:szCs w:val="17"/>
          <w:color w:val="auto"/>
        </w:rPr>
        <w:t>(i</w:t>
      </w:r>
      <w:r>
        <w:rPr>
          <w:rFonts w:ascii="Arial" w:cs="Arial" w:eastAsia="Arial" w:hAnsi="Arial"/>
          <w:sz w:val="17"/>
          <w:szCs w:val="17"/>
          <w:b w:val="1"/>
          <w:bCs w:val="1"/>
          <w:u w:val="single" w:color="auto"/>
          <w:color w:val="0000FF"/>
        </w:rPr>
        <w:t>) or (c)(iii</w:t>
      </w:r>
      <w:r>
        <w:rPr>
          <w:rFonts w:ascii="Arial" w:cs="Arial" w:eastAsia="Arial" w:hAnsi="Arial"/>
          <w:sz w:val="17"/>
          <w:szCs w:val="17"/>
          <w:color w:val="auto"/>
        </w:rPr>
        <w:t xml:space="preserve">) above exist or the Scheduled Unavailability Date has occurred (as applicable), the Lender will promptly so notify the Borrower. Thereafter, (x) the obligation of the Lender to make or maintain Eurodollar Rate Loans shall be suspended, (to the extent of the affected Eurodollar Rate Loans[ </w:t>
      </w:r>
      <w:r>
        <w:rPr>
          <w:rFonts w:ascii="Arial" w:cs="Arial" w:eastAsia="Arial" w:hAnsi="Arial"/>
          <w:sz w:val="17"/>
          <w:szCs w:val="17"/>
          <w:color w:val="FF0000"/>
          <w:strike w:val="1"/>
        </w:rPr>
        <w:t>or</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w:t>
      </w:r>
      <w:r>
        <w:rPr>
          <w:rFonts w:ascii="Arial" w:cs="Arial" w:eastAsia="Arial" w:hAnsi="Arial"/>
          <w:sz w:val="17"/>
          <w:szCs w:val="17"/>
          <w:color w:val="auto"/>
        </w:rPr>
        <w:t xml:space="preserve"> Interest Periods</w:t>
      </w:r>
      <w:r>
        <w:rPr>
          <w:rFonts w:ascii="Arial" w:cs="Arial" w:eastAsia="Arial" w:hAnsi="Arial"/>
          <w:sz w:val="17"/>
          <w:szCs w:val="17"/>
          <w:b w:val="1"/>
          <w:bCs w:val="1"/>
          <w:u w:val="single" w:color="auto"/>
          <w:color w:val="0000FF"/>
        </w:rPr>
        <w:t>, interest payment dates or payment periods</w:t>
      </w:r>
      <w:r>
        <w:rPr>
          <w:rFonts w:ascii="Arial" w:cs="Arial" w:eastAsia="Arial" w:hAnsi="Arial"/>
          <w:sz w:val="17"/>
          <w:szCs w:val="17"/>
          <w:color w:val="auto"/>
        </w:rPr>
        <w:t>), and (y) the Eurodollar Rate component shall no longer be utilized in determining the Base Rate</w:t>
      </w:r>
      <w:r>
        <w:rPr>
          <w:rFonts w:ascii="Arial" w:cs="Arial" w:eastAsia="Arial" w:hAnsi="Arial"/>
          <w:sz w:val="17"/>
          <w:szCs w:val="17"/>
          <w:b w:val="1"/>
          <w:bCs w:val="1"/>
          <w:u w:val="single" w:color="auto"/>
          <w:color w:val="0000FF"/>
        </w:rPr>
        <w:t>, until the LIBOR Successor Rate has been determined in accordance with clauses (c) or (d)</w:t>
      </w:r>
      <w:r>
        <w:rPr>
          <w:rFonts w:ascii="Arial" w:cs="Arial" w:eastAsia="Arial" w:hAnsi="Arial"/>
          <w:sz w:val="17"/>
          <w:szCs w:val="17"/>
          <w:color w:val="auto"/>
        </w:rPr>
        <w:t xml:space="preserve">. Upon receipt of such notice, the Borrower may revoke any pending request for a Borrowing of, conversion to or continuation of Eurodollar Rate Loans (to the extent of the affected Eurodollar Rate Loans[ </w:t>
      </w:r>
      <w:r>
        <w:rPr>
          <w:rFonts w:ascii="Arial" w:cs="Arial" w:eastAsia="Arial" w:hAnsi="Arial"/>
          <w:sz w:val="17"/>
          <w:szCs w:val="17"/>
          <w:color w:val="FF0000"/>
          <w:strike w:val="1"/>
        </w:rPr>
        <w:t>or</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w:t>
      </w:r>
      <w:r>
        <w:rPr>
          <w:rFonts w:ascii="Arial" w:cs="Arial" w:eastAsia="Arial" w:hAnsi="Arial"/>
          <w:sz w:val="17"/>
          <w:szCs w:val="17"/>
          <w:color w:val="auto"/>
        </w:rPr>
        <w:t xml:space="preserve"> Interest Periods</w:t>
      </w:r>
      <w:r>
        <w:rPr>
          <w:rFonts w:ascii="Arial" w:cs="Arial" w:eastAsia="Arial" w:hAnsi="Arial"/>
          <w:sz w:val="17"/>
          <w:szCs w:val="17"/>
          <w:b w:val="1"/>
          <w:bCs w:val="1"/>
          <w:u w:val="single" w:color="auto"/>
          <w:color w:val="0000FF"/>
        </w:rPr>
        <w:t>, interest payment dates or payment periods</w:t>
      </w:r>
      <w:r>
        <w:rPr>
          <w:rFonts w:ascii="Arial" w:cs="Arial" w:eastAsia="Arial" w:hAnsi="Arial"/>
          <w:sz w:val="17"/>
          <w:szCs w:val="17"/>
          <w:color w:val="auto"/>
        </w:rPr>
        <w:t xml:space="preserve">) or, failing that, will be deemed to have converted such request into a request for a </w:t>
      </w:r>
      <w:r>
        <w:rPr>
          <w:rFonts w:ascii="Arial" w:cs="Arial" w:eastAsia="Arial" w:hAnsi="Arial"/>
          <w:sz w:val="17"/>
          <w:szCs w:val="17"/>
          <w:b w:val="1"/>
          <w:bCs w:val="1"/>
          <w:u w:val="single" w:color="auto"/>
          <w:color w:val="0000FF"/>
        </w:rPr>
        <w:t>Committed</w:t>
      </w:r>
      <w:r>
        <w:rPr>
          <w:rFonts w:ascii="Arial" w:cs="Arial" w:eastAsia="Arial" w:hAnsi="Arial"/>
          <w:sz w:val="17"/>
          <w:szCs w:val="17"/>
          <w:color w:val="auto"/>
        </w:rPr>
        <w:t xml:space="preserve"> Borrowing of Base Rate Loans (subject to the foregoing clause (y)) in the amount specified therein.</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00C000"/>
          <w:strike w:val="1"/>
        </w:rPr>
        <w:t>Notwithstanding anything else herein,</w:t>
      </w:r>
      <w:r>
        <w:rPr>
          <w:rFonts w:ascii="Arial" w:cs="Arial" w:eastAsia="Arial" w:hAnsi="Arial"/>
          <w:sz w:val="18"/>
          <w:szCs w:val="18"/>
          <w:color w:val="00C000"/>
        </w:rPr>
        <w:t xml:space="preserve"> </w:t>
      </w:r>
      <w:r>
        <w:rPr>
          <w:rFonts w:ascii="Arial" w:cs="Arial" w:eastAsia="Arial" w:hAnsi="Arial"/>
          <w:sz w:val="18"/>
          <w:szCs w:val="18"/>
          <w:color w:val="000000"/>
        </w:rPr>
        <w:t>[</w:t>
      </w:r>
      <w:r>
        <w:rPr>
          <w:rFonts w:ascii="Arial" w:cs="Arial" w:eastAsia="Arial" w:hAnsi="Arial"/>
          <w:sz w:val="18"/>
          <w:szCs w:val="18"/>
          <w:color w:val="FF0000"/>
          <w:strike w:val="1"/>
        </w:rPr>
        <w:t>any definition of LIBOR Successor Rate shall provide that in no event shall such LIBOR Successor Rate</w:t>
      </w:r>
      <w:r>
        <w:rPr>
          <w:rFonts w:ascii="Arial" w:cs="Arial" w:eastAsia="Arial" w:hAnsi="Arial"/>
          <w:sz w:val="18"/>
          <w:szCs w:val="18"/>
          <w:color w:val="00C000"/>
        </w:rPr>
        <w:t xml:space="preserve"> </w:t>
      </w:r>
      <w:r>
        <w:rPr>
          <w:rFonts w:ascii="Arial" w:cs="Arial" w:eastAsia="Arial" w:hAnsi="Arial"/>
          <w:sz w:val="18"/>
          <w:szCs w:val="18"/>
          <w:color w:val="FF0000"/>
          <w:strike w:val="1"/>
        </w:rPr>
        <w:t>be less than one percent (1.00%) for</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color w:val="00C000"/>
          <w:strike w:val="1"/>
        </w:rPr>
        <w:t>purposes of this Agreement.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00C000"/>
          <w:strike w:val="1"/>
        </w:rPr>
        <w:t>In connection with the implementation of a LIBOR Successor Rate, the Lender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w:t>
      </w:r>
      <w:r>
        <w:rPr>
          <w:rFonts w:ascii="Arial" w:cs="Arial" w:eastAsia="Arial" w:hAnsi="Arial"/>
          <w:sz w:val="16"/>
          <w:szCs w:val="16"/>
          <w:color w:val="000000"/>
          <w:strike w:val="1"/>
        </w:rPr>
        <w:t>[</w:t>
      </w:r>
      <w:r>
        <w:rPr>
          <w:rFonts w:ascii="Arial" w:cs="Arial" w:eastAsia="Arial" w:hAnsi="Arial"/>
          <w:sz w:val="16"/>
          <w:szCs w:val="16"/>
          <w:color w:val="FF0000"/>
          <w:strike w:val="1"/>
        </w:rPr>
        <w:t>.</w:t>
      </w:r>
      <w:r>
        <w:rPr>
          <w:rFonts w:ascii="Arial" w:cs="Arial" w:eastAsia="Arial" w:hAnsi="Arial"/>
          <w:sz w:val="16"/>
          <w:szCs w:val="16"/>
          <w:color w:val="000000"/>
          <w:strike w:val="1"/>
        </w:rPr>
        <w:t>]</w:t>
      </w:r>
    </w:p>
    <w:p>
      <w:pPr>
        <w:spacing w:after="0" w:line="14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color w:val="auto"/>
        </w:rPr>
        <w:t>Increased Costs; Reserves on Eurodollar Rate Loans</w:t>
      </w:r>
      <w:r>
        <w:rPr>
          <w:rFonts w:ascii="Arial" w:cs="Arial" w:eastAsia="Arial" w:hAnsi="Arial"/>
          <w:sz w:val="15"/>
          <w:szCs w:val="15"/>
          <w:color w:val="auto"/>
        </w:rPr>
        <w:t>.</w:t>
      </w:r>
    </w:p>
    <w:p>
      <w:pPr>
        <w:spacing w:after="0" w:line="229" w:lineRule="exact"/>
        <w:rPr>
          <w:sz w:val="20"/>
          <w:szCs w:val="20"/>
          <w:color w:val="auto"/>
        </w:rPr>
      </w:pPr>
    </w:p>
    <w:p>
      <w:pPr>
        <w:ind w:left="2180" w:hanging="876"/>
        <w:spacing w:after="0"/>
        <w:tabs>
          <w:tab w:leader="none" w:pos="21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3125"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the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the L/C Issuer;</w:t>
      </w:r>
    </w:p>
    <w:p>
      <w:pPr>
        <w:spacing w:after="0" w:line="179" w:lineRule="exact"/>
        <w:rPr>
          <w:rFonts w:ascii="Arial" w:cs="Arial" w:eastAsia="Arial" w:hAnsi="Arial"/>
          <w:sz w:val="18"/>
          <w:szCs w:val="18"/>
          <w:color w:val="auto"/>
        </w:rPr>
      </w:pPr>
    </w:p>
    <w:p>
      <w:pPr>
        <w:jc w:val="both"/>
        <w:ind w:left="1300" w:firstLine="652"/>
        <w:spacing w:after="0" w:line="261" w:lineRule="auto"/>
        <w:tabs>
          <w:tab w:leader="none" w:pos="2946" w:val="left"/>
        </w:tabs>
        <w:numPr>
          <w:ilvl w:val="1"/>
          <w:numId w:val="93"/>
        </w:numPr>
        <w:rPr>
          <w:rFonts w:ascii="Arial" w:cs="Arial" w:eastAsia="Arial" w:hAnsi="Arial"/>
          <w:sz w:val="18"/>
          <w:szCs w:val="18"/>
          <w:color w:val="auto"/>
        </w:rPr>
      </w:pPr>
      <w:r>
        <w:rPr>
          <w:rFonts w:ascii="Arial" w:cs="Arial" w:eastAsia="Arial" w:hAnsi="Arial"/>
          <w:sz w:val="18"/>
          <w:szCs w:val="18"/>
          <w:color w:val="auto"/>
        </w:rPr>
        <w:t>subject the Lender or the L/C Issuer to any [</w:t>
      </w:r>
      <w:r>
        <w:rPr>
          <w:rFonts w:ascii="Arial" w:cs="Arial" w:eastAsia="Arial" w:hAnsi="Arial"/>
          <w:sz w:val="18"/>
          <w:szCs w:val="18"/>
          <w:color w:val="FF0000"/>
          <w:strike w:val="1"/>
        </w:rPr>
        <w:t>tax of any kind whatsoever</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Tax</w:t>
      </w:r>
      <w:r>
        <w:rPr>
          <w:rFonts w:ascii="Arial" w:cs="Arial" w:eastAsia="Arial" w:hAnsi="Arial"/>
          <w:sz w:val="18"/>
          <w:szCs w:val="18"/>
          <w:color w:val="auto"/>
        </w:rPr>
        <w:t xml:space="preserve"> with respect to this Agreement, any Letter of Credit, any participation in a Letter of Credit or any Eurodollar Rate Loan made by it[</w:t>
      </w:r>
      <w:r>
        <w:rPr>
          <w:rFonts w:ascii="Arial" w:cs="Arial" w:eastAsia="Arial" w:hAnsi="Arial"/>
          <w:sz w:val="18"/>
          <w:szCs w:val="18"/>
          <w:color w:val="FF0000"/>
          <w:strike w:val="1"/>
        </w:rPr>
        <w:t>, or change the basis of taxation of</w:t>
      </w:r>
      <w:r>
        <w:rPr>
          <w:rFonts w:ascii="Arial" w:cs="Arial" w:eastAsia="Arial" w:hAnsi="Arial"/>
          <w:sz w:val="18"/>
          <w:szCs w:val="18"/>
          <w:color w:val="auto"/>
        </w:rPr>
        <w:t xml:space="preserve"> </w:t>
      </w:r>
      <w:r>
        <w:rPr>
          <w:rFonts w:ascii="Arial" w:cs="Arial" w:eastAsia="Arial" w:hAnsi="Arial"/>
          <w:sz w:val="18"/>
          <w:szCs w:val="18"/>
          <w:color w:val="FF0000"/>
          <w:strike w:val="1"/>
        </w:rPr>
        <w:t>payments</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color w:val="00C000"/>
          <w:strike w:val="1"/>
        </w:rPr>
        <w:t>to the Lender or the L/C Issuer</w:t>
      </w:r>
      <w:r>
        <w:rPr>
          <w:rFonts w:ascii="Arial" w:cs="Arial" w:eastAsia="Arial" w:hAnsi="Arial"/>
          <w:sz w:val="18"/>
          <w:szCs w:val="18"/>
          <w:color w:val="FF0000"/>
        </w:rPr>
        <w:t xml:space="preserve"> </w:t>
      </w:r>
      <w:r>
        <w:rPr>
          <w:rFonts w:ascii="Arial" w:cs="Arial" w:eastAsia="Arial" w:hAnsi="Arial"/>
          <w:sz w:val="18"/>
          <w:szCs w:val="18"/>
          <w:color w:val="000000"/>
        </w:rPr>
        <w:t>[</w:t>
      </w:r>
      <w:r>
        <w:rPr>
          <w:rFonts w:ascii="Arial" w:cs="Arial" w:eastAsia="Arial" w:hAnsi="Arial"/>
          <w:sz w:val="18"/>
          <w:szCs w:val="18"/>
          <w:color w:val="FF0000"/>
          <w:strike w:val="1"/>
        </w:rPr>
        <w:t>in respect thereof</w:t>
      </w:r>
      <w:r>
        <w:rPr>
          <w:rFonts w:ascii="Arial" w:cs="Arial" w:eastAsia="Arial" w:hAnsi="Arial"/>
          <w:sz w:val="18"/>
          <w:szCs w:val="18"/>
          <w:color w:val="000000"/>
        </w:rPr>
        <w:t>] (except for (A) Indemnified Taxes, (B) Taxes described in clauses (b)</w:t>
      </w:r>
      <w:r>
        <w:rPr>
          <w:rFonts w:ascii="Arial" w:cs="Arial" w:eastAsia="Arial" w:hAnsi="Arial"/>
          <w:sz w:val="18"/>
          <w:szCs w:val="18"/>
          <w:color w:val="FF0000"/>
        </w:rPr>
        <w:t xml:space="preserve"> </w:t>
      </w:r>
      <w:r>
        <w:rPr>
          <w:rFonts w:ascii="Arial" w:cs="Arial" w:eastAsia="Arial" w:hAnsi="Arial"/>
          <w:sz w:val="18"/>
          <w:szCs w:val="18"/>
          <w:color w:val="000000"/>
        </w:rPr>
        <w:t>through ([</w:t>
      </w:r>
      <w:r>
        <w:rPr>
          <w:rFonts w:ascii="Arial" w:cs="Arial" w:eastAsia="Arial" w:hAnsi="Arial"/>
          <w:sz w:val="18"/>
          <w:szCs w:val="18"/>
          <w:color w:val="FF0000"/>
          <w:strike w:val="1"/>
        </w:rPr>
        <w:t>c</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d</w:t>
      </w:r>
      <w:r>
        <w:rPr>
          <w:rFonts w:ascii="Arial" w:cs="Arial" w:eastAsia="Arial" w:hAnsi="Arial"/>
          <w:sz w:val="18"/>
          <w:szCs w:val="18"/>
          <w:color w:val="000000"/>
        </w:rPr>
        <w:t>) of the definition of Excluded Taxes and (C) or Connection Income Taxes);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77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ind w:left="1300" w:firstLine="652"/>
        <w:spacing w:after="0" w:line="347" w:lineRule="auto"/>
        <w:tabs>
          <w:tab w:leader="none" w:pos="2812"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impose on the Lender or the L/C Issuer or the London interbank market any other condition, cost or expense </w:t>
      </w:r>
      <w:r>
        <w:rPr>
          <w:rFonts w:ascii="Arial" w:cs="Arial" w:eastAsia="Arial" w:hAnsi="Arial"/>
          <w:sz w:val="16"/>
          <w:szCs w:val="16"/>
          <w:b w:val="1"/>
          <w:bCs w:val="1"/>
          <w:u w:val="single" w:color="auto"/>
          <w:color w:val="0000FF"/>
        </w:rPr>
        <w:t>(other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than Taxes)</w:t>
      </w:r>
      <w:r>
        <w:rPr>
          <w:rFonts w:ascii="Arial" w:cs="Arial" w:eastAsia="Arial" w:hAnsi="Arial"/>
          <w:sz w:val="16"/>
          <w:szCs w:val="16"/>
          <w:b w:val="1"/>
          <w:bCs w:val="1"/>
          <w:color w:val="0000FF"/>
        </w:rPr>
        <w:t xml:space="preserve"> </w:t>
      </w:r>
      <w:r>
        <w:rPr>
          <w:rFonts w:ascii="Arial" w:cs="Arial" w:eastAsia="Arial" w:hAnsi="Arial"/>
          <w:sz w:val="16"/>
          <w:szCs w:val="16"/>
          <w:color w:val="000000"/>
        </w:rPr>
        <w:t>affecting this Agreement or Eurodollar Rate Loans made by the Lender or any Letter of Credit or participation therein;</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the result of any of the foregoing shall be to increase the cost to the Lender of making, converting to, continuing or maintaining any Eurodollar Rate Loan (or of maintaining its obligation to make any such Loan), or to increase the cost to the Lender or the L/C Issuer of participating in, issuing or maintaining any Letter of Credit (or of maintaining its obligation to participate in or to issue any Letter of Credit), or to reduce the amount of any sum received or receivable by the Lender or the L/C Issuer hereunder (whether of principal, interest or any other amount) then, upon request of the Lender or the L/C Issuer, the Loan Parties will pay to the Lender or the L/C Issuer, as the case may be, such additional amount or amounts as will compensate the Lender or the L/C Issuer, as the case may be, for such additional costs incurred or reduction suffered.</w:t>
      </w:r>
    </w:p>
    <w:p>
      <w:pPr>
        <w:spacing w:after="0" w:line="178" w:lineRule="exact"/>
        <w:rPr>
          <w:sz w:val="20"/>
          <w:szCs w:val="20"/>
          <w:color w:val="auto"/>
        </w:rPr>
      </w:pPr>
    </w:p>
    <w:p>
      <w:pPr>
        <w:jc w:val="both"/>
        <w:ind w:left="660" w:firstLine="644"/>
        <w:spacing w:after="0" w:line="270" w:lineRule="auto"/>
        <w:tabs>
          <w:tab w:leader="none" w:pos="2327"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the Lender or the L/C Issuer determines that any Change in Law affecting the Lender or the L/C Issuer or the Lender’s or the L/C Issuer’s holding company, if any, regarding capital requirements has or would have the effect of reducing the rate of return on the Lender’s or the L/C Issuer’s capital or on the capital or liquidity of the Lender’s or the L/C Issuer’s holding company, if any, as a consequence of this Agreement, the Commitments of the Lender or the Loans made by, or participations in Letters of Credit held by, the Lender, or the Letters of Credit issued by the L/C Issuer, to a level below that which the Lender or the L/C Issuer or the Lender’s or the L/C Issuer’s holding company could have achieved but for such Change in Law (taking into consideration the Lender’s or the L/C Issuer’s policies and the policies of the Lender’s or the L/C Issuer’s holding company with respect to capital adequacy), then from time to time the Loan Parties will pay to the Lender or the L/C Issuer, as the case may be, such additional amount or amounts as will compensate the Lender or the L/C Issuer or the Lender’s or the L/C Issuer’s holding company for any such reduction suffered.</w:t>
      </w:r>
    </w:p>
    <w:p>
      <w:pPr>
        <w:spacing w:after="0" w:line="180" w:lineRule="exact"/>
        <w:rPr>
          <w:rFonts w:ascii="Arial" w:cs="Arial" w:eastAsia="Arial" w:hAnsi="Arial"/>
          <w:sz w:val="17"/>
          <w:szCs w:val="17"/>
          <w:color w:val="auto"/>
        </w:rPr>
      </w:pPr>
    </w:p>
    <w:p>
      <w:pPr>
        <w:jc w:val="both"/>
        <w:ind w:left="660" w:firstLine="644"/>
        <w:spacing w:after="0" w:line="259" w:lineRule="auto"/>
        <w:tabs>
          <w:tab w:leader="none" w:pos="225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the Lender or the L/C Issuer setting forth the amount or amounts necessary to compensate the Lender or the L/C Issuer or its holding company, as the case may be, as specified in subsection (a) or (b) of this Section and delivered to the Borrower shall be conclusive absent manifest error. The Loan Parties shall pay the Lender or the L/C Issuer, as the case may be, the amount shown as due on any such certificate within ten (10) days after receipt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78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660" w:firstLine="644"/>
        <w:spacing w:after="0" w:line="291" w:lineRule="auto"/>
        <w:tabs>
          <w:tab w:leader="none" w:pos="238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the Lender or the L/C Issuer to demand compensation pursuant to the foregoing provisions of this Section shall not constitute a waiver of the Lender’s or the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 Parties shall not be required to compensate the Lender or the L/C Issuer pursuant to the foregoing provisions of this Section for any increased costs incurred or reductions suffered more than [</w:t>
      </w:r>
      <w:r>
        <w:rPr>
          <w:rFonts w:ascii="Arial" w:cs="Arial" w:eastAsia="Arial" w:hAnsi="Arial"/>
          <w:sz w:val="16"/>
          <w:szCs w:val="16"/>
          <w:color w:val="FF0000"/>
          <w:strike w:val="1"/>
        </w:rPr>
        <w:t>nine</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one hundred and eighty</w:t>
      </w:r>
      <w:r>
        <w:rPr>
          <w:rFonts w:ascii="Arial" w:cs="Arial" w:eastAsia="Arial" w:hAnsi="Arial"/>
          <w:sz w:val="16"/>
          <w:szCs w:val="16"/>
          <w:color w:val="auto"/>
        </w:rPr>
        <w:t xml:space="preserve"> ([</w:t>
      </w:r>
      <w:r>
        <w:rPr>
          <w:rFonts w:ascii="Arial" w:cs="Arial" w:eastAsia="Arial" w:hAnsi="Arial"/>
          <w:sz w:val="16"/>
          <w:szCs w:val="16"/>
          <w:color w:val="FF0000"/>
          <w:strike w:val="1"/>
        </w:rPr>
        <w:t>9</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180</w:t>
      </w:r>
      <w:r>
        <w:rPr>
          <w:rFonts w:ascii="Arial" w:cs="Arial" w:eastAsia="Arial" w:hAnsi="Arial"/>
          <w:sz w:val="16"/>
          <w:szCs w:val="16"/>
          <w:color w:val="auto"/>
        </w:rPr>
        <w:t>) [</w:t>
      </w:r>
      <w:r>
        <w:rPr>
          <w:rFonts w:ascii="Arial" w:cs="Arial" w:eastAsia="Arial" w:hAnsi="Arial"/>
          <w:sz w:val="16"/>
          <w:szCs w:val="16"/>
          <w:color w:val="FF0000"/>
          <w:strike w:val="1"/>
        </w:rPr>
        <w:t>months</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days</w:t>
      </w:r>
      <w:r>
        <w:rPr>
          <w:rFonts w:ascii="Arial" w:cs="Arial" w:eastAsia="Arial" w:hAnsi="Arial"/>
          <w:sz w:val="16"/>
          <w:szCs w:val="16"/>
          <w:color w:val="auto"/>
        </w:rPr>
        <w:t xml:space="preserve"> prior to the date that the Lender or the L/C Issuer, as the case may be, notifies the Borrower of the Change in Law giving rise to such increased costs or reductions and of the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66" w:lineRule="exact"/>
        <w:rPr>
          <w:rFonts w:ascii="Arial" w:cs="Arial" w:eastAsia="Arial" w:hAnsi="Arial"/>
          <w:sz w:val="16"/>
          <w:szCs w:val="16"/>
          <w:color w:val="auto"/>
        </w:rPr>
      </w:pPr>
    </w:p>
    <w:p>
      <w:pPr>
        <w:jc w:val="both"/>
        <w:ind w:left="660" w:right="60" w:firstLine="644"/>
        <w:spacing w:after="0" w:line="272" w:lineRule="auto"/>
        <w:tabs>
          <w:tab w:leader="none" w:pos="2439"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Reserves on Eurodollar Rate Loans</w:t>
      </w:r>
      <w:r>
        <w:rPr>
          <w:rFonts w:ascii="Arial" w:cs="Arial" w:eastAsia="Arial" w:hAnsi="Arial"/>
          <w:sz w:val="17"/>
          <w:szCs w:val="17"/>
          <w:color w:val="auto"/>
        </w:rPr>
        <w:t xml:space="preserve">. The Borrower shall pay to the Lender, as long as the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the Lender (as determined by the Lender in good faith, which determination shall be conclusive), which shall be due and payable on each date on which interest is payable on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Borrower shall have received at least ten (10) days’ prior notice (with a copy to the Lender) of such additional interest from the Lender. If the Lender fails to give notice ten (10) days prior to the relevant Interest Payment Date, such additional interest shall be due and payable ten (10) days from receipt of such notice.</w:t>
      </w:r>
    </w:p>
    <w:p>
      <w:pPr>
        <w:spacing w:after="0" w:line="17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3.05 Compensation for Losses. </w:t>
      </w:r>
      <w:r>
        <w:rPr>
          <w:rFonts w:ascii="Arial" w:cs="Arial" w:eastAsia="Arial" w:hAnsi="Arial"/>
          <w:sz w:val="18"/>
          <w:szCs w:val="18"/>
          <w:color w:val="auto"/>
        </w:rPr>
        <w:t>Upon demand of the Lender from time to time, the Borrower shall promptly compensate the Lender for and</w:t>
      </w:r>
      <w:r>
        <w:rPr>
          <w:rFonts w:ascii="Arial" w:cs="Arial" w:eastAsia="Arial" w:hAnsi="Arial"/>
          <w:sz w:val="18"/>
          <w:szCs w:val="18"/>
          <w:b w:val="1"/>
          <w:bCs w:val="1"/>
          <w:color w:val="auto"/>
        </w:rPr>
        <w:t xml:space="preserve"> </w:t>
      </w:r>
      <w:r>
        <w:rPr>
          <w:rFonts w:ascii="Arial" w:cs="Arial" w:eastAsia="Arial" w:hAnsi="Arial"/>
          <w:sz w:val="18"/>
          <w:szCs w:val="18"/>
          <w:color w:val="auto"/>
        </w:rPr>
        <w:t>hold the Lender harmless from any loss, cost or expense incurred by it as a result of:</w:t>
      </w:r>
    </w:p>
    <w:p>
      <w:pPr>
        <w:spacing w:after="0" w:line="166" w:lineRule="exact"/>
        <w:rPr>
          <w:sz w:val="20"/>
          <w:szCs w:val="20"/>
          <w:color w:val="auto"/>
        </w:rPr>
      </w:pPr>
    </w:p>
    <w:p>
      <w:pPr>
        <w:ind w:left="660" w:firstLine="644"/>
        <w:spacing w:after="0" w:line="308" w:lineRule="auto"/>
        <w:tabs>
          <w:tab w:leader="none" w:pos="225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of any Loan other than a Base Rate Loan on a day other than the last day of the Interest Period for such Loan (whether voluntary, mandatory, automatic, by reason of acceleration, or otherwise); or</w:t>
      </w:r>
    </w:p>
    <w:p>
      <w:pPr>
        <w:spacing w:after="0" w:line="146" w:lineRule="exact"/>
        <w:rPr>
          <w:rFonts w:ascii="Arial" w:cs="Arial" w:eastAsia="Arial" w:hAnsi="Arial"/>
          <w:sz w:val="17"/>
          <w:szCs w:val="17"/>
          <w:color w:val="auto"/>
        </w:rPr>
      </w:pPr>
    </w:p>
    <w:p>
      <w:pPr>
        <w:jc w:val="both"/>
        <w:ind w:left="660" w:right="60" w:firstLine="644"/>
        <w:spacing w:after="0" w:line="257" w:lineRule="auto"/>
        <w:tabs>
          <w:tab w:leader="none" w:pos="220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the Lender to make a Loan) to prepay, borrow, continue or Convert any Loan other than a Base Rate Loan on the date or in the amount notified by the Borrower; 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the Lender in connection with the foregoing.</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For purposes of calculating amounts payable by the Borrower to the Lender under this </w:t>
      </w:r>
      <w:r>
        <w:rPr>
          <w:rFonts w:ascii="Arial" w:cs="Arial" w:eastAsia="Arial" w:hAnsi="Arial"/>
          <w:sz w:val="17"/>
          <w:szCs w:val="17"/>
          <w:u w:val="single" w:color="auto"/>
          <w:color w:val="auto"/>
        </w:rPr>
        <w:t>Section 3.05</w:t>
      </w:r>
      <w:r>
        <w:rPr>
          <w:rFonts w:ascii="Arial" w:cs="Arial" w:eastAsia="Arial" w:hAnsi="Arial"/>
          <w:sz w:val="17"/>
          <w:szCs w:val="17"/>
          <w:color w:val="auto"/>
        </w:rPr>
        <w:t>, the Lender shall be deemed to have funded each Eurodollar Rate Loan made by it at the Eurodollar Rate for such Loan by a matching deposit or other borrowing in the London interbank market for a comparable amount and for a comparable period, whether or not such Eurodollar Rate Loan was in fact so funded.</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3.06 Survival. </w:t>
      </w:r>
      <w:r>
        <w:rPr>
          <w:rFonts w:ascii="Arial" w:cs="Arial" w:eastAsia="Arial" w:hAnsi="Arial"/>
          <w:sz w:val="18"/>
          <w:szCs w:val="18"/>
          <w:color w:val="auto"/>
        </w:rPr>
        <w:t>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Commitment and repayment of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Obligations 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79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CONDITIONS PRECEDENT TO CLOSING AND CREDIT EXTENSIONS</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b w:val="1"/>
          <w:bCs w:val="1"/>
          <w:color w:val="auto"/>
        </w:rPr>
        <w:t xml:space="preserve">Conditions to Closing. </w:t>
      </w:r>
      <w:r>
        <w:rPr>
          <w:rFonts w:ascii="Arial" w:cs="Arial" w:eastAsia="Arial" w:hAnsi="Arial"/>
          <w:sz w:val="16"/>
          <w:szCs w:val="16"/>
          <w:color w:val="auto"/>
        </w:rPr>
        <w:t>The effectiveness of this Agreement is subject to satisfaction of the following conditions precedent:</w:t>
      </w:r>
    </w:p>
    <w:p>
      <w:pPr>
        <w:spacing w:after="0" w:line="229" w:lineRule="exact"/>
        <w:rPr>
          <w:sz w:val="20"/>
          <w:szCs w:val="20"/>
          <w:color w:val="auto"/>
        </w:rPr>
      </w:pPr>
    </w:p>
    <w:p>
      <w:pPr>
        <w:jc w:val="both"/>
        <w:ind w:firstLine="644"/>
        <w:spacing w:after="0" w:line="311" w:lineRule="auto"/>
        <w:tabs>
          <w:tab w:leader="none" w:pos="152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Lender’s receipt of the following, each of which shall be originals, telecopies or other electronic image scan transmission (e.g., “pdf” or “tif “via e-mail) (followed promptly by originals) unless otherwise specified, each dated the Closing Date (or, in the case of certificates of governmental officials, a recent date before the Closing Date) and each in form and substance satisfactory to the Lender:</w:t>
      </w:r>
    </w:p>
    <w:p>
      <w:pPr>
        <w:spacing w:after="0" w:line="148" w:lineRule="exact"/>
        <w:rPr>
          <w:rFonts w:ascii="Arial" w:cs="Arial" w:eastAsia="Arial" w:hAnsi="Arial"/>
          <w:sz w:val="16"/>
          <w:szCs w:val="16"/>
          <w:color w:val="auto"/>
        </w:rPr>
      </w:pPr>
    </w:p>
    <w:p>
      <w:pPr>
        <w:ind w:left="2280" w:hanging="988"/>
        <w:spacing w:after="0"/>
        <w:tabs>
          <w:tab w:leader="none" w:pos="22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counterparts of this Agreement each properly executed by a Responsible Officer of the signing Loan Party and the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Lender;</w:t>
      </w:r>
    </w:p>
    <w:p>
      <w:pPr>
        <w:spacing w:after="0" w:line="210" w:lineRule="exact"/>
        <w:rPr>
          <w:rFonts w:ascii="Arial" w:cs="Arial" w:eastAsia="Arial" w:hAnsi="Arial"/>
          <w:sz w:val="16"/>
          <w:szCs w:val="16"/>
          <w:color w:val="auto"/>
        </w:rPr>
      </w:pPr>
    </w:p>
    <w:p>
      <w:pPr>
        <w:ind w:left="2140" w:hanging="848"/>
        <w:spacing w:after="0"/>
        <w:tabs>
          <w:tab w:leader="none" w:pos="21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Note executed by the Borrower in favor of the Lender, if requested by the Lender;</w:t>
      </w:r>
    </w:p>
    <w:p>
      <w:pPr>
        <w:spacing w:after="0" w:line="225" w:lineRule="exact"/>
        <w:rPr>
          <w:rFonts w:ascii="Arial" w:cs="Arial" w:eastAsia="Arial" w:hAnsi="Arial"/>
          <w:sz w:val="18"/>
          <w:szCs w:val="18"/>
          <w:color w:val="auto"/>
        </w:rPr>
      </w:pPr>
    </w:p>
    <w:p>
      <w:pPr>
        <w:jc w:val="both"/>
        <w:ind w:left="640" w:firstLine="652"/>
        <w:spacing w:after="0" w:line="257" w:lineRule="auto"/>
        <w:tabs>
          <w:tab w:leader="none" w:pos="2341"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the Lender may require evidencing (A) the authority of each Loan Party to enter into this Agreement and the other Loan Documents to which such Loan Party is a party or is to become a party and (B) the identity, authority and capacity of each Responsible Officer thereof authorized to act as a Responsible Officer in connection with this Agreement and the other Loan Documents to which such Loan Party is a party or is to become a party;</w:t>
      </w:r>
    </w:p>
    <w:p>
      <w:pPr>
        <w:spacing w:after="0" w:line="187" w:lineRule="exact"/>
        <w:rPr>
          <w:rFonts w:ascii="Arial" w:cs="Arial" w:eastAsia="Arial" w:hAnsi="Arial"/>
          <w:sz w:val="18"/>
          <w:szCs w:val="18"/>
          <w:color w:val="auto"/>
        </w:rPr>
      </w:pPr>
    </w:p>
    <w:p>
      <w:pPr>
        <w:jc w:val="both"/>
        <w:ind w:left="640" w:firstLine="652"/>
        <w:spacing w:after="0" w:line="257" w:lineRule="auto"/>
        <w:tabs>
          <w:tab w:leader="none" w:pos="2146" w:val="left"/>
        </w:tabs>
        <w:numPr>
          <w:ilvl w:val="1"/>
          <w:numId w:val="98"/>
        </w:numPr>
        <w:rPr>
          <w:rFonts w:ascii="Arial" w:cs="Arial" w:eastAsia="Arial" w:hAnsi="Arial"/>
          <w:sz w:val="18"/>
          <w:szCs w:val="18"/>
          <w:color w:val="auto"/>
        </w:rPr>
      </w:pPr>
      <w:r>
        <w:rPr>
          <w:rFonts w:ascii="Arial" w:cs="Arial" w:eastAsia="Arial" w:hAnsi="Arial"/>
          <w:sz w:val="18"/>
          <w:szCs w:val="18"/>
          <w:color w:val="auto"/>
        </w:rPr>
        <w:t>copies of each Loan Party’s Organization Documents and such other documents and certifications as the Lender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so qualify in such jurisdiction could not reasonably be expected to have a Material Adverse Effect;</w:t>
      </w:r>
    </w:p>
    <w:p>
      <w:pPr>
        <w:spacing w:after="0" w:line="187" w:lineRule="exact"/>
        <w:rPr>
          <w:rFonts w:ascii="Arial" w:cs="Arial" w:eastAsia="Arial" w:hAnsi="Arial"/>
          <w:sz w:val="18"/>
          <w:szCs w:val="18"/>
          <w:color w:val="auto"/>
        </w:rPr>
      </w:pPr>
    </w:p>
    <w:p>
      <w:pPr>
        <w:ind w:left="640" w:firstLine="652"/>
        <w:spacing w:after="0" w:line="277" w:lineRule="auto"/>
        <w:tabs>
          <w:tab w:leader="none" w:pos="2226"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favorable opinion of Alston &amp; Bird, LLP, counsel to the Loan Parties, addressed to the Lender, as to such matters concerning the Loan Parties and the Loan Documents as the Lender may reasonably request;</w:t>
      </w:r>
    </w:p>
    <w:p>
      <w:pPr>
        <w:spacing w:after="0" w:line="170" w:lineRule="exact"/>
        <w:rPr>
          <w:rFonts w:ascii="Arial" w:cs="Arial" w:eastAsia="Arial" w:hAnsi="Arial"/>
          <w:sz w:val="18"/>
          <w:szCs w:val="18"/>
          <w:color w:val="auto"/>
        </w:rPr>
      </w:pPr>
    </w:p>
    <w:p>
      <w:pPr>
        <w:jc w:val="both"/>
        <w:ind w:left="640" w:firstLine="652"/>
        <w:spacing w:after="0" w:line="291" w:lineRule="auto"/>
        <w:tabs>
          <w:tab w:leader="none" w:pos="2254"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a certificate of a Responsible Officer of the Borrower certifying (A) that the conditions specified in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have been satisfied, (B) that there has been no event or circumstance since the date of the unaudited financial statements of the Borrower and its Subsidiaries for the quarter ended July 30, 2011 that has had or could be reasonably expected to have, either individually or in the aggregate, a Material Adverse Effect, (C) to the Solvency of the Loan Parties as of the Closing Date after giving effect to the transactions contemplated hereby, and (D) either that (1) no consents, licenses or approvals are required in connection with the execution, delivery and performance by such Loan Party and the validity against such Loan Party of the Loan Documents to which it is a party, or (2) that all such consents, licenses and approvals have been obtained and are in full force and effect;</w:t>
      </w:r>
    </w:p>
    <w:p>
      <w:pPr>
        <w:spacing w:after="0" w:line="16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80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0" w:name="page101"/>
    <w:bookmarkEnd w:id="100"/>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40" w:right="20" w:firstLine="652"/>
        <w:spacing w:after="0" w:line="277" w:lineRule="auto"/>
        <w:tabs>
          <w:tab w:leader="none" w:pos="2101"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evidence that all insurance required to be maintained pursuant to the Loan Documents and all endorsements in favor of the Lender required under the Loan Documents have been obtained and are in effect;</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83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payoff letter from the lender under the Existing Credit Agreement satisfactory in form and substance to the Lender evidencing that the Existing Credit Agreement has been or concurrently with the Closing Date is being terminated, all obligations thereunder have been or concurrently with the Closing Date are being paid in full;</w:t>
      </w:r>
    </w:p>
    <w:p>
      <w:pPr>
        <w:spacing w:after="0" w:line="183" w:lineRule="exact"/>
        <w:rPr>
          <w:rFonts w:ascii="Arial" w:cs="Arial" w:eastAsia="Arial" w:hAnsi="Arial"/>
          <w:sz w:val="18"/>
          <w:szCs w:val="18"/>
          <w:color w:val="auto"/>
        </w:rPr>
      </w:pPr>
    </w:p>
    <w:p>
      <w:pPr>
        <w:ind w:left="640" w:firstLine="652"/>
        <w:spacing w:after="0" w:line="277" w:lineRule="auto"/>
        <w:tabs>
          <w:tab w:leader="none" w:pos="211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Security Documents and certificates evidencing any stock being pledged thereunder, together with undated stock powers executed in blank, each duly executed by the applicable Loan Parties;</w:t>
      </w:r>
    </w:p>
    <w:p>
      <w:pPr>
        <w:spacing w:after="0" w:line="170" w:lineRule="exact"/>
        <w:rPr>
          <w:rFonts w:ascii="Arial" w:cs="Arial" w:eastAsia="Arial" w:hAnsi="Arial"/>
          <w:sz w:val="18"/>
          <w:szCs w:val="18"/>
          <w:color w:val="auto"/>
        </w:rPr>
      </w:pPr>
    </w:p>
    <w:p>
      <w:pPr>
        <w:ind w:left="2060" w:hanging="768"/>
        <w:spacing w:after="0"/>
        <w:tabs>
          <w:tab w:leader="none" w:pos="20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other Loan Documents, each duly executed by the applicable Loan Parties;</w:t>
      </w:r>
    </w:p>
    <w:p>
      <w:pPr>
        <w:spacing w:after="0" w:line="225" w:lineRule="exact"/>
        <w:rPr>
          <w:rFonts w:ascii="Arial" w:cs="Arial" w:eastAsia="Arial" w:hAnsi="Arial"/>
          <w:sz w:val="18"/>
          <w:szCs w:val="18"/>
          <w:color w:val="auto"/>
        </w:rPr>
      </w:pPr>
    </w:p>
    <w:p>
      <w:pPr>
        <w:jc w:val="both"/>
        <w:ind w:left="640" w:firstLine="652"/>
        <w:spacing w:after="0" w:line="263" w:lineRule="auto"/>
        <w:tabs>
          <w:tab w:leader="none" w:pos="209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written report regarding the results of a commercial finance examination and quality of earnings report of the Loan Parties, which shall be satisfactory to the Lender and shall be paid by crediting the treasury management analysis fees payable by the Borrower to the Lender or any of its Affiliates pursuant to the Fee Letter;</w:t>
      </w:r>
    </w:p>
    <w:p>
      <w:pPr>
        <w:spacing w:after="0" w:line="183" w:lineRule="exact"/>
        <w:rPr>
          <w:rFonts w:ascii="Arial" w:cs="Arial" w:eastAsia="Arial" w:hAnsi="Arial"/>
          <w:sz w:val="18"/>
          <w:szCs w:val="18"/>
          <w:color w:val="auto"/>
        </w:rPr>
      </w:pPr>
    </w:p>
    <w:p>
      <w:pPr>
        <w:jc w:val="both"/>
        <w:ind w:firstLine="644"/>
        <w:spacing w:after="0" w:line="279" w:lineRule="auto"/>
        <w:tabs>
          <w:tab w:leader="none" w:pos="181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results of searches or other evidence reasonably satisfactory to the Lender (in each case dated as of a date reasonably satisfactory to the Lender) indicating the absence of Liens on the assets of the Loan Parties, except for Permitted Encumbrances and Liens for which termination statements and releases satisfactory to the Lender are being tendered concurrently with such extension of credit or other arrangements satisfactory to the Lender for the delivery of such termination statements and releases have been made;</w:t>
      </w:r>
    </w:p>
    <w:p>
      <w:pPr>
        <w:spacing w:after="0" w:line="171" w:lineRule="exact"/>
        <w:rPr>
          <w:sz w:val="20"/>
          <w:szCs w:val="20"/>
          <w:color w:val="auto"/>
        </w:rPr>
      </w:pPr>
    </w:p>
    <w:p>
      <w:pPr>
        <w:jc w:val="both"/>
        <w:ind w:left="640" w:firstLine="648"/>
        <w:spacing w:after="0" w:line="255" w:lineRule="auto"/>
        <w:rPr>
          <w:sz w:val="20"/>
          <w:szCs w:val="20"/>
          <w:color w:val="auto"/>
        </w:rPr>
      </w:pPr>
      <w:r>
        <w:rPr>
          <w:rFonts w:ascii="Arial" w:cs="Arial" w:eastAsia="Arial" w:hAnsi="Arial"/>
          <w:sz w:val="18"/>
          <w:szCs w:val="18"/>
          <w:color w:val="auto"/>
        </w:rPr>
        <w:t>(i) (A) all documents and instruments, including Uniform Commercial Code financing statements, required by law or reasonably requested by the Lender to be filed, registered or recorded to create or perfect the first priority Liens intended to be created under the Loan Documents and all such documents and instruments shall have been so filed, registered or recorded to the satisfaction of the Lender, (B) the Credit Card Notifications and Blocked Account Agreements required pursuant to Section 6.12 hereof shall have been obtained, and (C) control agreements with respect to the Loan Parties’ securities and investment accounts have been obtained; and</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81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101" w:name="page102"/>
    <w:bookmarkEnd w:id="101"/>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1520" w:hanging="876"/>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Lender reasonably may require.</w:t>
      </w:r>
    </w:p>
    <w:p>
      <w:pPr>
        <w:spacing w:after="0" w:line="225" w:lineRule="exact"/>
        <w:rPr>
          <w:rFonts w:ascii="Arial" w:cs="Arial" w:eastAsia="Arial" w:hAnsi="Arial"/>
          <w:sz w:val="18"/>
          <w:szCs w:val="18"/>
          <w:color w:val="auto"/>
        </w:rPr>
      </w:pPr>
    </w:p>
    <w:p>
      <w:pPr>
        <w:ind w:left="1520" w:hanging="876"/>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Availability shall be not less than $25,000,000.</w:t>
      </w:r>
    </w:p>
    <w:p>
      <w:pPr>
        <w:spacing w:after="0" w:line="225" w:lineRule="exact"/>
        <w:rPr>
          <w:rFonts w:ascii="Arial" w:cs="Arial" w:eastAsia="Arial" w:hAnsi="Arial"/>
          <w:sz w:val="18"/>
          <w:szCs w:val="18"/>
          <w:color w:val="auto"/>
        </w:rPr>
      </w:pPr>
    </w:p>
    <w:p>
      <w:pPr>
        <w:ind w:right="20" w:firstLine="644"/>
        <w:spacing w:after="0" w:line="277" w:lineRule="auto"/>
        <w:tabs>
          <w:tab w:leader="none" w:pos="181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Lender shall have received a Borrowing Base Certificate dated the Closing Date, relating to the month ended on September 30, 2011, and executed by a Responsible Officer of the Borrower.</w:t>
      </w:r>
    </w:p>
    <w:p>
      <w:pPr>
        <w:spacing w:after="0" w:line="170" w:lineRule="exact"/>
        <w:rPr>
          <w:rFonts w:ascii="Arial" w:cs="Arial" w:eastAsia="Arial" w:hAnsi="Arial"/>
          <w:sz w:val="18"/>
          <w:szCs w:val="18"/>
          <w:color w:val="auto"/>
        </w:rPr>
      </w:pPr>
    </w:p>
    <w:p>
      <w:pPr>
        <w:jc w:val="both"/>
        <w:ind w:right="20" w:firstLine="644"/>
        <w:spacing w:after="0" w:line="263" w:lineRule="auto"/>
        <w:tabs>
          <w:tab w:leader="none" w:pos="15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Lender shall be reasonably satisfied that any financial statements delivered to it fairly present the business and financial condition of the Loan Parties and that there has been no Material Adverse Effect since the date of the unaudited financial statements of the Borrower and its Subsidiaries for the quarter ended July 30, 2011.</w:t>
      </w:r>
    </w:p>
    <w:p>
      <w:pPr>
        <w:spacing w:after="0" w:line="183" w:lineRule="exact"/>
        <w:rPr>
          <w:rFonts w:ascii="Arial" w:cs="Arial" w:eastAsia="Arial" w:hAnsi="Arial"/>
          <w:sz w:val="18"/>
          <w:szCs w:val="18"/>
          <w:color w:val="auto"/>
        </w:rPr>
      </w:pPr>
    </w:p>
    <w:p>
      <w:pPr>
        <w:jc w:val="both"/>
        <w:ind w:firstLine="644"/>
        <w:spacing w:after="0" w:line="259" w:lineRule="auto"/>
        <w:tabs>
          <w:tab w:leader="none" w:pos="161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Lender shall have received and be satisfied with (i) a detailed forecast for the period commencing on the Closing Date and extending through January 31, 2013, which shall include an Availability model, Consolidated income statement, balance sheet, and statement of cash flow, by month, each prepared in conformity with GAAP and consistent with the Loan Parties’ then current practices and (b) such other information (financial or otherwise) reasonably requested by the Lender.</w:t>
      </w:r>
    </w:p>
    <w:p>
      <w:pPr>
        <w:spacing w:after="0" w:line="186" w:lineRule="exact"/>
        <w:rPr>
          <w:rFonts w:ascii="Arial" w:cs="Arial" w:eastAsia="Arial" w:hAnsi="Arial"/>
          <w:sz w:val="18"/>
          <w:szCs w:val="18"/>
          <w:color w:val="auto"/>
        </w:rPr>
      </w:pPr>
    </w:p>
    <w:p>
      <w:pPr>
        <w:ind w:firstLine="644"/>
        <w:spacing w:after="0" w:line="277" w:lineRule="auto"/>
        <w:tabs>
          <w:tab w:leader="none" w:pos="17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There shall not be pending any litigation or other proceeding, the result of which, either individually or in the aggregate, could reasonably be expected to have a Material Adverse Effect.</w:t>
      </w:r>
    </w:p>
    <w:p>
      <w:pPr>
        <w:spacing w:after="0" w:line="170" w:lineRule="exact"/>
        <w:rPr>
          <w:rFonts w:ascii="Arial" w:cs="Arial" w:eastAsia="Arial" w:hAnsi="Arial"/>
          <w:sz w:val="18"/>
          <w:szCs w:val="18"/>
          <w:color w:val="auto"/>
        </w:rPr>
      </w:pPr>
    </w:p>
    <w:p>
      <w:pPr>
        <w:ind w:left="1580" w:hanging="936"/>
        <w:spacing w:after="0"/>
        <w:tabs>
          <w:tab w:leader="none" w:pos="1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There shall not have occurred any default of any Material Contract of any Loan Party.</w:t>
      </w:r>
    </w:p>
    <w:p>
      <w:pPr>
        <w:spacing w:after="0" w:line="225" w:lineRule="exact"/>
        <w:rPr>
          <w:rFonts w:ascii="Arial" w:cs="Arial" w:eastAsia="Arial" w:hAnsi="Arial"/>
          <w:sz w:val="18"/>
          <w:szCs w:val="18"/>
          <w:color w:val="auto"/>
        </w:rPr>
      </w:pPr>
    </w:p>
    <w:p>
      <w:pPr>
        <w:ind w:left="1580" w:hanging="936"/>
        <w:spacing w:after="0"/>
        <w:tabs>
          <w:tab w:leader="none" w:pos="15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consummation of the transactions contemplated hereby shall not violate any Law or any Organization Document.</w:t>
      </w:r>
    </w:p>
    <w:p>
      <w:pPr>
        <w:spacing w:after="0" w:line="236" w:lineRule="exact"/>
        <w:rPr>
          <w:rFonts w:ascii="Arial" w:cs="Arial" w:eastAsia="Arial" w:hAnsi="Arial"/>
          <w:sz w:val="17"/>
          <w:szCs w:val="17"/>
          <w:color w:val="auto"/>
        </w:rPr>
      </w:pPr>
    </w:p>
    <w:p>
      <w:pPr>
        <w:ind w:left="1520" w:hanging="876"/>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fees required to be paid to the Lender on or before the Closing Date shall have been paid in full.</w:t>
      </w:r>
    </w:p>
    <w:p>
      <w:pPr>
        <w:spacing w:after="0" w:line="225" w:lineRule="exact"/>
        <w:rPr>
          <w:rFonts w:ascii="Arial" w:cs="Arial" w:eastAsia="Arial" w:hAnsi="Arial"/>
          <w:sz w:val="18"/>
          <w:szCs w:val="18"/>
          <w:color w:val="auto"/>
        </w:rPr>
      </w:pPr>
    </w:p>
    <w:p>
      <w:pPr>
        <w:jc w:val="both"/>
        <w:ind w:firstLine="644"/>
        <w:spacing w:after="0" w:line="259" w:lineRule="auto"/>
        <w:tabs>
          <w:tab w:leader="none" w:pos="16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Borrower shall have paid all fees, charges and disbursements of counsel to the Lender to the extent invoiced prior to or on the Closing Date, plus such additional amounts of such fees, charges and disbursements as shall constitute its reasonable estimate of such fees, charges and disbursements incurred or to be incurred by it through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a final settling of accounts between the Borrower and the Lender).</w:t>
      </w:r>
    </w:p>
    <w:p>
      <w:pPr>
        <w:spacing w:after="0" w:line="182" w:lineRule="exact"/>
        <w:rPr>
          <w:rFonts w:ascii="Arial" w:cs="Arial" w:eastAsia="Arial" w:hAnsi="Arial"/>
          <w:sz w:val="18"/>
          <w:szCs w:val="18"/>
          <w:color w:val="auto"/>
        </w:rPr>
      </w:pPr>
    </w:p>
    <w:p>
      <w:pPr>
        <w:jc w:val="both"/>
        <w:ind w:firstLine="644"/>
        <w:spacing w:after="0" w:line="266" w:lineRule="auto"/>
        <w:tabs>
          <w:tab w:leader="none" w:pos="158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Lender shall have received all documentation and other information required by [</w:t>
      </w:r>
      <w:r>
        <w:rPr>
          <w:rFonts w:ascii="Arial" w:cs="Arial" w:eastAsia="Arial" w:hAnsi="Arial"/>
          <w:sz w:val="18"/>
          <w:szCs w:val="18"/>
          <w:color w:val="FF0000"/>
          <w:strike w:val="1"/>
        </w:rPr>
        <w:t>regulatory authorities</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Governmental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Authorities</w:t>
      </w:r>
      <w:r>
        <w:rPr>
          <w:rFonts w:ascii="Arial" w:cs="Arial" w:eastAsia="Arial" w:hAnsi="Arial"/>
          <w:sz w:val="18"/>
          <w:szCs w:val="18"/>
          <w:b w:val="1"/>
          <w:bCs w:val="1"/>
          <w:color w:val="0000FF"/>
        </w:rPr>
        <w:t xml:space="preserve"> </w:t>
      </w:r>
      <w:r>
        <w:rPr>
          <w:rFonts w:ascii="Arial" w:cs="Arial" w:eastAsia="Arial" w:hAnsi="Arial"/>
          <w:sz w:val="18"/>
          <w:szCs w:val="18"/>
          <w:color w:val="000000"/>
        </w:rPr>
        <w:t>under applicable “know your customer” and anti-money laundering [</w:t>
      </w:r>
      <w:r>
        <w:rPr>
          <w:rFonts w:ascii="Arial" w:cs="Arial" w:eastAsia="Arial" w:hAnsi="Arial"/>
          <w:sz w:val="18"/>
          <w:szCs w:val="18"/>
          <w:color w:val="FF0000"/>
          <w:strike w:val="1"/>
        </w:rPr>
        <w:t>rules and regulations</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Laws</w:t>
      </w:r>
      <w:r>
        <w:rPr>
          <w:rFonts w:ascii="Arial" w:cs="Arial" w:eastAsia="Arial" w:hAnsi="Arial"/>
          <w:sz w:val="18"/>
          <w:szCs w:val="18"/>
          <w:color w:val="000000"/>
        </w:rPr>
        <w:t>, including without limitation the</w:t>
      </w:r>
      <w:r>
        <w:rPr>
          <w:rFonts w:ascii="Arial" w:cs="Arial" w:eastAsia="Arial" w:hAnsi="Arial"/>
          <w:sz w:val="18"/>
          <w:szCs w:val="18"/>
          <w:b w:val="1"/>
          <w:bCs w:val="1"/>
          <w:color w:val="0000FF"/>
        </w:rPr>
        <w:t xml:space="preserve"> </w:t>
      </w:r>
      <w:r>
        <w:rPr>
          <w:rFonts w:ascii="Arial" w:cs="Arial" w:eastAsia="Arial" w:hAnsi="Arial"/>
          <w:sz w:val="18"/>
          <w:szCs w:val="18"/>
          <w:color w:val="000000"/>
        </w:rPr>
        <w:t>USA PATRIOT Act.</w:t>
      </w:r>
    </w:p>
    <w:p>
      <w:pPr>
        <w:spacing w:after="0" w:line="18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82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660" w:firstLine="644"/>
        <w:spacing w:after="0" w:line="277" w:lineRule="auto"/>
        <w:tabs>
          <w:tab w:leader="none" w:pos="21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material changes in governmental regulations or policies affecting any Loan Party or any Credit Party shall have occurred prior to the Closing Date.</w:t>
      </w:r>
    </w:p>
    <w:p>
      <w:pPr>
        <w:spacing w:after="0" w:line="170" w:lineRule="exact"/>
        <w:rPr>
          <w:rFonts w:ascii="Arial" w:cs="Arial" w:eastAsia="Arial" w:hAnsi="Arial"/>
          <w:sz w:val="18"/>
          <w:szCs w:val="18"/>
          <w:color w:val="auto"/>
        </w:rPr>
      </w:pPr>
    </w:p>
    <w:p>
      <w:pPr>
        <w:ind w:left="660" w:firstLine="644"/>
        <w:spacing w:after="0" w:line="277" w:lineRule="auto"/>
        <w:tabs>
          <w:tab w:leader="none" w:pos="2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Closing Date shall have occurred on or before October 28, 2011. The Lender shall notify the Borrower of the Closing Date, and such notice shall be conclusive and binding on the Loan Parties</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4.02 Conditions to all Credit Extensions. </w:t>
      </w:r>
      <w:r>
        <w:rPr>
          <w:rFonts w:ascii="Arial" w:cs="Arial" w:eastAsia="Arial" w:hAnsi="Arial"/>
          <w:sz w:val="18"/>
          <w:szCs w:val="18"/>
          <w:color w:val="auto"/>
        </w:rPr>
        <w:t>The obligation of the Lender to honor any Request for Credit Extension (other than a Committed</w:t>
      </w:r>
      <w:r>
        <w:rPr>
          <w:rFonts w:ascii="Arial" w:cs="Arial" w:eastAsia="Arial" w:hAnsi="Arial"/>
          <w:sz w:val="18"/>
          <w:szCs w:val="18"/>
          <w:b w:val="1"/>
          <w:bCs w:val="1"/>
          <w:color w:val="auto"/>
        </w:rPr>
        <w:t xml:space="preserve"> </w:t>
      </w:r>
      <w:r>
        <w:rPr>
          <w:rFonts w:ascii="Arial" w:cs="Arial" w:eastAsia="Arial" w:hAnsi="Arial"/>
          <w:sz w:val="18"/>
          <w:szCs w:val="18"/>
          <w:color w:val="auto"/>
        </w:rPr>
        <w:t>Loan Notice requesting only a Conversion of Committed Loans to the other Type, or a continuation of Eurodollar Rate Loans) and of each L/C Issuer to issue each Letter of Credit is subject to the following conditions precedent:</w:t>
      </w:r>
    </w:p>
    <w:p>
      <w:pPr>
        <w:spacing w:after="0" w:line="180" w:lineRule="exact"/>
        <w:rPr>
          <w:sz w:val="20"/>
          <w:szCs w:val="20"/>
          <w:color w:val="auto"/>
        </w:rPr>
      </w:pPr>
    </w:p>
    <w:p>
      <w:pPr>
        <w:jc w:val="both"/>
        <w:ind w:left="660" w:firstLine="644"/>
        <w:spacing w:after="0" w:line="255" w:lineRule="auto"/>
        <w:tabs>
          <w:tab w:leader="none" w:pos="212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each Loan Party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in any other Loan Document, or which are contained in any document furnished at any time under or in connection herewith or therewith, shall be true and correct on and as of the date of such Credit Extension, except (i) to the extent that such representations and warranties specifically refer to an earlier date, in which case they shall be true and correct as of such earlier date and (ii)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subsections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respectively, of Section 6.01.</w:t>
      </w:r>
    </w:p>
    <w:p>
      <w:pPr>
        <w:spacing w:after="0" w:line="192" w:lineRule="exact"/>
        <w:rPr>
          <w:rFonts w:ascii="Arial" w:cs="Arial" w:eastAsia="Arial" w:hAnsi="Arial"/>
          <w:sz w:val="18"/>
          <w:szCs w:val="18"/>
          <w:color w:val="auto"/>
        </w:rPr>
      </w:pPr>
    </w:p>
    <w:p>
      <w:pPr>
        <w:ind w:left="2040" w:hanging="736"/>
        <w:spacing w:after="0"/>
        <w:tabs>
          <w:tab w:leader="none" w:pos="20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 Default or Event of Default shall exist, or would result from such proposed Credit Extension or from the application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proceeds thereof.</w:t>
      </w:r>
    </w:p>
    <w:p>
      <w:pPr>
        <w:spacing w:after="0" w:line="210" w:lineRule="exact"/>
        <w:rPr>
          <w:rFonts w:ascii="Arial" w:cs="Arial" w:eastAsia="Arial" w:hAnsi="Arial"/>
          <w:sz w:val="16"/>
          <w:szCs w:val="16"/>
          <w:color w:val="auto"/>
        </w:rPr>
      </w:pPr>
    </w:p>
    <w:p>
      <w:pPr>
        <w:ind w:left="2220" w:hanging="916"/>
        <w:spacing w:after="0"/>
        <w:tabs>
          <w:tab w:leader="none" w:pos="2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Lender and, if applicable, the L/C Issuer shall have received a Request for Credit Extension in accordance with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requirements hereof.</w:t>
      </w:r>
    </w:p>
    <w:p>
      <w:pPr>
        <w:spacing w:after="0" w:line="210" w:lineRule="exact"/>
        <w:rPr>
          <w:rFonts w:ascii="Arial" w:cs="Arial" w:eastAsia="Arial" w:hAnsi="Arial"/>
          <w:sz w:val="17"/>
          <w:szCs w:val="17"/>
          <w:color w:val="auto"/>
        </w:rPr>
      </w:pPr>
    </w:p>
    <w:p>
      <w:pPr>
        <w:ind w:left="2000" w:hanging="696"/>
        <w:spacing w:after="0"/>
        <w:tabs>
          <w:tab w:leader="none" w:pos="20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 event or circumstance which could reasonably be expected to result in a Material Adverse Effect shall have occurred.</w:t>
      </w:r>
    </w:p>
    <w:p>
      <w:pPr>
        <w:spacing w:after="0" w:line="236" w:lineRule="exact"/>
        <w:rPr>
          <w:rFonts w:ascii="Arial" w:cs="Arial" w:eastAsia="Arial" w:hAnsi="Arial"/>
          <w:sz w:val="17"/>
          <w:szCs w:val="17"/>
          <w:color w:val="auto"/>
        </w:rPr>
      </w:pPr>
    </w:p>
    <w:p>
      <w:pPr>
        <w:ind w:left="660" w:firstLine="644"/>
        <w:spacing w:after="0" w:line="277" w:lineRule="auto"/>
        <w:tabs>
          <w:tab w:leader="none" w:pos="204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After giving effect to the Credit Extension requested to be made on any such date and the use of proceeds thereof, Availability shall be greater than zero.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Each Request for Credit Extension (other than a Committed Loan Notice requesting only a Conversion of Committed Loans to the other Type or a continuation of Eurodollar Rate Loans) submitted by the Borrower shall be deemed to be a representation and warranty by the Borrower that the conditions specified in </w:t>
      </w:r>
      <w:r>
        <w:rPr>
          <w:rFonts w:ascii="Arial" w:cs="Arial" w:eastAsia="Arial" w:hAnsi="Arial"/>
          <w:sz w:val="18"/>
          <w:szCs w:val="18"/>
          <w:u w:val="single" w:color="auto"/>
          <w:color w:val="auto"/>
        </w:rPr>
        <w:t>Sections 4.02(a), (b)</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have been satisfied on and as of the date of the applicable Credit Extension.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83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induce the Credit Parties to enter into this Agreement and to make Loans and to issue Letters of Credit hereunder, each Loan Party represents and warrants to the Lender and the other Credit Parties that:</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5.01 Existence, Qualification and Power</w:t>
      </w:r>
      <w:r>
        <w:rPr>
          <w:rFonts w:ascii="Arial" w:cs="Arial" w:eastAsia="Arial" w:hAnsi="Arial"/>
          <w:sz w:val="17"/>
          <w:szCs w:val="17"/>
          <w:color w:val="auto"/>
        </w:rPr>
        <w:t>. Each Loan Party and each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0000FF"/>
        </w:rPr>
        <w:t>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thereof (a) is a corporation, limited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partnership or limited partnership, duly incorporated, organized or formed, validly existing and, where applicable, in good standing under the Laws of the jurisdiction of its incorporation, organization or formation, (b) has all requisite power and authority and all requisite governmental licenses, permits, authorizations, consents and approvals to (i) own or lease its assets and carry on its business and (ii) execute, deliver and perform its obligations under the Loan Documents to which it is a party, and (c) is duly qualified and is licensed and, where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7"/>
          <w:szCs w:val="17"/>
          <w:color w:val="FF0000"/>
          <w:strike w:val="1"/>
        </w:rPr>
        <w:t>clause</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clauses (b)(i) or</w:t>
      </w:r>
      <w:r>
        <w:rPr>
          <w:rFonts w:ascii="Arial" w:cs="Arial" w:eastAsia="Arial" w:hAnsi="Arial"/>
          <w:sz w:val="17"/>
          <w:szCs w:val="17"/>
          <w:color w:val="auto"/>
        </w:rPr>
        <w:t xml:space="preserve"> (c), to the extent that failure to do so could not reasonably be expected to have a Material Adverse Effect. Schedule 5.01 to the Disclosure Schedule sets forth, as of the [</w:t>
      </w:r>
      <w:r>
        <w:rPr>
          <w:rFonts w:ascii="Arial" w:cs="Arial" w:eastAsia="Arial" w:hAnsi="Arial"/>
          <w:sz w:val="17"/>
          <w:szCs w:val="17"/>
          <w:color w:val="FF0000"/>
          <w:strike w:val="1"/>
        </w:rPr>
        <w:t>Closing</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Third Amendment Effective</w:t>
      </w:r>
      <w:r>
        <w:rPr>
          <w:rFonts w:ascii="Arial" w:cs="Arial" w:eastAsia="Arial" w:hAnsi="Arial"/>
          <w:sz w:val="17"/>
          <w:szCs w:val="17"/>
          <w:color w:val="auto"/>
        </w:rPr>
        <w:t xml:space="preserve"> Date, each Loan Party’s name as it appears in official filings in its state of incorporation or organization, organization type, organization number, if any, issued by its state of incorporation or organization, and its federal employer identification number.</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5.02 Authorization; No Contravention. </w:t>
      </w:r>
      <w:r>
        <w:rPr>
          <w:rFonts w:ascii="Arial" w:cs="Arial" w:eastAsia="Arial" w:hAnsi="Arial"/>
          <w:sz w:val="17"/>
          <w:szCs w:val="17"/>
          <w:color w:val="auto"/>
        </w:rPr>
        <w:t>The execution, delivery and performance by each Loan Party of each Loan Document 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Person is or is to be a party, has been duly authorized by all necessary corporate or other organizational action, and does not and will not (a) contravene the terms of any of such Person’s Organization Documents; (b) conflict with or result in any breach, termination, or contravention of, or constitute a default under, or require any payment to be made under (i) any Material Contract or any Material Indebtedness to which such Person is a party or affecting such Person or the properties of such Person 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or (ii) any order, injunction, writ or decree of any Governmental Authority or any arbitral award to which such Person or its property is subject; (c) result in or require the creation of any Lien upon any asset of any Loan Party (other than Liens in favor of the Lender under the Security Documents); or (d) violate any Law.</w:t>
      </w:r>
    </w:p>
    <w:p>
      <w:pPr>
        <w:spacing w:after="0" w:line="17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5.03 Governmental Authorization; Other Consents</w:t>
      </w:r>
      <w:r>
        <w:rPr>
          <w:rFonts w:ascii="Arial" w:cs="Arial" w:eastAsia="Arial" w:hAnsi="Arial"/>
          <w:sz w:val="16"/>
          <w:szCs w:val="16"/>
          <w:color w:val="auto"/>
        </w:rPr>
        <w:t>. No approval, consent, exemption, authorization, or other action by, or notice to, or</w:t>
      </w:r>
      <w:r>
        <w:rPr>
          <w:rFonts w:ascii="Arial" w:cs="Arial" w:eastAsia="Arial" w:hAnsi="Arial"/>
          <w:sz w:val="16"/>
          <w:szCs w:val="16"/>
          <w:b w:val="1"/>
          <w:bCs w:val="1"/>
          <w:color w:val="auto"/>
        </w:rPr>
        <w:t xml:space="preserve"> </w:t>
      </w:r>
      <w:r>
        <w:rPr>
          <w:rFonts w:ascii="Arial" w:cs="Arial" w:eastAsia="Arial" w:hAnsi="Arial"/>
          <w:sz w:val="16"/>
          <w:szCs w:val="16"/>
          <w:color w:val="auto"/>
        </w:rPr>
        <w:t>filing with, any Governmental Authority or any other Person is necessary or required in connection with the execution, delivery or performance by, or enforcement against, any Loan Party of this Agreement or any other Loan Document, except for (a) the perfection or maintenance of the Liens created under the Security Documents (including the first priority nature thereof) or (b) such as have been obtained or made and are in full force and effect.</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5.04 Binding Effect. </w:t>
      </w:r>
      <w:r>
        <w:rPr>
          <w:rFonts w:ascii="Arial" w:cs="Arial" w:eastAsia="Arial" w:hAnsi="Arial"/>
          <w:sz w:val="18"/>
          <w:szCs w:val="18"/>
          <w:color w:val="auto"/>
        </w:rPr>
        <w:t>This Agreement has been, and each other Loan Document, when delivered, will have been, duly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84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6"/>
          <w:szCs w:val="16"/>
          <w:b w:val="1"/>
          <w:bCs w:val="1"/>
          <w:color w:val="auto"/>
        </w:rPr>
        <w:t>Financial Statements; No Material Adverse Effect</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73" w:lineRule="auto"/>
        <w:tabs>
          <w:tab w:leader="none" w:pos="2331"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The Audited Financial Statements (i) were prepared in accordance with GAAP consistently applied throughout the period covered thereby, except as otherwise expressly noted therein; </w:t>
      </w:r>
      <w:r>
        <w:rPr>
          <w:rFonts w:ascii="Arial" w:cs="Arial" w:eastAsia="Arial" w:hAnsi="Arial"/>
          <w:sz w:val="17"/>
          <w:szCs w:val="17"/>
          <w:b w:val="1"/>
          <w:bCs w:val="1"/>
          <w:u w:val="single" w:color="auto"/>
          <w:color w:val="0000FF"/>
        </w:rPr>
        <w:t>and</w:t>
      </w:r>
      <w:r>
        <w:rPr>
          <w:rFonts w:ascii="Arial" w:cs="Arial" w:eastAsia="Arial" w:hAnsi="Arial"/>
          <w:sz w:val="17"/>
          <w:szCs w:val="17"/>
          <w:color w:val="auto"/>
        </w:rPr>
        <w:t xml:space="preserve"> (ii) fairly present the financial condition of the Borrower and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on a Consolidated basis as of the date thereof and their results of operations for the period covered thereby in accordance with GAAP consistently applied throughout the period covered thereby, except as otherwise expressly noted therein[</w:t>
      </w:r>
      <w:r>
        <w:rPr>
          <w:rFonts w:ascii="Arial" w:cs="Arial" w:eastAsia="Arial" w:hAnsi="Arial"/>
          <w:sz w:val="17"/>
          <w:szCs w:val="17"/>
          <w:color w:val="FF0000"/>
          <w:strike w:val="1"/>
        </w:rPr>
        <w:t>; and (iii) show all Material Indebtedness</w:t>
      </w:r>
      <w:r>
        <w:rPr>
          <w:rFonts w:ascii="Arial" w:cs="Arial" w:eastAsia="Arial" w:hAnsi="Arial"/>
          <w:sz w:val="17"/>
          <w:szCs w:val="17"/>
          <w:color w:val="auto"/>
        </w:rPr>
        <w:t xml:space="preserve"> </w:t>
      </w:r>
      <w:r>
        <w:rPr>
          <w:rFonts w:ascii="Arial" w:cs="Arial" w:eastAsia="Arial" w:hAnsi="Arial"/>
          <w:sz w:val="17"/>
          <w:szCs w:val="17"/>
          <w:color w:val="FF0000"/>
          <w:strike w:val="1"/>
        </w:rPr>
        <w:t>and other liabilities, direct or contingent, of the Borrower and its Subsidiaries as of the date thereof, including liabilities for taxes, material commitments and Indebtedness, as and to the extent required in accordance with GAAP</w:t>
      </w:r>
      <w:r>
        <w:rPr>
          <w:rFonts w:ascii="Arial" w:cs="Arial" w:eastAsia="Arial" w:hAnsi="Arial"/>
          <w:sz w:val="17"/>
          <w:szCs w:val="17"/>
          <w:color w:val="000000"/>
          <w:strike w:val="1"/>
        </w:rPr>
        <w:t>].</w:t>
      </w:r>
    </w:p>
    <w:p>
      <w:pPr>
        <w:spacing w:after="0" w:line="173" w:lineRule="exact"/>
        <w:rPr>
          <w:rFonts w:ascii="Arial" w:cs="Arial" w:eastAsia="Arial" w:hAnsi="Arial"/>
          <w:sz w:val="17"/>
          <w:szCs w:val="17"/>
          <w:color w:val="auto"/>
        </w:rPr>
      </w:pPr>
    </w:p>
    <w:p>
      <w:pPr>
        <w:jc w:val="both"/>
        <w:ind w:left="660" w:firstLine="644"/>
        <w:spacing w:after="0" w:line="289" w:lineRule="auto"/>
        <w:tabs>
          <w:tab w:leader="none" w:pos="243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The unaudited Consolidated balance sheet of the Borrower and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dated May 2, 2015,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w:t>
      </w:r>
    </w:p>
    <w:p>
      <w:pPr>
        <w:spacing w:after="0" w:line="1" w:lineRule="exact"/>
        <w:rPr>
          <w:rFonts w:ascii="Arial" w:cs="Arial" w:eastAsia="Arial" w:hAnsi="Arial"/>
          <w:sz w:val="16"/>
          <w:szCs w:val="16"/>
          <w:color w:val="auto"/>
        </w:rPr>
      </w:pPr>
    </w:p>
    <w:p>
      <w:pPr>
        <w:jc w:val="both"/>
        <w:ind w:left="660" w:hanging="4"/>
        <w:spacing w:after="0" w:line="255" w:lineRule="auto"/>
        <w:tabs>
          <w:tab w:leader="none" w:pos="9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fairly present the financial condition of the Borrower and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on a Consolidated basis as of the date thereof and their results of operations for the period covered thereby, subject, in the case of clauses (i) and (ii), to the absence of footnotes and to normal year-end audit adjustments.</w:t>
      </w:r>
    </w:p>
    <w:p>
      <w:pPr>
        <w:spacing w:after="0" w:line="185" w:lineRule="exact"/>
        <w:rPr>
          <w:rFonts w:ascii="Arial" w:cs="Arial" w:eastAsia="Arial" w:hAnsi="Arial"/>
          <w:sz w:val="18"/>
          <w:szCs w:val="18"/>
          <w:color w:val="auto"/>
        </w:rPr>
      </w:pPr>
    </w:p>
    <w:p>
      <w:pPr>
        <w:jc w:val="both"/>
        <w:ind w:left="660" w:firstLine="644"/>
        <w:spacing w:after="0" w:line="266" w:lineRule="auto"/>
        <w:tabs>
          <w:tab w:leader="none" w:pos="233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Since the date of the unaudited financial statements of the Borrower and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for the quarter ended May 2, 2015, there has been no event or circumstance, either individually or in the aggregate, that has had or could reasonably be expected to have a Material Adverse Effect.</w:t>
      </w:r>
    </w:p>
    <w:p>
      <w:pPr>
        <w:spacing w:after="0" w:line="179" w:lineRule="exact"/>
        <w:rPr>
          <w:rFonts w:ascii="Arial" w:cs="Arial" w:eastAsia="Arial" w:hAnsi="Arial"/>
          <w:sz w:val="18"/>
          <w:szCs w:val="18"/>
          <w:color w:val="auto"/>
        </w:rPr>
      </w:pPr>
    </w:p>
    <w:p>
      <w:pPr>
        <w:jc w:val="both"/>
        <w:ind w:left="660" w:firstLine="644"/>
        <w:spacing w:after="0" w:line="301" w:lineRule="auto"/>
        <w:tabs>
          <w:tab w:leader="none" w:pos="1873" w:val="left"/>
        </w:tabs>
        <w:numPr>
          <w:ilvl w:val="1"/>
          <w:numId w:val="105"/>
        </w:numPr>
        <w:rPr>
          <w:rFonts w:ascii="Arial" w:cs="Arial" w:eastAsia="Arial" w:hAnsi="Arial"/>
          <w:sz w:val="16"/>
          <w:szCs w:val="16"/>
          <w:color w:val="FF0000"/>
        </w:rPr>
      </w:pPr>
      <w:r>
        <w:rPr>
          <w:rFonts w:ascii="Arial" w:cs="Arial" w:eastAsia="Arial" w:hAnsi="Arial"/>
          <w:sz w:val="16"/>
          <w:szCs w:val="16"/>
          <w:color w:val="auto"/>
        </w:rPr>
        <w:t>[</w:t>
      </w:r>
      <w:r>
        <w:rPr>
          <w:rFonts w:ascii="Arial" w:cs="Arial" w:eastAsia="Arial" w:hAnsi="Arial"/>
          <w:sz w:val="16"/>
          <w:szCs w:val="16"/>
          <w:color w:val="FF0000"/>
          <w:strike w:val="1"/>
        </w:rPr>
        <w:t>To the best knowledge of the Borrower, no Internal Control Event exists or has occurred since the date of the Audited Financial</w:t>
      </w:r>
      <w:r>
        <w:rPr>
          <w:rFonts w:ascii="Arial" w:cs="Arial" w:eastAsia="Arial" w:hAnsi="Arial"/>
          <w:sz w:val="16"/>
          <w:szCs w:val="16"/>
          <w:color w:val="auto"/>
        </w:rPr>
        <w:t xml:space="preserve"> </w:t>
      </w:r>
      <w:r>
        <w:rPr>
          <w:rFonts w:ascii="Arial" w:cs="Arial" w:eastAsia="Arial" w:hAnsi="Arial"/>
          <w:sz w:val="16"/>
          <w:szCs w:val="16"/>
          <w:color w:val="FF0000"/>
          <w:strike w:val="1"/>
        </w:rPr>
        <w:t>Statements that has resulted in or could reasonably be expected to result in a misstatement in any material respect, (i) in any financial information delivered or to be delivered to the Lender, (ii) of the Borrowing Base, (iii) of covenant compliance calculations provided hereunder or (iv) of the assets, liabilities, financial condition or results of operations of the Borrower and its Subsidiaries on a Consolidated basis.</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-508000</wp:posOffset>
            </wp:positionV>
            <wp:extent cx="3587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8775" cy="8255"/>
                    </a:xfrm>
                    <a:prstGeom prst="rect">
                      <a:avLst/>
                    </a:prstGeom>
                    <a:noFill/>
                  </pic:spPr>
                </pic:pic>
              </a:graphicData>
            </a:graphic>
          </wp:anchor>
        </w:drawing>
      </w:r>
    </w:p>
    <w:p>
      <w:pPr>
        <w:spacing w:after="0" w:line="133" w:lineRule="exact"/>
        <w:rPr>
          <w:sz w:val="20"/>
          <w:szCs w:val="20"/>
          <w:color w:val="auto"/>
        </w:rPr>
      </w:pPr>
    </w:p>
    <w:p>
      <w:pPr>
        <w:jc w:val="both"/>
        <w:ind w:left="660" w:firstLine="644"/>
        <w:spacing w:after="0" w:line="261" w:lineRule="auto"/>
        <w:tabs>
          <w:tab w:leader="none" w:pos="23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Consolidated forecasted balance sheet and statements of income and cash flows of the Borrower and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delivered pursuant to </w:t>
      </w:r>
      <w:r>
        <w:rPr>
          <w:rFonts w:ascii="Arial" w:cs="Arial" w:eastAsia="Arial" w:hAnsi="Arial"/>
          <w:sz w:val="18"/>
          <w:szCs w:val="18"/>
          <w:u w:val="single" w:color="auto"/>
          <w:color w:val="auto"/>
        </w:rPr>
        <w:t>Section 6.01(d)</w:t>
      </w:r>
      <w:r>
        <w:rPr>
          <w:rFonts w:ascii="Arial" w:cs="Arial" w:eastAsia="Arial" w:hAnsi="Arial"/>
          <w:sz w:val="18"/>
          <w:szCs w:val="18"/>
          <w:color w:val="auto"/>
        </w:rPr>
        <w:t xml:space="preserve"> were prepared in good faith on the basis of the assumptions stated therein, which assumptions were fair in light of the conditions existing at the time of delivery of such forecasts, and represented, at the time of delivery, the Loan Parties’ best estimate of its future financial performance.</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5.06 Litigation. </w:t>
      </w:r>
      <w:r>
        <w:rPr>
          <w:rFonts w:ascii="Arial" w:cs="Arial" w:eastAsia="Arial" w:hAnsi="Arial"/>
          <w:sz w:val="18"/>
          <w:szCs w:val="18"/>
          <w:color w:val="auto"/>
        </w:rPr>
        <w:t>There are no actions, suits, proceedings, claims or disputes pending or, to the knowledge of the Loan Parties after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diligent investigation, threatened or contemplated, at law, in equity, in arbitration or before any Governmental Authority, by or against any Loan Party or any of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or against any of its properties or revenues that (a) purport to affect or pertain to this Agreement or any other Loan Document, or any of the transactions contemplated hereby, or (b) either individually or in the aggregate, if determined adversely, could reasonably be expected to have a Material Adverse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85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5.07 No Default. </w:t>
      </w:r>
      <w:r>
        <w:rPr>
          <w:rFonts w:ascii="Arial" w:cs="Arial" w:eastAsia="Arial" w:hAnsi="Arial"/>
          <w:sz w:val="18"/>
          <w:szCs w:val="18"/>
          <w:color w:val="auto"/>
        </w:rPr>
        <w:t>No Loan Party or any Subsidiary is in default under or with respect to any Material Contract or any Material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No Default or Event of Default has occurred and is continuing or would result from the consummation of the transactions contemplated by this Agreement or any other Loan Document.</w:t>
      </w:r>
    </w:p>
    <w:p>
      <w:pPr>
        <w:spacing w:after="0" w:line="17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5.08</w:t>
      </w:r>
      <w:r>
        <w:rPr>
          <w:sz w:val="20"/>
          <w:szCs w:val="20"/>
          <w:color w:val="auto"/>
        </w:rPr>
        <w:tab/>
      </w:r>
      <w:r>
        <w:rPr>
          <w:rFonts w:ascii="Arial" w:cs="Arial" w:eastAsia="Arial" w:hAnsi="Arial"/>
          <w:sz w:val="16"/>
          <w:szCs w:val="16"/>
          <w:b w:val="1"/>
          <w:bCs w:val="1"/>
          <w:color w:val="auto"/>
        </w:rPr>
        <w:t>Ownership of Property; Liens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1" w:lineRule="auto"/>
        <w:tabs>
          <w:tab w:leader="none" w:pos="23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Each of the Loan Parties and each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thereof has good record and marketable title in fee simple to or valid leasehold interests in, all Real Estate necessary or used in the ordinary conduct of its business. Each of the Loan Parties and each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has good and marketable title to, valid leasehold interests in, or valid licenses to use all personal property and assets material to the ordinary conduct of its business.</w:t>
      </w:r>
    </w:p>
    <w:p>
      <w:pPr>
        <w:spacing w:after="0" w:line="183" w:lineRule="exact"/>
        <w:rPr>
          <w:rFonts w:ascii="Arial" w:cs="Arial" w:eastAsia="Arial" w:hAnsi="Arial"/>
          <w:sz w:val="18"/>
          <w:szCs w:val="18"/>
          <w:color w:val="auto"/>
        </w:rPr>
      </w:pPr>
    </w:p>
    <w:p>
      <w:pPr>
        <w:jc w:val="both"/>
        <w:ind w:left="660" w:firstLine="644"/>
        <w:spacing w:after="0" w:line="271" w:lineRule="auto"/>
        <w:tabs>
          <w:tab w:leader="none" w:pos="22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Schedule 5.08(b)(1) to the Disclosure Schedule sets forth the address (including street address, county and state) of all Real Estate (excluding Leases) that is owned by the Loan Parties and each of their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together with a list of the holders of any mortgage or other Lien thereon as of the [</w:t>
      </w:r>
      <w:r>
        <w:rPr>
          <w:rFonts w:ascii="Arial" w:cs="Arial" w:eastAsia="Arial" w:hAnsi="Arial"/>
          <w:sz w:val="17"/>
          <w:szCs w:val="17"/>
          <w:color w:val="FF0000"/>
          <w:strike w:val="1"/>
        </w:rPr>
        <w:t>Closing</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Third Amendment Effective</w:t>
      </w:r>
      <w:r>
        <w:rPr>
          <w:rFonts w:ascii="Arial" w:cs="Arial" w:eastAsia="Arial" w:hAnsi="Arial"/>
          <w:sz w:val="17"/>
          <w:szCs w:val="17"/>
          <w:color w:val="auto"/>
        </w:rPr>
        <w:t xml:space="preserve"> Date. Each Loan Party and each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has good, marketable and insurable fee simple title to the Real Estate owned by such Loan Party or such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free and clear of all Liens, other than Permitted Encumbrances. Schedule 5.08(b)(2) to the Disclosure Schedule sets forth the address (including street address, county and state) of all Leases of the Loan Parties, together with the name of each lessor and its contact information with respect to each such Lease as of the [</w:t>
      </w:r>
      <w:r>
        <w:rPr>
          <w:rFonts w:ascii="Arial" w:cs="Arial" w:eastAsia="Arial" w:hAnsi="Arial"/>
          <w:sz w:val="17"/>
          <w:szCs w:val="17"/>
          <w:color w:val="FF0000"/>
          <w:strike w:val="1"/>
        </w:rPr>
        <w:t>Closing</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Third Amendment Effective</w:t>
      </w:r>
      <w:r>
        <w:rPr>
          <w:rFonts w:ascii="Arial" w:cs="Arial" w:eastAsia="Arial" w:hAnsi="Arial"/>
          <w:sz w:val="17"/>
          <w:szCs w:val="17"/>
          <w:color w:val="auto"/>
        </w:rPr>
        <w:t xml:space="preserve"> Date. Each of such Leases is in full force and effect and the Loan Parties are not in default of the terms thereof.</w:t>
      </w:r>
    </w:p>
    <w:p>
      <w:pPr>
        <w:spacing w:after="0" w:line="178" w:lineRule="exact"/>
        <w:rPr>
          <w:rFonts w:ascii="Arial" w:cs="Arial" w:eastAsia="Arial" w:hAnsi="Arial"/>
          <w:sz w:val="17"/>
          <w:szCs w:val="17"/>
          <w:color w:val="auto"/>
        </w:rPr>
      </w:pPr>
    </w:p>
    <w:p>
      <w:pPr>
        <w:jc w:val="both"/>
        <w:ind w:left="660" w:firstLine="644"/>
        <w:spacing w:after="0" w:line="301" w:lineRule="auto"/>
        <w:tabs>
          <w:tab w:leader="none" w:pos="220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Schedule 7.01 to the Disclosure Schedule sets forth a complete and accurate list of all Liens on the property or assets of each Loan Party and each of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showing as of the [</w:t>
      </w:r>
      <w:r>
        <w:rPr>
          <w:rFonts w:ascii="Arial" w:cs="Arial" w:eastAsia="Arial" w:hAnsi="Arial"/>
          <w:sz w:val="16"/>
          <w:szCs w:val="16"/>
          <w:color w:val="FF0000"/>
          <w:strike w:val="1"/>
        </w:rPr>
        <w:t>Closing</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Third Amendment Effective</w:t>
      </w:r>
      <w:r>
        <w:rPr>
          <w:rFonts w:ascii="Arial" w:cs="Arial" w:eastAsia="Arial" w:hAnsi="Arial"/>
          <w:sz w:val="16"/>
          <w:szCs w:val="16"/>
          <w:color w:val="auto"/>
        </w:rPr>
        <w:t xml:space="preserve"> Date the lienholder thereof, the principal amount of the obligations secured thereby and the property or assets of such Loan Party or such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subject thereto. The property of each Loan Party and each of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is subject to no Liens, other than Permitted Encumbrances.</w:t>
      </w:r>
    </w:p>
    <w:p>
      <w:pPr>
        <w:spacing w:after="0" w:line="157" w:lineRule="exact"/>
        <w:rPr>
          <w:rFonts w:ascii="Arial" w:cs="Arial" w:eastAsia="Arial" w:hAnsi="Arial"/>
          <w:sz w:val="16"/>
          <w:szCs w:val="16"/>
          <w:color w:val="auto"/>
        </w:rPr>
      </w:pPr>
    </w:p>
    <w:p>
      <w:pPr>
        <w:jc w:val="both"/>
        <w:ind w:left="660" w:firstLine="644"/>
        <w:spacing w:after="0" w:line="263" w:lineRule="auto"/>
        <w:tabs>
          <w:tab w:leader="none" w:pos="220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Schedule 7.02 to the Disclosure Schedule sets forth a complete and accurate list of all Investments held by any Loan Party or 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of a Loan Party on the [</w:t>
      </w:r>
      <w:r>
        <w:rPr>
          <w:rFonts w:ascii="Arial" w:cs="Arial" w:eastAsia="Arial" w:hAnsi="Arial"/>
          <w:sz w:val="18"/>
          <w:szCs w:val="18"/>
          <w:color w:val="FF0000"/>
          <w:strike w:val="1"/>
        </w:rPr>
        <w:t>Closing</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Third Amendment Effective</w:t>
      </w:r>
      <w:r>
        <w:rPr>
          <w:rFonts w:ascii="Arial" w:cs="Arial" w:eastAsia="Arial" w:hAnsi="Arial"/>
          <w:sz w:val="18"/>
          <w:szCs w:val="18"/>
          <w:color w:val="auto"/>
        </w:rPr>
        <w:t xml:space="preserve"> Date, showing as of the [</w:t>
      </w:r>
      <w:r>
        <w:rPr>
          <w:rFonts w:ascii="Arial" w:cs="Arial" w:eastAsia="Arial" w:hAnsi="Arial"/>
          <w:sz w:val="18"/>
          <w:szCs w:val="18"/>
          <w:color w:val="FF0000"/>
          <w:strike w:val="1"/>
        </w:rPr>
        <w:t>Closing</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Third Amendment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Effective</w:t>
      </w:r>
      <w:r>
        <w:rPr>
          <w:rFonts w:ascii="Arial" w:cs="Arial" w:eastAsia="Arial" w:hAnsi="Arial"/>
          <w:sz w:val="18"/>
          <w:szCs w:val="18"/>
          <w:b w:val="1"/>
          <w:bCs w:val="1"/>
          <w:color w:val="0000FF"/>
        </w:rPr>
        <w:t xml:space="preserve"> </w:t>
      </w:r>
      <w:r>
        <w:rPr>
          <w:rFonts w:ascii="Arial" w:cs="Arial" w:eastAsia="Arial" w:hAnsi="Arial"/>
          <w:sz w:val="18"/>
          <w:szCs w:val="18"/>
          <w:color w:val="000000"/>
        </w:rPr>
        <w:t>Date the amount, obligor or issuer and maturity, if any, thereof.</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18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Schedule 7.03 to the Disclosure Schedule sets forth a complete and accurate list of all Indebtedness of each Loan Party or any </w:t>
      </w:r>
      <w:r>
        <w:rPr>
          <w:rFonts w:ascii="Arial" w:cs="Arial" w:eastAsia="Arial" w:hAnsi="Arial"/>
          <w:sz w:val="18"/>
          <w:szCs w:val="18"/>
          <w:b w:val="1"/>
          <w:bCs w:val="1"/>
          <w:u w:val="single" w:color="auto"/>
          <w:color w:val="0000FF"/>
        </w:rPr>
        <w:t>Restricted</w:t>
      </w:r>
      <w:r>
        <w:rPr>
          <w:rFonts w:ascii="Arial" w:cs="Arial" w:eastAsia="Arial" w:hAnsi="Arial"/>
          <w:sz w:val="18"/>
          <w:szCs w:val="18"/>
          <w:b w:val="1"/>
          <w:bCs w:val="1"/>
          <w:color w:val="0000FF"/>
        </w:rPr>
        <w:t xml:space="preserve"> </w:t>
      </w:r>
      <w:r>
        <w:rPr>
          <w:rFonts w:ascii="Arial" w:cs="Arial" w:eastAsia="Arial" w:hAnsi="Arial"/>
          <w:sz w:val="18"/>
          <w:szCs w:val="18"/>
          <w:color w:val="000000"/>
        </w:rPr>
        <w:t>Subsidiary of a Loan Party on the [</w:t>
      </w:r>
      <w:r>
        <w:rPr>
          <w:rFonts w:ascii="Arial" w:cs="Arial" w:eastAsia="Arial" w:hAnsi="Arial"/>
          <w:sz w:val="18"/>
          <w:szCs w:val="18"/>
          <w:color w:val="FF0000"/>
          <w:strike w:val="1"/>
        </w:rPr>
        <w:t>Closing</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Third Amendment Effective</w:t>
      </w:r>
      <w:r>
        <w:rPr>
          <w:rFonts w:ascii="Arial" w:cs="Arial" w:eastAsia="Arial" w:hAnsi="Arial"/>
          <w:sz w:val="18"/>
          <w:szCs w:val="18"/>
          <w:b w:val="1"/>
          <w:bCs w:val="1"/>
          <w:color w:val="0000FF"/>
        </w:rPr>
        <w:t xml:space="preserve"> </w:t>
      </w:r>
      <w:r>
        <w:rPr>
          <w:rFonts w:ascii="Arial" w:cs="Arial" w:eastAsia="Arial" w:hAnsi="Arial"/>
          <w:sz w:val="18"/>
          <w:szCs w:val="18"/>
          <w:color w:val="000000"/>
        </w:rPr>
        <w:t>Date, showing as of the [</w:t>
      </w:r>
      <w:r>
        <w:rPr>
          <w:rFonts w:ascii="Arial" w:cs="Arial" w:eastAsia="Arial" w:hAnsi="Arial"/>
          <w:sz w:val="18"/>
          <w:szCs w:val="18"/>
          <w:color w:val="FF0000"/>
          <w:strike w:val="1"/>
        </w:rPr>
        <w:t>Closing</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Third Amendment</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Effective</w:t>
      </w:r>
      <w:r>
        <w:rPr>
          <w:rFonts w:ascii="Arial" w:cs="Arial" w:eastAsia="Arial" w:hAnsi="Arial"/>
          <w:sz w:val="18"/>
          <w:szCs w:val="18"/>
          <w:b w:val="1"/>
          <w:bCs w:val="1"/>
          <w:color w:val="0000FF"/>
        </w:rPr>
        <w:t xml:space="preserve"> </w:t>
      </w:r>
      <w:r>
        <w:rPr>
          <w:rFonts w:ascii="Arial" w:cs="Arial" w:eastAsia="Arial" w:hAnsi="Arial"/>
          <w:sz w:val="18"/>
          <w:szCs w:val="18"/>
          <w:color w:val="000000"/>
        </w:rPr>
        <w:t>Date the amount, obligor or issuer and maturity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86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5.09</w:t>
      </w:r>
      <w:r>
        <w:rPr>
          <w:sz w:val="20"/>
          <w:szCs w:val="20"/>
          <w:color w:val="auto"/>
        </w:rPr>
        <w:tab/>
      </w:r>
      <w:r>
        <w:rPr>
          <w:rFonts w:ascii="Arial" w:cs="Arial" w:eastAsia="Arial" w:hAnsi="Arial"/>
          <w:sz w:val="16"/>
          <w:szCs w:val="16"/>
          <w:b w:val="1"/>
          <w:bCs w:val="1"/>
          <w:color w:val="auto"/>
        </w:rPr>
        <w:t>Environmental Compliance</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303" w:lineRule="auto"/>
        <w:tabs>
          <w:tab w:leader="none" w:pos="134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No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thereof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except, in each case, as could not, individually or in the aggregate, reasonably be expected to have a Material Adverse Effect.</w:t>
      </w:r>
    </w:p>
    <w:p>
      <w:pPr>
        <w:spacing w:after="0" w:line="150" w:lineRule="exact"/>
        <w:rPr>
          <w:rFonts w:ascii="Arial" w:cs="Arial" w:eastAsia="Arial" w:hAnsi="Arial"/>
          <w:sz w:val="16"/>
          <w:szCs w:val="16"/>
          <w:color w:val="auto"/>
        </w:rPr>
      </w:pPr>
    </w:p>
    <w:p>
      <w:pPr>
        <w:jc w:val="both"/>
        <w:ind w:firstLine="644"/>
        <w:spacing w:after="0" w:line="271" w:lineRule="auto"/>
        <w:tabs>
          <w:tab w:leader="none" w:pos="150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None of the properties currently or</w:t>
      </w:r>
      <w:r>
        <w:rPr>
          <w:rFonts w:ascii="Arial" w:cs="Arial" w:eastAsia="Arial" w:hAnsi="Arial"/>
          <w:sz w:val="17"/>
          <w:szCs w:val="17"/>
          <w:b w:val="1"/>
          <w:bCs w:val="1"/>
          <w:u w:val="single" w:color="auto"/>
          <w:color w:val="0000FF"/>
        </w:rPr>
        <w:t>, to the best knowledge of each Loan Party and each Restricted Subsidiary,</w:t>
      </w:r>
      <w:r>
        <w:rPr>
          <w:rFonts w:ascii="Arial" w:cs="Arial" w:eastAsia="Arial" w:hAnsi="Arial"/>
          <w:sz w:val="17"/>
          <w:szCs w:val="17"/>
          <w:color w:val="auto"/>
        </w:rPr>
        <w:t xml:space="preserve"> formerly owned, leased or operated by any Loan Party or any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thereof is listed or proposed for listing on the NPL or on [</w:t>
      </w:r>
      <w:r>
        <w:rPr>
          <w:rFonts w:ascii="Arial" w:cs="Arial" w:eastAsia="Arial" w:hAnsi="Arial"/>
          <w:sz w:val="17"/>
          <w:szCs w:val="17"/>
          <w:color w:val="FF0000"/>
          <w:strike w:val="1"/>
        </w:rPr>
        <w:t>the</w:t>
      </w:r>
      <w:r>
        <w:rPr>
          <w:rFonts w:ascii="Arial" w:cs="Arial" w:eastAsia="Arial" w:hAnsi="Arial"/>
          <w:sz w:val="17"/>
          <w:szCs w:val="17"/>
          <w:color w:val="auto"/>
        </w:rPr>
        <w:t xml:space="preserve"> </w:t>
      </w:r>
      <w:r>
        <w:rPr>
          <w:rFonts w:ascii="Arial" w:cs="Arial" w:eastAsia="Arial" w:hAnsi="Arial"/>
          <w:sz w:val="17"/>
          <w:szCs w:val="17"/>
          <w:color w:val="FF0000"/>
          <w:strike w:val="1"/>
        </w:rPr>
        <w:t>CERCLIS</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SEMS</w:t>
      </w:r>
      <w:r>
        <w:rPr>
          <w:rFonts w:ascii="Arial" w:cs="Arial" w:eastAsia="Arial" w:hAnsi="Arial"/>
          <w:sz w:val="17"/>
          <w:szCs w:val="17"/>
          <w:color w:val="FF0000"/>
        </w:rPr>
        <w:t xml:space="preserve"> </w:t>
      </w:r>
      <w:r>
        <w:rPr>
          <w:rFonts w:ascii="Arial" w:cs="Arial" w:eastAsia="Arial" w:hAnsi="Arial"/>
          <w:sz w:val="17"/>
          <w:szCs w:val="17"/>
          <w:color w:val="000000"/>
        </w:rPr>
        <w:t>or any analogous foreign, state or local list[</w:t>
      </w:r>
      <w:r>
        <w:rPr>
          <w:rFonts w:ascii="Arial" w:cs="Arial" w:eastAsia="Arial" w:hAnsi="Arial"/>
          <w:sz w:val="17"/>
          <w:szCs w:val="17"/>
          <w:color w:val="FF0000"/>
        </w:rPr>
        <w:t xml:space="preserve"> </w:t>
      </w:r>
      <w:r>
        <w:rPr>
          <w:rFonts w:ascii="Arial" w:cs="Arial" w:eastAsia="Arial" w:hAnsi="Arial"/>
          <w:sz w:val="17"/>
          <w:szCs w:val="17"/>
          <w:color w:val="FF0000"/>
          <w:strike w:val="1"/>
        </w:rPr>
        <w:t>or is adjacent to any such property</w:t>
      </w:r>
      <w:r>
        <w:rPr>
          <w:rFonts w:ascii="Arial" w:cs="Arial" w:eastAsia="Arial" w:hAnsi="Arial"/>
          <w:sz w:val="17"/>
          <w:szCs w:val="17"/>
          <w:color w:val="000000"/>
        </w:rPr>
        <w:t>]; to the best of the knowledge of the Loan</w:t>
      </w:r>
      <w:r>
        <w:rPr>
          <w:rFonts w:ascii="Arial" w:cs="Arial" w:eastAsia="Arial" w:hAnsi="Arial"/>
          <w:sz w:val="17"/>
          <w:szCs w:val="17"/>
          <w:color w:val="FF0000"/>
        </w:rPr>
        <w:t xml:space="preserve"> </w:t>
      </w:r>
      <w:r>
        <w:rPr>
          <w:rFonts w:ascii="Arial" w:cs="Arial" w:eastAsia="Arial" w:hAnsi="Arial"/>
          <w:sz w:val="17"/>
          <w:szCs w:val="17"/>
          <w:color w:val="000000"/>
        </w:rPr>
        <w:t>Parties,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or any [</w:t>
      </w:r>
      <w:r>
        <w:rPr>
          <w:rFonts w:ascii="Arial" w:cs="Arial" w:eastAsia="Arial" w:hAnsi="Arial"/>
          <w:sz w:val="17"/>
          <w:szCs w:val="17"/>
          <w:color w:val="FF0000"/>
          <w:strike w:val="1"/>
        </w:rPr>
        <w:t>Subsidiary thereof or on any property formerly owned or operated by any Loan Party or</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Restricted</w:t>
      </w:r>
      <w:r>
        <w:rPr>
          <w:rFonts w:ascii="Arial" w:cs="Arial" w:eastAsia="Arial" w:hAnsi="Arial"/>
          <w:sz w:val="17"/>
          <w:szCs w:val="17"/>
          <w:color w:val="000000"/>
        </w:rPr>
        <w:t xml:space="preserve"> Subsidiary thereof; there is no asbestos or asbestos-containing material on any property currently owned or operated by any Loan Party or [</w:t>
      </w:r>
      <w:r>
        <w:rPr>
          <w:rFonts w:ascii="Arial" w:cs="Arial" w:eastAsia="Arial" w:hAnsi="Arial"/>
          <w:sz w:val="17"/>
          <w:szCs w:val="17"/>
          <w:color w:val="FF0000"/>
          <w:strike w:val="1"/>
        </w:rPr>
        <w:t>Subsidiary thereof; and to the best</w:t>
      </w:r>
      <w:r>
        <w:rPr>
          <w:rFonts w:ascii="Arial" w:cs="Arial" w:eastAsia="Arial" w:hAnsi="Arial"/>
          <w:sz w:val="17"/>
          <w:szCs w:val="17"/>
          <w:color w:val="000000"/>
        </w:rPr>
        <w:t xml:space="preserve"> </w:t>
      </w:r>
      <w:r>
        <w:rPr>
          <w:rFonts w:ascii="Arial" w:cs="Arial" w:eastAsia="Arial" w:hAnsi="Arial"/>
          <w:sz w:val="17"/>
          <w:szCs w:val="17"/>
          <w:color w:val="FF0000"/>
          <w:strike w:val="1"/>
        </w:rPr>
        <w:t>knowledge of the Loan Parties, Hazardous Materials have not been Released on, at under or from any property currently or formerly owned, leased or operated by any Loan Party or any</w:t>
      </w:r>
      <w:r>
        <w:rPr>
          <w:rFonts w:ascii="Arial" w:cs="Arial" w:eastAsia="Arial" w:hAnsi="Arial"/>
          <w:sz w:val="17"/>
          <w:szCs w:val="17"/>
          <w:color w:val="000000"/>
          <w:strike w:val="1"/>
        </w:rPr>
        <w:t>]</w:t>
      </w:r>
      <w:r>
        <w:rPr>
          <w:rFonts w:ascii="Arial" w:cs="Arial" w:eastAsia="Arial" w:hAnsi="Arial"/>
          <w:sz w:val="17"/>
          <w:szCs w:val="17"/>
          <w:b w:val="1"/>
          <w:bCs w:val="1"/>
          <w:u w:val="single" w:color="auto"/>
          <w:color w:val="0000FF"/>
          <w:strike w:val="1"/>
        </w:rPr>
        <w:t>any Restricted</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Subsidiary thereof.</w:t>
      </w:r>
    </w:p>
    <w:p>
      <w:pPr>
        <w:spacing w:after="0" w:line="173" w:lineRule="exact"/>
        <w:rPr>
          <w:rFonts w:ascii="Arial" w:cs="Arial" w:eastAsia="Arial" w:hAnsi="Arial"/>
          <w:sz w:val="17"/>
          <w:szCs w:val="17"/>
          <w:color w:val="auto"/>
        </w:rPr>
      </w:pPr>
    </w:p>
    <w:p>
      <w:pPr>
        <w:jc w:val="both"/>
        <w:ind w:firstLine="644"/>
        <w:spacing w:after="0" w:line="273" w:lineRule="auto"/>
        <w:tabs>
          <w:tab w:leader="none" w:pos="162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No Loan Party or any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thereof is undertaking[</w:t>
      </w:r>
      <w:r>
        <w:rPr>
          <w:rFonts w:ascii="Arial" w:cs="Arial" w:eastAsia="Arial" w:hAnsi="Arial"/>
          <w:sz w:val="17"/>
          <w:szCs w:val="17"/>
          <w:color w:val="FF0000"/>
          <w:strike w:val="1"/>
        </w:rPr>
        <w:t>, and no Loan Party or any Subsidiary thereof has</w:t>
      </w:r>
      <w:r>
        <w:rPr>
          <w:rFonts w:ascii="Arial" w:cs="Arial" w:eastAsia="Arial" w:hAnsi="Arial"/>
          <w:sz w:val="17"/>
          <w:szCs w:val="17"/>
          <w:color w:val="auto"/>
        </w:rPr>
        <w:t xml:space="preserve"> </w:t>
      </w:r>
      <w:r>
        <w:rPr>
          <w:rFonts w:ascii="Arial" w:cs="Arial" w:eastAsia="Arial" w:hAnsi="Arial"/>
          <w:sz w:val="17"/>
          <w:szCs w:val="17"/>
          <w:color w:val="FF0000"/>
          <w:strike w:val="1"/>
        </w:rPr>
        <w:t>completed</w:t>
      </w:r>
      <w:r>
        <w:rPr>
          <w:rFonts w:ascii="Arial" w:cs="Arial" w:eastAsia="Arial" w:hAnsi="Arial"/>
          <w:sz w:val="17"/>
          <w:szCs w:val="17"/>
          <w:color w:val="000000"/>
        </w:rPr>
        <w:t>], either individually or together with other potentially responsible parties, any investigation or assessment or remedial or response</w:t>
      </w:r>
      <w:r>
        <w:rPr>
          <w:rFonts w:ascii="Arial" w:cs="Arial" w:eastAsia="Arial" w:hAnsi="Arial"/>
          <w:sz w:val="17"/>
          <w:szCs w:val="17"/>
          <w:color w:val="FF0000"/>
        </w:rPr>
        <w:t xml:space="preserve"> </w:t>
      </w:r>
      <w:r>
        <w:rPr>
          <w:rFonts w:ascii="Arial" w:cs="Arial" w:eastAsia="Arial" w:hAnsi="Arial"/>
          <w:sz w:val="17"/>
          <w:szCs w:val="17"/>
          <w:color w:val="000000"/>
        </w:rPr>
        <w:t xml:space="preserve">action relating to any actual or threatened Release of Hazardous Materials at, on, under or from any site, location or operation, either voluntarily or pursuant to the order of any Governmental Authority or the requirements of any Environmental Law; and to the best knowledge of the Loan Parties, all Hazardous Materials generated, used, treated, handled or stored at, or transported to or from, any property currently or formerly owned, leased or operated by any Loan Party or any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000000"/>
        </w:rPr>
        <w:t xml:space="preserve"> Subsidiary thereof have been disposed of in a manner not reasonably expected to result in material liability to any Loan Party or any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000000"/>
        </w:rPr>
        <w:t xml:space="preserve"> Subsidiary thereof.</w:t>
      </w:r>
    </w:p>
    <w:p>
      <w:pPr>
        <w:spacing w:after="0" w:line="175" w:lineRule="exact"/>
        <w:rPr>
          <w:rFonts w:ascii="Arial" w:cs="Arial" w:eastAsia="Arial" w:hAnsi="Arial"/>
          <w:sz w:val="17"/>
          <w:szCs w:val="17"/>
          <w:color w:val="auto"/>
        </w:rPr>
      </w:pPr>
    </w:p>
    <w:p>
      <w:pPr>
        <w:jc w:val="both"/>
        <w:ind w:firstLine="644"/>
        <w:spacing w:after="0" w:line="253" w:lineRule="auto"/>
        <w:tabs>
          <w:tab w:leader="none" w:pos="132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Except, in each case, as could not individually or in the aggregate reasonably be expected to have a Material Adverse Effect, the Loan Parties and their respective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(A) are, and within the period of all applicable statutes of limitation have been, in compliance with all applicable Environmental Laws; (B) hold all Environmental Permits (each of which is in full force and effect) required for any of their current or intended operations or for any property owned, leased, or otherwise operated by any of them; </w:t>
      </w:r>
      <w:r>
        <w:rPr>
          <w:rFonts w:ascii="Arial" w:cs="Arial" w:eastAsia="Arial" w:hAnsi="Arial"/>
          <w:sz w:val="18"/>
          <w:szCs w:val="18"/>
          <w:b w:val="1"/>
          <w:bCs w:val="1"/>
          <w:u w:val="single" w:color="auto"/>
          <w:color w:val="0000FF"/>
        </w:rPr>
        <w:t>and</w:t>
      </w:r>
      <w:r>
        <w:rPr>
          <w:rFonts w:ascii="Arial" w:cs="Arial" w:eastAsia="Arial" w:hAnsi="Arial"/>
          <w:sz w:val="18"/>
          <w:szCs w:val="18"/>
          <w:color w:val="auto"/>
        </w:rPr>
        <w:t xml:space="preserve"> (C) are, and within the period of all applicable statutes of limitation have been, in compliance with all of their Environmental Permits[</w:t>
      </w:r>
      <w:r>
        <w:rPr>
          <w:rFonts w:ascii="Arial" w:cs="Arial" w:eastAsia="Arial" w:hAnsi="Arial"/>
          <w:sz w:val="18"/>
          <w:szCs w:val="18"/>
          <w:color w:val="FF0000"/>
          <w:strike w:val="1"/>
        </w:rPr>
        <w:t>; (D) to the extent within the control of the</w:t>
      </w:r>
      <w:r>
        <w:rPr>
          <w:rFonts w:ascii="Arial" w:cs="Arial" w:eastAsia="Arial" w:hAnsi="Arial"/>
          <w:sz w:val="18"/>
          <w:szCs w:val="18"/>
          <w:color w:val="auto"/>
        </w:rPr>
        <w:t xml:space="preserve"> </w:t>
      </w:r>
      <w:r>
        <w:rPr>
          <w:rFonts w:ascii="Arial" w:cs="Arial" w:eastAsia="Arial" w:hAnsi="Arial"/>
          <w:sz w:val="18"/>
          <w:szCs w:val="18"/>
          <w:color w:val="FF0000"/>
          <w:strike w:val="1"/>
        </w:rPr>
        <w:t>Loan Parties and their respective Subsidiaries, will timely renew and comply with each of their Environmental Permits and any additional Environmental permits that may be required of any of them without material expense, and timely comply with any current, future or potential Environmental Law without material expense; and (E) are not aware of any requirements proposed for adoption or implementation under any Environmental Law</w:t>
      </w:r>
      <w:r>
        <w:rPr>
          <w:rFonts w:ascii="Arial" w:cs="Arial" w:eastAsia="Arial" w:hAnsi="Arial"/>
          <w:sz w:val="18"/>
          <w:szCs w:val="18"/>
          <w:color w:val="000000"/>
          <w:strike w:val="1"/>
        </w:rPr>
        <w:t>].</w:t>
      </w:r>
    </w:p>
    <w:p>
      <w:pPr>
        <w:spacing w:after="0" w:line="19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87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5.10 Insurance. </w:t>
      </w:r>
      <w:r>
        <w:rPr>
          <w:rFonts w:ascii="Arial" w:cs="Arial" w:eastAsia="Arial" w:hAnsi="Arial"/>
          <w:sz w:val="18"/>
          <w:szCs w:val="18"/>
          <w:color w:val="auto"/>
        </w:rPr>
        <w:t>The properties of the Loan Parties and their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0000FF"/>
        </w:rPr>
        <w:t>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are insured with financially sound and reputable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insurance companies which are not Affiliates of the Loan Parties, in such amounts, with such deductibles and covering such risks (including, without limitation, workmen’s compensation, public liability, business interruption, property damage and directors and officers liability insurance) as are customarily carried by companies engaged in similar businesses and owning similar properties in localities where the Loan Parties or the applicable </w:t>
      </w:r>
      <w:r>
        <w:rPr>
          <w:rFonts w:ascii="Arial" w:cs="Arial" w:eastAsia="Arial" w:hAnsi="Arial"/>
          <w:sz w:val="18"/>
          <w:szCs w:val="18"/>
          <w:b w:val="1"/>
          <w:bCs w:val="1"/>
          <w:u w:val="single" w:color="auto"/>
          <w:color w:val="0000FF"/>
        </w:rPr>
        <w:t>Restricted</w:t>
      </w:r>
      <w:r>
        <w:rPr>
          <w:rFonts w:ascii="Arial" w:cs="Arial" w:eastAsia="Arial" w:hAnsi="Arial"/>
          <w:sz w:val="18"/>
          <w:szCs w:val="18"/>
          <w:b w:val="1"/>
          <w:bCs w:val="1"/>
          <w:color w:val="0000FF"/>
        </w:rPr>
        <w:t xml:space="preserve"> </w:t>
      </w:r>
      <w:r>
        <w:rPr>
          <w:rFonts w:ascii="Arial" w:cs="Arial" w:eastAsia="Arial" w:hAnsi="Arial"/>
          <w:sz w:val="18"/>
          <w:szCs w:val="18"/>
          <w:color w:val="000000"/>
        </w:rPr>
        <w:t>Subsidiary operates. Schedule 5.10 to the Disclosure Schedule sets forth a description of all insurance maintained by or on behalf of the Loan</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Parties and their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000000"/>
        </w:rPr>
        <w:t xml:space="preserve"> Subsidiaries as of the [</w:t>
      </w:r>
      <w:r>
        <w:rPr>
          <w:rFonts w:ascii="Arial" w:cs="Arial" w:eastAsia="Arial" w:hAnsi="Arial"/>
          <w:sz w:val="18"/>
          <w:szCs w:val="18"/>
          <w:color w:val="FF0000"/>
          <w:strike w:val="1"/>
        </w:rPr>
        <w:t>Closing</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Third Amendment Effective</w:t>
      </w:r>
      <w:r>
        <w:rPr>
          <w:rFonts w:ascii="Arial" w:cs="Arial" w:eastAsia="Arial" w:hAnsi="Arial"/>
          <w:sz w:val="18"/>
          <w:szCs w:val="18"/>
          <w:color w:val="000000"/>
        </w:rPr>
        <w:t xml:space="preserve"> Date. As of the [</w:t>
      </w:r>
      <w:r>
        <w:rPr>
          <w:rFonts w:ascii="Arial" w:cs="Arial" w:eastAsia="Arial" w:hAnsi="Arial"/>
          <w:sz w:val="18"/>
          <w:szCs w:val="18"/>
          <w:color w:val="FF0000"/>
          <w:strike w:val="1"/>
        </w:rPr>
        <w:t>Closing</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Third Amendment Effective</w:t>
      </w:r>
      <w:r>
        <w:rPr>
          <w:rFonts w:ascii="Arial" w:cs="Arial" w:eastAsia="Arial" w:hAnsi="Arial"/>
          <w:sz w:val="18"/>
          <w:szCs w:val="18"/>
          <w:color w:val="000000"/>
        </w:rPr>
        <w:t xml:space="preserve"> Date, each insurance policy listed on Schedule 5.10 to the Disclosure Schedule is in full force and effect and all premiums in respect thereof that are due and payable have been paid.</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5.11 Taxes. </w:t>
      </w:r>
      <w:r>
        <w:rPr>
          <w:rFonts w:ascii="Arial" w:cs="Arial" w:eastAsia="Arial" w:hAnsi="Arial"/>
          <w:sz w:val="17"/>
          <w:szCs w:val="17"/>
          <w:color w:val="auto"/>
        </w:rPr>
        <w:t>The Loan Parties and their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0000FF"/>
        </w:rPr>
        <w:t>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have filed all federal, state and other tax returns and reports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filed, and have paid all federal, state and other taxes, assessments, fees and other governmental charges levied or imposed upon them or their properties, income or assets otherwise due and payable, except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those which are being contested in good faith by appropriate proceedings being diligently conducted, for which adequate reserves have been provided in accordance with GAAP[</w:t>
      </w:r>
      <w:r>
        <w:rPr>
          <w:rFonts w:ascii="Arial" w:cs="Arial" w:eastAsia="Arial" w:hAnsi="Arial"/>
          <w:sz w:val="17"/>
          <w:szCs w:val="17"/>
          <w:color w:val="FF0000"/>
          <w:strike w:val="1"/>
        </w:rPr>
        <w:t>, as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or (b)</w:t>
      </w:r>
      <w:r>
        <w:rPr>
          <w:rFonts w:ascii="Arial" w:cs="Arial" w:eastAsia="Arial" w:hAnsi="Arial"/>
          <w:sz w:val="17"/>
          <w:szCs w:val="17"/>
          <w:color w:val="auto"/>
        </w:rPr>
        <w:t xml:space="preserve"> to [</w:t>
      </w:r>
      <w:r>
        <w:rPr>
          <w:rFonts w:ascii="Arial" w:cs="Arial" w:eastAsia="Arial" w:hAnsi="Arial"/>
          <w:sz w:val="17"/>
          <w:szCs w:val="17"/>
          <w:color w:val="FF0000"/>
          <w:strike w:val="1"/>
        </w:rPr>
        <w:t>which Taxes no Lien has been filed and which</w:t>
      </w:r>
      <w:r>
        <w:rPr>
          <w:rFonts w:ascii="Arial" w:cs="Arial" w:eastAsia="Arial" w:hAnsi="Arial"/>
          <w:sz w:val="17"/>
          <w:szCs w:val="17"/>
          <w:color w:val="auto"/>
        </w:rPr>
        <w:t xml:space="preserve"> </w:t>
      </w:r>
      <w:r>
        <w:rPr>
          <w:rFonts w:ascii="Arial" w:cs="Arial" w:eastAsia="Arial" w:hAnsi="Arial"/>
          <w:sz w:val="17"/>
          <w:szCs w:val="17"/>
          <w:color w:val="FF0000"/>
          <w:strike w:val="1"/>
        </w:rPr>
        <w:t>contest effectively suspends the collection of the contested obligation and the enforcement of any Lien securing such obligation. There is no proposed tax assessment against any Loan Party or any Subsidiary that would, if made,</w:t>
      </w:r>
      <w:r>
        <w:rPr>
          <w:rFonts w:ascii="Arial" w:cs="Arial" w:eastAsia="Arial" w:hAnsi="Arial"/>
          <w:sz w:val="17"/>
          <w:szCs w:val="17"/>
          <w:color w:val="000000"/>
          <w:strike w:val="1"/>
        </w:rPr>
        <w:t>]</w:t>
      </w:r>
      <w:r>
        <w:rPr>
          <w:rFonts w:ascii="Arial" w:cs="Arial" w:eastAsia="Arial" w:hAnsi="Arial"/>
          <w:sz w:val="17"/>
          <w:szCs w:val="17"/>
          <w:b w:val="1"/>
          <w:bCs w:val="1"/>
          <w:u w:val="single" w:color="auto"/>
          <w:color w:val="0000FF"/>
          <w:strike w:val="1"/>
        </w:rPr>
        <w:t>the extent that the failure to do so could not reasonably be expected to</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have a</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Material Adverse Effect.[ </w:t>
      </w:r>
      <w:r>
        <w:rPr>
          <w:rFonts w:ascii="Arial" w:cs="Arial" w:eastAsia="Arial" w:hAnsi="Arial"/>
          <w:sz w:val="17"/>
          <w:szCs w:val="17"/>
          <w:color w:val="FF0000"/>
          <w:strike w:val="1"/>
        </w:rPr>
        <w:t>No Loan Party or any Subsidiary thereof is a party to any tax sharing agreement.</w:t>
      </w:r>
      <w:r>
        <w:rPr>
          <w:rFonts w:ascii="Arial" w:cs="Arial" w:eastAsia="Arial" w:hAnsi="Arial"/>
          <w:sz w:val="17"/>
          <w:szCs w:val="17"/>
          <w:color w:val="000000"/>
          <w:strike w:val="1"/>
        </w:rPr>
        <w:t>]</w:t>
      </w:r>
    </w:p>
    <w:p>
      <w:pPr>
        <w:spacing w:after="0" w:line="17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ERISA Compliance</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73" w:lineRule="auto"/>
        <w:tabs>
          <w:tab w:leader="none" w:pos="227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Borrower, nothing has occurred that would prevent or cause the loss of such tax-qualified status.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88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660" w:firstLine="644"/>
        <w:spacing w:after="0" w:line="259" w:lineRule="auto"/>
        <w:tabs>
          <w:tab w:leader="none" w:pos="238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6" w:lineRule="exact"/>
        <w:rPr>
          <w:rFonts w:ascii="Arial" w:cs="Arial" w:eastAsia="Arial" w:hAnsi="Arial"/>
          <w:sz w:val="18"/>
          <w:szCs w:val="18"/>
          <w:color w:val="auto"/>
        </w:rPr>
      </w:pPr>
    </w:p>
    <w:p>
      <w:pPr>
        <w:jc w:val="both"/>
        <w:ind w:left="660" w:firstLine="644"/>
        <w:spacing w:after="0" w:line="291" w:lineRule="auto"/>
        <w:tabs>
          <w:tab w:leader="none" w:pos="237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 No ERISA Event has occurred, and neither the Borrower nor any ERISA Affiliate is aware of any fact, event or circumstance that could reasonably be expected to constitute or result in an ERISA Event with respect to any Pension Plan or Multiemployer Plan;</w:t>
      </w:r>
    </w:p>
    <w:p>
      <w:pPr>
        <w:jc w:val="both"/>
        <w:ind w:left="660" w:hanging="4"/>
        <w:spacing w:after="0" w:line="268" w:lineRule="auto"/>
        <w:tabs>
          <w:tab w:leader="none" w:pos="94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(iii) neither the Borrower nor any ERISA Affiliate has incurred any liability to the PBGC other than for the payment of premiums, and there are no premium payments which have become due that are unpaid; (iv) neither the Borrower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3" w:lineRule="exact"/>
        <w:rPr>
          <w:rFonts w:ascii="Arial" w:cs="Arial" w:eastAsia="Arial" w:hAnsi="Arial"/>
          <w:sz w:val="17"/>
          <w:szCs w:val="17"/>
          <w:color w:val="auto"/>
        </w:rPr>
      </w:pPr>
    </w:p>
    <w:p>
      <w:pPr>
        <w:ind w:left="660" w:firstLine="644"/>
        <w:spacing w:after="0" w:line="308" w:lineRule="auto"/>
        <w:tabs>
          <w:tab w:leader="none" w:pos="2192" w:val="left"/>
        </w:tabs>
        <w:numPr>
          <w:ilvl w:val="1"/>
          <w:numId w:val="111"/>
        </w:numPr>
        <w:rPr>
          <w:rFonts w:ascii="Arial" w:cs="Arial" w:eastAsia="Arial" w:hAnsi="Arial"/>
          <w:sz w:val="17"/>
          <w:szCs w:val="17"/>
          <w:color w:val="auto"/>
        </w:rPr>
      </w:pPr>
      <w:r>
        <w:rPr>
          <w:rFonts w:ascii="Arial" w:cs="Arial" w:eastAsia="Arial" w:hAnsi="Arial"/>
          <w:sz w:val="17"/>
          <w:szCs w:val="17"/>
          <w:color w:val="auto"/>
        </w:rPr>
        <w:t>Neither the Borrower or any ERISA Affiliate maintains or contributes to, or has any unsatisfied obligation to contribute to, or liability under, any active or terminated Pension Plan other than Pension Plans not otherwise prohibited by this Agreement.</w:t>
      </w:r>
    </w:p>
    <w:p>
      <w:pPr>
        <w:spacing w:after="0" w:line="146" w:lineRule="exact"/>
        <w:rPr>
          <w:rFonts w:ascii="Arial" w:cs="Arial" w:eastAsia="Arial" w:hAnsi="Arial"/>
          <w:sz w:val="17"/>
          <w:szCs w:val="17"/>
          <w:color w:val="auto"/>
        </w:rPr>
      </w:pPr>
    </w:p>
    <w:p>
      <w:pPr>
        <w:jc w:val="both"/>
        <w:ind w:left="660" w:firstLine="644"/>
        <w:spacing w:after="0" w:line="263" w:lineRule="auto"/>
        <w:tabs>
          <w:tab w:leader="none" w:pos="225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Borrower represents and warrants as of the Second Amendment Effective Date that the Borrower is not and will not be using “plan assets” (within the meaning of 29 CFR § 2510.3-101, as modified by Section 3(42) of ERISA, or otherwise) of one or more Benefit Plans in connection with the Loans, the Letters of Credit or the Commitments.</w:t>
      </w:r>
    </w:p>
    <w:p>
      <w:pPr>
        <w:spacing w:after="0" w:line="1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5.13 Subsidiaries; Equity Interests. </w:t>
      </w:r>
      <w:r>
        <w:rPr>
          <w:rFonts w:ascii="Arial" w:cs="Arial" w:eastAsia="Arial" w:hAnsi="Arial"/>
          <w:sz w:val="16"/>
          <w:szCs w:val="16"/>
          <w:color w:val="auto"/>
        </w:rPr>
        <w:t>As of the [</w:t>
      </w:r>
      <w:r>
        <w:rPr>
          <w:rFonts w:ascii="Arial" w:cs="Arial" w:eastAsia="Arial" w:hAnsi="Arial"/>
          <w:sz w:val="16"/>
          <w:szCs w:val="16"/>
          <w:color w:val="FF0000"/>
          <w:strike w:val="1"/>
        </w:rPr>
        <w:t>Closing</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Third Amendment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the Loan Parties have no Subsidiaries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than those specifically disclosed in Part (a) of Schedule 5.13 to the Disclosure Schedule, which sets forth the legal name, jurisdiction of incorporation or formation and authorized Equity Interests of each such Subsidiary. All of the outstanding Equity Interests in such Subsidiaries have been validly issued, are fully paid and non-assessable and are owned by a Loan Party (or a Subsidiary of a Loan Party) in the amounts specified on Part (a) of Schedule 5.13 free and clear of all Liens except for those created under the Security Documents. Except as set forth in Schedule 5.13, there are no outstanding rights to purchase any Equity Interests in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As of the [</w:t>
      </w:r>
      <w:r>
        <w:rPr>
          <w:rFonts w:ascii="Arial" w:cs="Arial" w:eastAsia="Arial" w:hAnsi="Arial"/>
          <w:sz w:val="16"/>
          <w:szCs w:val="16"/>
          <w:color w:val="FF0000"/>
          <w:strike w:val="1"/>
        </w:rPr>
        <w:t>Closing</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Third Amendment Effective</w:t>
      </w:r>
      <w:r>
        <w:rPr>
          <w:rFonts w:ascii="Arial" w:cs="Arial" w:eastAsia="Arial" w:hAnsi="Arial"/>
          <w:sz w:val="16"/>
          <w:szCs w:val="16"/>
          <w:color w:val="auto"/>
        </w:rPr>
        <w:t xml:space="preserve"> Date, the Loan Parties have no equity investments in any other corporation or entity other than those specifically disclosed in Part (b) of Schedule 5.13. All of the outstanding Equity Interests of the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of the Borrower have been validly issued, and are fully paid and non-assessable and are owned in the amounts specified on Part</w:t>
      </w:r>
    </w:p>
    <w:p>
      <w:pPr>
        <w:spacing w:after="0" w:line="5" w:lineRule="exact"/>
        <w:rPr>
          <w:sz w:val="20"/>
          <w:szCs w:val="20"/>
          <w:color w:val="auto"/>
        </w:rPr>
      </w:pPr>
    </w:p>
    <w:p>
      <w:pPr>
        <w:jc w:val="both"/>
        <w:ind w:firstLine="8"/>
        <w:spacing w:after="0" w:line="255" w:lineRule="auto"/>
        <w:tabs>
          <w:tab w:leader="none" w:pos="25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of Schedule 5.13 free and clear of all Liens except for those created under the Security Documents. The copies of the Organization Documents of each Loan Party and each amendment thereto provided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true and correct copies of each such document, each of which is valid and in full force and effect.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89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tbl>
      <w:tblPr>
        <w:tblLayout w:type="fixed"/>
        <w:tblInd w:w="660" w:type="dxa"/>
        <w:tblCellMar>
          <w:top w:w="0" w:type="dxa"/>
          <w:left w:w="0" w:type="dxa"/>
          <w:bottom w:w="0" w:type="dxa"/>
          <w:right w:w="0" w:type="dxa"/>
        </w:tblCellMar>
      </w:tblP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FF0000"/>
                <w:strike w:val="1"/>
                <w:w w:val="98"/>
              </w:rPr>
              <w:t>TABLE OF CONTENTS</w:t>
            </w:r>
          </w:p>
        </w:tc>
        <w:tc>
          <w:tcPr>
            <w:tcW w:w="4120" w:type="dxa"/>
            <w:vAlign w:val="bottom"/>
            <w:vMerge w:val="restart"/>
          </w:tcPr>
          <w:p>
            <w:pPr>
              <w:jc w:val="right"/>
              <w:ind w:right="3976"/>
              <w:spacing w:after="0"/>
              <w:rPr>
                <w:sz w:val="20"/>
                <w:szCs w:val="20"/>
                <w:color w:val="auto"/>
              </w:rPr>
            </w:pPr>
            <w:r>
              <w:rPr>
                <w:rFonts w:ascii="Arial" w:cs="Arial" w:eastAsia="Arial" w:hAnsi="Arial"/>
                <w:sz w:val="16"/>
                <w:szCs w:val="16"/>
                <w:b w:val="1"/>
                <w:bCs w:val="1"/>
                <w:color w:val="auto"/>
                <w:w w:val="74"/>
              </w:rPr>
              <w:t>]</w:t>
            </w:r>
          </w:p>
        </w:tc>
        <w:tc>
          <w:tcPr>
            <w:tcW w:w="3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1920" w:type="dxa"/>
            <w:vAlign w:val="bottom"/>
            <w:gridSpan w:val="3"/>
            <w:vMerge w:val="continue"/>
          </w:tcPr>
          <w:p>
            <w:pPr>
              <w:spacing w:after="0"/>
              <w:rPr>
                <w:sz w:val="17"/>
                <w:szCs w:val="17"/>
                <w:color w:val="auto"/>
              </w:rPr>
            </w:pPr>
          </w:p>
        </w:tc>
        <w:tc>
          <w:tcPr>
            <w:tcW w:w="41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FF0000"/>
                <w:strike w:val="1"/>
                <w:w w:val="93"/>
              </w:rPr>
              <w:t>(continued)</w:t>
            </w:r>
          </w:p>
        </w:tc>
        <w:tc>
          <w:tcPr>
            <w:tcW w:w="4660" w:type="dxa"/>
            <w:vAlign w:val="bottom"/>
            <w:gridSpan w:val="2"/>
          </w:tcPr>
          <w:p>
            <w:pPr>
              <w:jc w:val="right"/>
              <w:ind w:right="4516"/>
              <w:spacing w:after="0"/>
              <w:rPr>
                <w:sz w:val="20"/>
                <w:szCs w:val="20"/>
                <w:color w:val="auto"/>
              </w:rPr>
            </w:pPr>
            <w:r>
              <w:rPr>
                <w:rFonts w:ascii="Arial" w:cs="Arial" w:eastAsia="Arial" w:hAnsi="Arial"/>
                <w:sz w:val="18"/>
                <w:szCs w:val="18"/>
                <w:color w:val="auto"/>
                <w:w w:val="78"/>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r>
              <w:rPr>
                <w:rFonts w:ascii="Arial" w:cs="Arial" w:eastAsia="Arial" w:hAnsi="Arial"/>
                <w:sz w:val="18"/>
                <w:szCs w:val="18"/>
                <w:b w:val="1"/>
                <w:bCs w:val="1"/>
                <w:color w:val="FF0000"/>
                <w:strike w:val="1"/>
                <w:w w:val="83"/>
              </w:rPr>
              <w:t>Page</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432"/>
        </w:trPr>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5.14</w:t>
            </w:r>
          </w:p>
        </w:tc>
        <w:tc>
          <w:tcPr>
            <w:tcW w:w="10080" w:type="dxa"/>
            <w:vAlign w:val="bottom"/>
            <w:gridSpan w:val="9"/>
          </w:tcPr>
          <w:p>
            <w:pPr>
              <w:jc w:val="right"/>
              <w:ind w:right="6061"/>
              <w:spacing w:after="0"/>
              <w:rPr>
                <w:sz w:val="20"/>
                <w:szCs w:val="20"/>
                <w:color w:val="auto"/>
              </w:rPr>
            </w:pPr>
            <w:r>
              <w:rPr>
                <w:rFonts w:ascii="Arial" w:cs="Arial" w:eastAsia="Arial" w:hAnsi="Arial"/>
                <w:sz w:val="18"/>
                <w:szCs w:val="18"/>
                <w:b w:val="1"/>
                <w:bCs w:val="1"/>
                <w:color w:val="auto"/>
                <w:w w:val="98"/>
              </w:rPr>
              <w:t>Margin Regulations; Investment Company Act</w:t>
            </w:r>
            <w:r>
              <w:rPr>
                <w:rFonts w:ascii="Arial" w:cs="Arial" w:eastAsia="Arial" w:hAnsi="Arial"/>
                <w:sz w:val="18"/>
                <w:szCs w:val="18"/>
                <w:color w:val="auto"/>
                <w:w w:val="98"/>
              </w:rPr>
              <w:t>.</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(a)</w:t>
            </w:r>
          </w:p>
        </w:tc>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440" w:type="dxa"/>
            <w:vAlign w:val="bottom"/>
            <w:gridSpan w:val="7"/>
          </w:tcPr>
          <w:p>
            <w:pPr>
              <w:jc w:val="right"/>
              <w:spacing w:after="0"/>
              <w:rPr>
                <w:sz w:val="20"/>
                <w:szCs w:val="20"/>
                <w:color w:val="auto"/>
              </w:rPr>
            </w:pPr>
            <w:r>
              <w:rPr>
                <w:rFonts w:ascii="Arial" w:cs="Arial" w:eastAsia="Arial" w:hAnsi="Arial"/>
                <w:sz w:val="18"/>
                <w:szCs w:val="18"/>
                <w:color w:val="auto"/>
                <w:w w:val="96"/>
              </w:rPr>
              <w:t>No Loan Party is engaged or will be engaged, principally or as one of its important activities, in the business of</w:t>
            </w:r>
          </w:p>
        </w:tc>
        <w:tc>
          <w:tcPr>
            <w:tcW w:w="0" w:type="dxa"/>
            <w:vAlign w:val="bottom"/>
          </w:tcPr>
          <w:p>
            <w:pPr>
              <w:spacing w:after="0"/>
              <w:rPr>
                <w:sz w:val="1"/>
                <w:szCs w:val="1"/>
                <w:color w:val="auto"/>
              </w:rPr>
            </w:pPr>
          </w:p>
        </w:tc>
      </w:tr>
    </w:tbl>
    <w:p>
      <w:pPr>
        <w:jc w:val="both"/>
        <w:ind w:left="660"/>
        <w:spacing w:after="0" w:line="253" w:lineRule="auto"/>
        <w:rPr>
          <w:sz w:val="20"/>
          <w:szCs w:val="20"/>
          <w:color w:val="auto"/>
        </w:rPr>
      </w:pPr>
      <w:r>
        <w:rPr>
          <w:rFonts w:ascii="Arial" w:cs="Arial" w:eastAsia="Arial" w:hAnsi="Arial"/>
          <w:sz w:val="18"/>
          <w:szCs w:val="18"/>
          <w:color w:val="auto"/>
        </w:rPr>
        <w:t>purchasing or carrying margin stock (within the meaning of Regulation U issued by the FRB), or extending credit for the purpose of purchasing or carrying margin stock. None of the proceeds of the Credit Extensions shall be used directly or indirectly for the purpose of purchasing or carrying any margin stock, for the purpose of reducing or retiring any Indebtedness that was originally incurred to purchase or carry any margin stock or for any other purpose that might cause any of the Credit Extensions to be considered a “purpose credit” within the meaning of Regulations T, U, or X issued by the FRB.</w:t>
      </w:r>
    </w:p>
    <w:p>
      <w:pPr>
        <w:spacing w:after="0" w:line="187" w:lineRule="exact"/>
        <w:rPr>
          <w:sz w:val="20"/>
          <w:szCs w:val="20"/>
          <w:color w:val="auto"/>
        </w:rPr>
      </w:pPr>
    </w:p>
    <w:p>
      <w:pPr>
        <w:ind w:left="660" w:firstLine="644"/>
        <w:spacing w:after="0" w:line="282" w:lineRule="auto"/>
        <w:tabs>
          <w:tab w:leader="none" w:pos="244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None of the Loan Parties, any Person Controlling any Loan Party, or 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is or is required to be registered as an “investment company” under the Investment Company Act of 1940.</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5.15 Disclosure. </w:t>
      </w:r>
      <w:r>
        <w:rPr>
          <w:rFonts w:ascii="Arial" w:cs="Arial" w:eastAsia="Arial" w:hAnsi="Arial"/>
          <w:sz w:val="17"/>
          <w:szCs w:val="17"/>
          <w:color w:val="auto"/>
        </w:rPr>
        <w:t>Each Loan Party has disclosed to the Lender all agreements, instruments and corporate or other restrictions to which it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the Loan Parties represent only that such information was prepared in good faith based upon assumptions believed to be reasonable at the time.</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5.16 Compliance with Laws. </w:t>
      </w:r>
      <w:r>
        <w:rPr>
          <w:rFonts w:ascii="Arial" w:cs="Arial" w:eastAsia="Arial" w:hAnsi="Arial"/>
          <w:sz w:val="17"/>
          <w:szCs w:val="17"/>
          <w:color w:val="auto"/>
        </w:rPr>
        <w:t>Each of the Loan Parties and each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0000FF"/>
        </w:rPr>
        <w:t>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is in compliance in all material respects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5.17 Intellectual Property; Licenses, Etc</w:t>
      </w:r>
      <w:r>
        <w:rPr>
          <w:rFonts w:ascii="Arial" w:cs="Arial" w:eastAsia="Arial" w:hAnsi="Arial"/>
          <w:sz w:val="17"/>
          <w:szCs w:val="17"/>
          <w:color w:val="auto"/>
        </w:rPr>
        <w:t>. The Loan Parties and their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0000FF"/>
        </w:rPr>
        <w:t>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own, or possess the right to use,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Intellectual Property, licenses, permits and other authorizations that are reasonably necessary for the operation of their respective businesses, without conflict with the rights of any other Person. To the best knowledge of the Borrower, no slogan or other advertising device, product, process, method, substance, part or other material now employed, or now contemplated to be employed, by any Loan Party or any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infringes upon any rights held by any other Person. No claim or litigation regarding any of the foregoing is pending or, to the best knowledge of the Borrower, threatened, which, either individually or in the aggregate, could reasonably be expected to have a Material Adverse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90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76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color w:val="FF0000"/>
          <w:strike w:val="1"/>
        </w:rPr>
        <w:t>Page</w:t>
      </w:r>
      <w:r>
        <w:rPr>
          <w:rFonts w:ascii="Arial" w:cs="Arial" w:eastAsia="Arial" w:hAnsi="Arial"/>
          <w:sz w:val="15"/>
          <w:szCs w:val="15"/>
          <w:b w:val="1"/>
          <w:bCs w:val="1"/>
          <w:color w:val="auto"/>
        </w:rPr>
        <w:t>]</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5.18 Labor Matters</w:t>
      </w:r>
      <w:r>
        <w:rPr>
          <w:rFonts w:ascii="Arial" w:cs="Arial" w:eastAsia="Arial" w:hAnsi="Arial"/>
          <w:sz w:val="16"/>
          <w:szCs w:val="16"/>
          <w:color w:val="auto"/>
        </w:rPr>
        <w:t>. Except as set forth on Schedule 5.18 to the Disclosure Schedule, (a) there are no strikes, lockouts, slowdowns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material labor disputes against any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thereof pending or, to the knowledge of any Loan Party, threatened; (b) the hours worked by and payments made to employees of the Loan Parties comply with the Fair Labor Standards Act and any other applicable federal, state, local or foreign Law dealing with such matters.; (c) no Loan Party or any of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has incurred any liability or obligation under the Worker Adjustment and Retraining Act or similar state Law; (d) all payments due from any Loan Party and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or for which any claim may be made against any Loan Party or any of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on account of wages and employee health and welfare insurance and other benefits, have been paid or properly accrued in accordance with GAAP as a liability on the books of such Loan Party; (e) no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is a party to or bound by any collective bargaining agreement, management agreement, employment agreement, bonus, restricted stock, stock option, or stock appreciation plan or agreement or any similar plan, agreement or arrangement; (f) there are no representation proceedings pending or, to any Loan Party’s knowledge, threatened to be filed with the National Labor Relations Board, and no labor organization or group of employees of any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has made a pending demand for recognition; (g) there are no complaints, unfair labor practice charges, grievances, arbitrations, unfair employment practices charges or any other claims or complaints against any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pending or, to the knowledge of any Loan Party, threatened to be filed with any Governmental Authority or arbitrator based on, arising out of, in connection with, or otherwise relating to the employment or termination of employment of any employee of any Loan Party or any of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and (h) the consummation of the transactions contemplated by the Loan Documents will not give rise to any right of termination or right of renegotiation on the part of any union under any collective bargaining agreement to which any Loan Party or any of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is bound.</w:t>
      </w:r>
    </w:p>
    <w:p>
      <w:pPr>
        <w:spacing w:after="0" w:line="16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5.19</w:t>
      </w:r>
      <w:r>
        <w:rPr>
          <w:sz w:val="20"/>
          <w:szCs w:val="20"/>
          <w:color w:val="auto"/>
        </w:rPr>
        <w:tab/>
      </w:r>
      <w:r>
        <w:rPr>
          <w:rFonts w:ascii="Arial" w:cs="Arial" w:eastAsia="Arial" w:hAnsi="Arial"/>
          <w:sz w:val="15"/>
          <w:szCs w:val="15"/>
          <w:b w:val="1"/>
          <w:bCs w:val="1"/>
          <w:color w:val="auto"/>
        </w:rPr>
        <w:t>Security Documents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Security Agreement creates in favor of the Lender, for the benefit of the Secured Parties referred to therein, a legal, valid, continuing and enforceable security interest in the Collateral (as defined in the Security Agreement), the enforceability of which is subject to applicable bankruptcy, insolvency, reorganization, moratorium or other laws affecting creditors’ rights generally and subject to general principles of equity, regardless of whether considered in a proceeding in equity or at law. The financing statements, releases and other filings are in appropriate form and have been or will be filed in the offices specified in Schedule II of the Security Agreement. Upon such filings and/or the obtaining of “control” (as defined in the UCC), the Lender will have a perfected Lien on, and security interest in, to and under all right, title and interest of the grantors thereunder in all Collateral that may be perfected under the UCC (in effect on the date this representation is made) by filing, recording or registering a financing statement or analogous document (including without limitation the proceeds of such Collateral subject to the limitations relating to such proceeds in the UCC) or by obtaining control, in each case prior and superior in right to any other Person.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91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5.20</w:t>
      </w:r>
      <w:r>
        <w:rPr>
          <w:sz w:val="20"/>
          <w:szCs w:val="20"/>
          <w:color w:val="auto"/>
        </w:rPr>
        <w:tab/>
      </w:r>
      <w:r>
        <w:rPr>
          <w:rFonts w:ascii="Arial" w:cs="Arial" w:eastAsia="Arial" w:hAnsi="Arial"/>
          <w:sz w:val="15"/>
          <w:szCs w:val="15"/>
          <w:b w:val="1"/>
          <w:bCs w:val="1"/>
          <w:color w:val="auto"/>
        </w:rPr>
        <w:t>Solvency</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After giving effect to the transactions contemplated by this Agreement, and before and after giving effect to each Credit Extension, the Loan Parties, on a Consolidated basis, are Solvent. No transfer of property has been or will be made by any Loan Party and no obligation has been or will be incurred by any Loan Party in connection with the transactions contemplated by this Agreement or the other Loan Documents with the intent to hinder, delay, or defraud either present or future creditors of any Loan Party.</w:t>
      </w:r>
    </w:p>
    <w:p>
      <w:pPr>
        <w:spacing w:after="0" w:line="18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6"/>
          <w:szCs w:val="16"/>
          <w:b w:val="1"/>
          <w:bCs w:val="1"/>
          <w:color w:val="auto"/>
        </w:rPr>
        <w:t>Deposit Accounts; Credit Card Arrangements</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59" w:lineRule="auto"/>
        <w:tabs>
          <w:tab w:leader="none" w:pos="2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Schedule 5.21(a) to the Disclosure Schedule sets forth a list of all DDAs maintained by the Loan Parties as of the [</w:t>
      </w:r>
      <w:r>
        <w:rPr>
          <w:rFonts w:ascii="Arial" w:cs="Arial" w:eastAsia="Arial" w:hAnsi="Arial"/>
          <w:sz w:val="18"/>
          <w:szCs w:val="18"/>
          <w:color w:val="FF0000"/>
          <w:strike w:val="1"/>
        </w:rPr>
        <w:t>Closing</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Third Amendment Effective</w:t>
      </w:r>
      <w:r>
        <w:rPr>
          <w:rFonts w:ascii="Arial" w:cs="Arial" w:eastAsia="Arial" w:hAnsi="Arial"/>
          <w:sz w:val="18"/>
          <w:szCs w:val="18"/>
          <w:color w:val="auto"/>
        </w:rPr>
        <w:t xml:space="preserve"> Date, which Schedule includes, with respect to each DDA (i) the name and address of the depository; (ii) the account number(s) maintained with such depository; (iii) a contact person at such depository, and (iv) the identification of each Blocked Account Bank.</w:t>
      </w:r>
    </w:p>
    <w:p>
      <w:pPr>
        <w:spacing w:after="0" w:line="182" w:lineRule="exact"/>
        <w:rPr>
          <w:rFonts w:ascii="Arial" w:cs="Arial" w:eastAsia="Arial" w:hAnsi="Arial"/>
          <w:sz w:val="18"/>
          <w:szCs w:val="18"/>
          <w:color w:val="auto"/>
        </w:rPr>
      </w:pPr>
    </w:p>
    <w:p>
      <w:pPr>
        <w:jc w:val="both"/>
        <w:ind w:left="660" w:firstLine="644"/>
        <w:spacing w:after="0" w:line="266" w:lineRule="auto"/>
        <w:tabs>
          <w:tab w:leader="none" w:pos="261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Schedule 5.21(b) to the Disclosure Schedule sets forth a list describing all arrangements as of the [</w:t>
      </w:r>
      <w:r>
        <w:rPr>
          <w:rFonts w:ascii="Arial" w:cs="Arial" w:eastAsia="Arial" w:hAnsi="Arial"/>
          <w:sz w:val="18"/>
          <w:szCs w:val="18"/>
          <w:color w:val="FF0000"/>
          <w:strike w:val="1"/>
        </w:rPr>
        <w:t>Closing</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Third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Amendment Effective</w:t>
      </w:r>
      <w:r>
        <w:rPr>
          <w:rFonts w:ascii="Arial" w:cs="Arial" w:eastAsia="Arial" w:hAnsi="Arial"/>
          <w:sz w:val="18"/>
          <w:szCs w:val="18"/>
          <w:b w:val="1"/>
          <w:bCs w:val="1"/>
          <w:color w:val="0000FF"/>
        </w:rPr>
        <w:t xml:space="preserve"> </w:t>
      </w:r>
      <w:r>
        <w:rPr>
          <w:rFonts w:ascii="Arial" w:cs="Arial" w:eastAsia="Arial" w:hAnsi="Arial"/>
          <w:sz w:val="18"/>
          <w:szCs w:val="18"/>
          <w:color w:val="000000"/>
        </w:rPr>
        <w:t>Date to which any Loan Party is a party with respect to the processing and/or payment to such Loan Party of the proceeds</w:t>
      </w:r>
      <w:r>
        <w:rPr>
          <w:rFonts w:ascii="Arial" w:cs="Arial" w:eastAsia="Arial" w:hAnsi="Arial"/>
          <w:sz w:val="18"/>
          <w:szCs w:val="18"/>
          <w:b w:val="1"/>
          <w:bCs w:val="1"/>
          <w:color w:val="0000FF"/>
        </w:rPr>
        <w:t xml:space="preserve"> </w:t>
      </w:r>
      <w:r>
        <w:rPr>
          <w:rFonts w:ascii="Arial" w:cs="Arial" w:eastAsia="Arial" w:hAnsi="Arial"/>
          <w:sz w:val="18"/>
          <w:szCs w:val="18"/>
          <w:color w:val="000000"/>
        </w:rPr>
        <w:t>of any credit card charges and debit card charges for sales made by such Loan Party.</w:t>
      </w:r>
    </w:p>
    <w:p>
      <w:pPr>
        <w:spacing w:after="0" w:line="17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5.22 Brokers. </w:t>
      </w:r>
      <w:r>
        <w:rPr>
          <w:rFonts w:ascii="Arial" w:cs="Arial" w:eastAsia="Arial" w:hAnsi="Arial"/>
          <w:sz w:val="16"/>
          <w:szCs w:val="16"/>
          <w:color w:val="auto"/>
        </w:rPr>
        <w:t>No broker or finder brought about the obtaining, making or closing of the Loans or transactions contemplated by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and no Loan Party or Affiliate thereof has any obligation to any Person in respect of any finder’s or brokerage fees in connection therewith.</w:t>
      </w:r>
    </w:p>
    <w:p>
      <w:pPr>
        <w:spacing w:after="0" w:line="11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5.23 Trade Relations. </w:t>
      </w:r>
      <w:r>
        <w:rPr>
          <w:rFonts w:ascii="Arial" w:cs="Arial" w:eastAsia="Arial" w:hAnsi="Arial"/>
          <w:sz w:val="18"/>
          <w:szCs w:val="18"/>
          <w:color w:val="auto"/>
        </w:rPr>
        <w:t>There exists no actual or, to the knowledge of any Loan Party, threatened, termination or cancellation of, or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adverse modification or change in the business relationship of any Loan Party with any supplier material to its operations.</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5.24 Material Contracts. </w:t>
      </w:r>
      <w:r>
        <w:rPr>
          <w:rFonts w:ascii="Arial" w:cs="Arial" w:eastAsia="Arial" w:hAnsi="Arial"/>
          <w:sz w:val="16"/>
          <w:szCs w:val="16"/>
          <w:color w:val="auto"/>
        </w:rPr>
        <w:t>Schedule 5.24 to the Disclosure Schedule sets forth all Material Contracts to which any Loan Party is a party or is</w:t>
      </w:r>
      <w:r>
        <w:rPr>
          <w:rFonts w:ascii="Arial" w:cs="Arial" w:eastAsia="Arial" w:hAnsi="Arial"/>
          <w:sz w:val="16"/>
          <w:szCs w:val="16"/>
          <w:b w:val="1"/>
          <w:bCs w:val="1"/>
          <w:color w:val="auto"/>
        </w:rPr>
        <w:t xml:space="preserve"> </w:t>
      </w:r>
      <w:r>
        <w:rPr>
          <w:rFonts w:ascii="Arial" w:cs="Arial" w:eastAsia="Arial" w:hAnsi="Arial"/>
          <w:sz w:val="16"/>
          <w:szCs w:val="16"/>
          <w:color w:val="auto"/>
        </w:rPr>
        <w:t>bound as of the [</w:t>
      </w:r>
      <w:r>
        <w:rPr>
          <w:rFonts w:ascii="Arial" w:cs="Arial" w:eastAsia="Arial" w:hAnsi="Arial"/>
          <w:sz w:val="16"/>
          <w:szCs w:val="16"/>
          <w:color w:val="FF0000"/>
          <w:strike w:val="1"/>
        </w:rPr>
        <w:t>Closing</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Third Amendment Effective</w:t>
      </w:r>
      <w:r>
        <w:rPr>
          <w:rFonts w:ascii="Arial" w:cs="Arial" w:eastAsia="Arial" w:hAnsi="Arial"/>
          <w:sz w:val="16"/>
          <w:szCs w:val="16"/>
          <w:color w:val="auto"/>
        </w:rPr>
        <w:t xml:space="preserve"> Date. The Loan Parties have delivered true, correct and complete copies of such Material Contracts to the Lender on or before the [</w:t>
      </w:r>
      <w:r>
        <w:rPr>
          <w:rFonts w:ascii="Arial" w:cs="Arial" w:eastAsia="Arial" w:hAnsi="Arial"/>
          <w:sz w:val="16"/>
          <w:szCs w:val="16"/>
          <w:color w:val="FF0000"/>
          <w:strike w:val="1"/>
        </w:rPr>
        <w:t>Closing</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Third Amendment Effective</w:t>
      </w:r>
      <w:r>
        <w:rPr>
          <w:rFonts w:ascii="Arial" w:cs="Arial" w:eastAsia="Arial" w:hAnsi="Arial"/>
          <w:sz w:val="16"/>
          <w:szCs w:val="16"/>
          <w:color w:val="auto"/>
        </w:rPr>
        <w:t xml:space="preserve"> Date. The Loan Parties are not in breach or in default in any material respect of or under any Material Contract and have not received any notice of the intention of any other party thereto to terminate any Material Contract.</w:t>
      </w:r>
    </w:p>
    <w:p>
      <w:pPr>
        <w:spacing w:after="0" w:line="15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5.25 Casualty. </w:t>
      </w:r>
      <w:r>
        <w:rPr>
          <w:rFonts w:ascii="Arial" w:cs="Arial" w:eastAsia="Arial" w:hAnsi="Arial"/>
          <w:sz w:val="16"/>
          <w:szCs w:val="16"/>
          <w:color w:val="auto"/>
        </w:rPr>
        <w:t>Neither the businesses nor the properties of any Loan Party or any of its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0000FF"/>
        </w:rPr>
        <w:t>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are affected by any fire,</w:t>
      </w:r>
      <w:r>
        <w:rPr>
          <w:rFonts w:ascii="Arial" w:cs="Arial" w:eastAsia="Arial" w:hAnsi="Arial"/>
          <w:sz w:val="16"/>
          <w:szCs w:val="16"/>
          <w:b w:val="1"/>
          <w:bCs w:val="1"/>
          <w:color w:val="auto"/>
        </w:rPr>
        <w:t xml:space="preserve"> </w:t>
      </w:r>
      <w:r>
        <w:rPr>
          <w:rFonts w:ascii="Arial" w:cs="Arial" w:eastAsia="Arial" w:hAnsi="Arial"/>
          <w:sz w:val="16"/>
          <w:szCs w:val="16"/>
          <w:color w:val="auto"/>
        </w:rPr>
        <w:t>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92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76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color w:val="FF0000"/>
          <w:strike w:val="1"/>
        </w:rPr>
        <w:t>Page</w:t>
      </w:r>
      <w:r>
        <w:rPr>
          <w:rFonts w:ascii="Arial" w:cs="Arial" w:eastAsia="Arial" w:hAnsi="Arial"/>
          <w:sz w:val="15"/>
          <w:szCs w:val="15"/>
          <w:b w:val="1"/>
          <w:bCs w:val="1"/>
          <w:color w:val="auto"/>
        </w:rPr>
        <w:t>]</w:t>
      </w:r>
    </w:p>
    <w:p>
      <w:pPr>
        <w:spacing w:after="0" w:line="2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5.26 OFAC</w:t>
      </w:r>
      <w:r>
        <w:rPr>
          <w:rFonts w:ascii="Arial" w:cs="Arial" w:eastAsia="Arial" w:hAnsi="Arial"/>
          <w:sz w:val="18"/>
          <w:szCs w:val="18"/>
          <w:color w:val="auto"/>
        </w:rPr>
        <w:t>. No Loan Party, nor any of its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0000FF"/>
        </w:rPr>
        <w:t>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nor, to the knowledge of any Loan Party or any of its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0000FF"/>
        </w:rPr>
        <w:t>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Subsidiaries, any director, officer, </w:t>
      </w:r>
      <w:r>
        <w:rPr>
          <w:rFonts w:ascii="Arial" w:cs="Arial" w:eastAsia="Arial" w:hAnsi="Arial"/>
          <w:sz w:val="18"/>
          <w:szCs w:val="18"/>
          <w:b w:val="1"/>
          <w:bCs w:val="1"/>
          <w:u w:val="single" w:color="auto"/>
          <w:color w:val="0000FF"/>
        </w:rPr>
        <w:t>or</w:t>
      </w:r>
      <w:r>
        <w:rPr>
          <w:rFonts w:ascii="Arial" w:cs="Arial" w:eastAsia="Arial" w:hAnsi="Arial"/>
          <w:sz w:val="18"/>
          <w:szCs w:val="18"/>
          <w:color w:val="auto"/>
        </w:rPr>
        <w:t xml:space="preserve"> employee[</w:t>
      </w:r>
      <w:r>
        <w:rPr>
          <w:rFonts w:ascii="Arial" w:cs="Arial" w:eastAsia="Arial" w:hAnsi="Arial"/>
          <w:sz w:val="18"/>
          <w:szCs w:val="18"/>
          <w:color w:val="FF0000"/>
          <w:strike w:val="1"/>
        </w:rPr>
        <w:t>, agent, affiliate or representative</w:t>
      </w:r>
      <w:r>
        <w:rPr>
          <w:rFonts w:ascii="Arial" w:cs="Arial" w:eastAsia="Arial" w:hAnsi="Arial"/>
          <w:sz w:val="18"/>
          <w:szCs w:val="18"/>
          <w:color w:val="auto"/>
        </w:rPr>
        <w:t>] thereof, is an individual or entity that is[</w:t>
      </w:r>
      <w:r>
        <w:rPr>
          <w:rFonts w:ascii="Arial" w:cs="Arial" w:eastAsia="Arial" w:hAnsi="Arial"/>
          <w:sz w:val="18"/>
          <w:szCs w:val="18"/>
          <w:color w:val="FF0000"/>
          <w:strike w:val="1"/>
        </w:rPr>
        <w:t>, or is</w:t>
      </w:r>
      <w:r>
        <w:rPr>
          <w:rFonts w:ascii="Arial" w:cs="Arial" w:eastAsia="Arial" w:hAnsi="Arial"/>
          <w:sz w:val="18"/>
          <w:szCs w:val="18"/>
          <w:color w:val="auto"/>
        </w:rPr>
        <w:t xml:space="preserve">] </w:t>
      </w:r>
      <w:r>
        <w:rPr>
          <w:rFonts w:ascii="Arial" w:cs="Arial" w:eastAsia="Arial" w:hAnsi="Arial"/>
          <w:sz w:val="18"/>
          <w:szCs w:val="18"/>
          <w:color w:val="00C000"/>
          <w:strike w:val="1"/>
        </w:rPr>
        <w:t>owned or controlled by</w:t>
      </w:r>
      <w:r>
        <w:rPr>
          <w:rFonts w:ascii="Arial" w:cs="Arial" w:eastAsia="Arial" w:hAnsi="Arial"/>
          <w:sz w:val="18"/>
          <w:szCs w:val="18"/>
          <w:color w:val="auto"/>
        </w:rPr>
        <w:t xml:space="preserve"> </w:t>
      </w:r>
      <w:r>
        <w:rPr>
          <w:rFonts w:ascii="Arial" w:cs="Arial" w:eastAsia="Arial" w:hAnsi="Arial"/>
          <w:sz w:val="18"/>
          <w:szCs w:val="18"/>
          <w:color w:val="00C000"/>
          <w:strike w:val="1"/>
        </w:rPr>
        <w:t>one or more</w:t>
      </w:r>
      <w:r>
        <w:rPr>
          <w:rFonts w:ascii="Arial" w:cs="Arial" w:eastAsia="Arial" w:hAnsi="Arial"/>
          <w:sz w:val="18"/>
          <w:szCs w:val="18"/>
          <w:color w:val="00C000"/>
        </w:rPr>
        <w:t xml:space="preserve"> </w:t>
      </w:r>
      <w:r>
        <w:rPr>
          <w:rFonts w:ascii="Arial" w:cs="Arial" w:eastAsia="Arial" w:hAnsi="Arial"/>
          <w:sz w:val="18"/>
          <w:szCs w:val="18"/>
          <w:color w:val="000000"/>
        </w:rPr>
        <w:t>[</w:t>
      </w:r>
      <w:r>
        <w:rPr>
          <w:rFonts w:ascii="Arial" w:cs="Arial" w:eastAsia="Arial" w:hAnsi="Arial"/>
          <w:sz w:val="18"/>
          <w:szCs w:val="18"/>
          <w:color w:val="FF0000"/>
          <w:strike w:val="1"/>
        </w:rPr>
        <w:t>individuals or entities that are</w:t>
      </w:r>
      <w:r>
        <w:rPr>
          <w:rFonts w:ascii="Arial" w:cs="Arial" w:eastAsia="Arial" w:hAnsi="Arial"/>
          <w:sz w:val="18"/>
          <w:szCs w:val="18"/>
          <w:color w:val="000000"/>
        </w:rPr>
        <w:t>] (a) currently the subject or target of any Sanctions, (b) included on OFAC’s List of Specially Designated</w:t>
      </w:r>
      <w:r>
        <w:rPr>
          <w:rFonts w:ascii="Arial" w:cs="Arial" w:eastAsia="Arial" w:hAnsi="Arial"/>
          <w:sz w:val="18"/>
          <w:szCs w:val="18"/>
          <w:color w:val="00C000"/>
        </w:rPr>
        <w:t xml:space="preserve"> </w:t>
      </w:r>
      <w:r>
        <w:rPr>
          <w:rFonts w:ascii="Arial" w:cs="Arial" w:eastAsia="Arial" w:hAnsi="Arial"/>
          <w:sz w:val="18"/>
          <w:szCs w:val="18"/>
          <w:color w:val="000000"/>
        </w:rPr>
        <w:t xml:space="preserve">Nationals </w:t>
      </w:r>
      <w:r>
        <w:rPr>
          <w:rFonts w:ascii="Arial" w:cs="Arial" w:eastAsia="Arial" w:hAnsi="Arial"/>
          <w:sz w:val="18"/>
          <w:szCs w:val="18"/>
          <w:b w:val="1"/>
          <w:bCs w:val="1"/>
          <w:u w:val="single" w:color="auto"/>
          <w:color w:val="0000FF"/>
        </w:rPr>
        <w:t>and Blocked Persons</w:t>
      </w:r>
      <w:r>
        <w:rPr>
          <w:rFonts w:ascii="Arial" w:cs="Arial" w:eastAsia="Arial" w:hAnsi="Arial"/>
          <w:sz w:val="18"/>
          <w:szCs w:val="18"/>
          <w:color w:val="000000"/>
        </w:rPr>
        <w:t xml:space="preserve"> or HMT’s Consolidated List of Financial Sanctions Targets, or any similar list enforced by any other relevant [</w:t>
      </w:r>
      <w:r>
        <w:rPr>
          <w:rFonts w:ascii="Arial" w:cs="Arial" w:eastAsia="Arial" w:hAnsi="Arial"/>
          <w:sz w:val="18"/>
          <w:szCs w:val="18"/>
          <w:color w:val="FF0000"/>
          <w:strike w:val="1"/>
        </w:rPr>
        <w:t>sanctions</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Sanctions</w:t>
      </w:r>
      <w:r>
        <w:rPr>
          <w:rFonts w:ascii="Arial" w:cs="Arial" w:eastAsia="Arial" w:hAnsi="Arial"/>
          <w:sz w:val="18"/>
          <w:szCs w:val="18"/>
          <w:color w:val="000000"/>
        </w:rPr>
        <w:t xml:space="preserve"> authority[ </w:t>
      </w:r>
      <w:r>
        <w:rPr>
          <w:rFonts w:ascii="Arial" w:cs="Arial" w:eastAsia="Arial" w:hAnsi="Arial"/>
          <w:sz w:val="18"/>
          <w:szCs w:val="18"/>
          <w:color w:val="FF0000"/>
          <w:strike w:val="1"/>
        </w:rPr>
        <w:t>or</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w:t>
      </w:r>
      <w:r>
        <w:rPr>
          <w:rFonts w:ascii="Arial" w:cs="Arial" w:eastAsia="Arial" w:hAnsi="Arial"/>
          <w:sz w:val="18"/>
          <w:szCs w:val="18"/>
          <w:color w:val="000000"/>
        </w:rPr>
        <w:t xml:space="preserve"> (c) located, organized or resident in a Designated Jurisdiction</w:t>
      </w:r>
      <w:r>
        <w:rPr>
          <w:rFonts w:ascii="Arial" w:cs="Arial" w:eastAsia="Arial" w:hAnsi="Arial"/>
          <w:sz w:val="18"/>
          <w:szCs w:val="18"/>
          <w:b w:val="1"/>
          <w:bCs w:val="1"/>
          <w:u w:val="single" w:color="auto"/>
          <w:color w:val="0000FF"/>
        </w:rPr>
        <w:t>, or (d)</w:t>
      </w:r>
      <w:r>
        <w:rPr>
          <w:rFonts w:ascii="Arial" w:cs="Arial" w:eastAsia="Arial" w:hAnsi="Arial"/>
          <w:sz w:val="18"/>
          <w:szCs w:val="18"/>
          <w:color w:val="000000"/>
        </w:rPr>
        <w:t xml:space="preserve"> </w:t>
      </w:r>
      <w:r>
        <w:rPr>
          <w:rFonts w:ascii="Arial" w:cs="Arial" w:eastAsia="Arial" w:hAnsi="Arial"/>
          <w:sz w:val="18"/>
          <w:szCs w:val="18"/>
          <w:u w:val="single" w:color="auto"/>
          <w:color w:val="00C000"/>
        </w:rPr>
        <w:t>owned or controlled by one or more</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individual(s)</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 xml:space="preserve">or entity(ies) described under clauses (a) or (b) such that the individual or entity is subject to the same restrictions as such individual(s) or entity(ies) described under clauses (a) or (b). </w:t>
      </w:r>
      <w:r>
        <w:rPr>
          <w:rFonts w:ascii="Arial" w:cs="Arial" w:eastAsia="Arial" w:hAnsi="Arial"/>
          <w:sz w:val="18"/>
          <w:szCs w:val="18"/>
          <w:u w:val="single" w:color="auto"/>
          <w:color w:val="00C000"/>
        </w:rPr>
        <w:t>The Loan Parties and their</w:t>
      </w:r>
      <w:r>
        <w:rPr>
          <w:rFonts w:ascii="Arial" w:cs="Arial" w:eastAsia="Arial" w:hAnsi="Arial"/>
          <w:sz w:val="18"/>
          <w:szCs w:val="18"/>
          <w:b w:val="1"/>
          <w:bCs w:val="1"/>
          <w:u w:val="single" w:color="auto"/>
          <w:color w:val="0000FF"/>
        </w:rPr>
        <w:t xml:space="preserve"> Restricted </w:t>
      </w:r>
      <w:r>
        <w:rPr>
          <w:rFonts w:ascii="Arial" w:cs="Arial" w:eastAsia="Arial" w:hAnsi="Arial"/>
          <w:sz w:val="18"/>
          <w:szCs w:val="18"/>
          <w:u w:val="single" w:color="auto"/>
          <w:color w:val="00C000"/>
        </w:rPr>
        <w:t>Subsidiaries have conducted their businesses in compliance in all</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C000"/>
        </w:rPr>
        <w:t xml:space="preserve">material respects with </w:t>
      </w:r>
      <w:r>
        <w:rPr>
          <w:rFonts w:ascii="Arial" w:cs="Arial" w:eastAsia="Arial" w:hAnsi="Arial"/>
          <w:sz w:val="18"/>
          <w:szCs w:val="18"/>
          <w:b w:val="1"/>
          <w:bCs w:val="1"/>
          <w:u w:val="single" w:color="auto"/>
          <w:color w:val="0000FF"/>
        </w:rPr>
        <w:t>all applicable Sanctions</w:t>
      </w:r>
      <w:r>
        <w:rPr>
          <w:rFonts w:ascii="Arial" w:cs="Arial" w:eastAsia="Arial" w:hAnsi="Arial"/>
          <w:sz w:val="18"/>
          <w:szCs w:val="18"/>
          <w:u w:val="single" w:color="auto"/>
          <w:color w:val="00C000"/>
        </w:rPr>
        <w:t xml:space="preserve"> and have instituted and </w:t>
      </w:r>
      <w:r>
        <w:rPr>
          <w:rFonts w:ascii="Arial" w:cs="Arial" w:eastAsia="Arial" w:hAnsi="Arial"/>
          <w:sz w:val="18"/>
          <w:szCs w:val="18"/>
          <w:b w:val="1"/>
          <w:bCs w:val="1"/>
          <w:u w:val="single" w:color="auto"/>
          <w:color w:val="0000FF"/>
        </w:rPr>
        <w:t>maintain</w:t>
      </w:r>
      <w:r>
        <w:rPr>
          <w:rFonts w:ascii="Arial" w:cs="Arial" w:eastAsia="Arial" w:hAnsi="Arial"/>
          <w:sz w:val="18"/>
          <w:szCs w:val="18"/>
          <w:u w:val="single" w:color="auto"/>
          <w:color w:val="00C000"/>
        </w:rPr>
        <w:t xml:space="preserve"> policies and procedures </w:t>
      </w:r>
      <w:r>
        <w:rPr>
          <w:rFonts w:ascii="Arial" w:cs="Arial" w:eastAsia="Arial" w:hAnsi="Arial"/>
          <w:sz w:val="18"/>
          <w:szCs w:val="18"/>
          <w:b w:val="1"/>
          <w:bCs w:val="1"/>
          <w:u w:val="single" w:color="auto"/>
          <w:color w:val="0000FF"/>
        </w:rPr>
        <w:t>reasonably</w:t>
      </w:r>
      <w:r>
        <w:rPr>
          <w:rFonts w:ascii="Arial" w:cs="Arial" w:eastAsia="Arial" w:hAnsi="Arial"/>
          <w:sz w:val="18"/>
          <w:szCs w:val="18"/>
          <w:u w:val="single" w:color="auto"/>
          <w:color w:val="00C000"/>
        </w:rPr>
        <w:t xml:space="preserve"> designed to promote and achieve compliance with such </w:t>
      </w:r>
      <w:r>
        <w:rPr>
          <w:rFonts w:ascii="Arial" w:cs="Arial" w:eastAsia="Arial" w:hAnsi="Arial"/>
          <w:sz w:val="18"/>
          <w:szCs w:val="18"/>
          <w:b w:val="1"/>
          <w:bCs w:val="1"/>
          <w:u w:val="single" w:color="auto"/>
          <w:color w:val="0000FF"/>
        </w:rPr>
        <w:t>applicable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4812665</wp:posOffset>
            </wp:positionH>
            <wp:positionV relativeFrom="paragraph">
              <wp:posOffset>-579755</wp:posOffset>
            </wp:positionV>
            <wp:extent cx="285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-305435</wp:posOffset>
            </wp:positionV>
            <wp:extent cx="368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830"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-168275</wp:posOffset>
            </wp:positionV>
            <wp:extent cx="368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u w:val="single" w:color="auto"/>
          <w:color w:val="0000FF"/>
        </w:rPr>
        <w:t>5.27 Anti-Corruption Laws</w:t>
      </w:r>
      <w:r>
        <w:rPr>
          <w:rFonts w:ascii="Arial" w:cs="Arial" w:eastAsia="Arial" w:hAnsi="Arial"/>
          <w:sz w:val="18"/>
          <w:szCs w:val="18"/>
          <w:color w:val="000000"/>
        </w:rPr>
        <w:t>. The Loan Parties and their</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Restricted</w:t>
      </w:r>
      <w:r>
        <w:rPr>
          <w:rFonts w:ascii="Arial" w:cs="Arial" w:eastAsia="Arial" w:hAnsi="Arial"/>
          <w:sz w:val="18"/>
          <w:szCs w:val="18"/>
          <w:b w:val="1"/>
          <w:bCs w:val="1"/>
          <w:color w:val="0000FF"/>
        </w:rPr>
        <w:t xml:space="preserve"> </w:t>
      </w:r>
      <w:r>
        <w:rPr>
          <w:rFonts w:ascii="Arial" w:cs="Arial" w:eastAsia="Arial" w:hAnsi="Arial"/>
          <w:sz w:val="18"/>
          <w:szCs w:val="18"/>
          <w:color w:val="000000"/>
        </w:rPr>
        <w:t>Subsidiaries have conducted their businesses in compliance in all</w:t>
      </w:r>
      <w:r>
        <w:rPr>
          <w:rFonts w:ascii="Arial" w:cs="Arial" w:eastAsia="Arial" w:hAnsi="Arial"/>
          <w:sz w:val="18"/>
          <w:szCs w:val="18"/>
          <w:b w:val="1"/>
          <w:bCs w:val="1"/>
          <w:color w:val="0000FF"/>
        </w:rPr>
        <w:t xml:space="preserve"> </w:t>
      </w:r>
      <w:r>
        <w:rPr>
          <w:rFonts w:ascii="Arial" w:cs="Arial" w:eastAsia="Arial" w:hAnsi="Arial"/>
          <w:sz w:val="18"/>
          <w:szCs w:val="18"/>
          <w:color w:val="000000"/>
        </w:rPr>
        <w:t>material respects with [</w:t>
      </w:r>
      <w:r>
        <w:rPr>
          <w:rFonts w:ascii="Arial" w:cs="Arial" w:eastAsia="Arial" w:hAnsi="Arial"/>
          <w:sz w:val="18"/>
          <w:szCs w:val="18"/>
          <w:color w:val="FF0000"/>
          <w:strike w:val="1"/>
        </w:rPr>
        <w:t>all applicable Sanctions</w:t>
      </w:r>
      <w:r>
        <w:rPr>
          <w:rFonts w:ascii="Arial" w:cs="Arial" w:eastAsia="Arial" w:hAnsi="Arial"/>
          <w:sz w:val="18"/>
          <w:szCs w:val="18"/>
          <w:color w:val="000000"/>
        </w:rPr>
        <w:t>]</w:t>
      </w:r>
      <w:r>
        <w:rPr>
          <w:rFonts w:ascii="Arial" w:cs="Arial" w:eastAsia="Arial" w:hAnsi="Arial"/>
          <w:sz w:val="18"/>
          <w:szCs w:val="18"/>
          <w:u w:val="single" w:color="auto"/>
          <w:color w:val="00C000"/>
        </w:rPr>
        <w:t>the United States Foreign Corrupt Practices Act of 1977,</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and other applicable anti-corruption Laws in</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other jurisdictions (“Anti-Corruption Laws”)</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have instituted and [</w:t>
      </w:r>
      <w:r>
        <w:rPr>
          <w:rFonts w:ascii="Arial" w:cs="Arial" w:eastAsia="Arial" w:hAnsi="Arial"/>
          <w:sz w:val="18"/>
          <w:szCs w:val="18"/>
          <w:color w:val="FF0000"/>
          <w:strike w:val="1"/>
        </w:rPr>
        <w:t>maintained</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maintain</w:t>
      </w:r>
      <w:r>
        <w:rPr>
          <w:rFonts w:ascii="Arial" w:cs="Arial" w:eastAsia="Arial" w:hAnsi="Arial"/>
          <w:sz w:val="18"/>
          <w:szCs w:val="18"/>
          <w:b w:val="1"/>
          <w:bCs w:val="1"/>
          <w:color w:val="0000FF"/>
        </w:rPr>
        <w:t xml:space="preserve"> </w:t>
      </w:r>
      <w:r>
        <w:rPr>
          <w:rFonts w:ascii="Arial" w:cs="Arial" w:eastAsia="Arial" w:hAnsi="Arial"/>
          <w:sz w:val="18"/>
          <w:szCs w:val="18"/>
          <w:color w:val="000000"/>
        </w:rPr>
        <w:t>policies and procedures</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reasonably</w:t>
      </w:r>
      <w:r>
        <w:rPr>
          <w:rFonts w:ascii="Arial" w:cs="Arial" w:eastAsia="Arial" w:hAnsi="Arial"/>
          <w:sz w:val="18"/>
          <w:szCs w:val="18"/>
          <w:b w:val="1"/>
          <w:bCs w:val="1"/>
          <w:color w:val="0000FF"/>
        </w:rPr>
        <w:t xml:space="preserve"> </w:t>
      </w:r>
      <w:r>
        <w:rPr>
          <w:rFonts w:ascii="Arial" w:cs="Arial" w:eastAsia="Arial" w:hAnsi="Arial"/>
          <w:sz w:val="18"/>
          <w:szCs w:val="18"/>
          <w:color w:val="000000"/>
        </w:rPr>
        <w:t>designed to promote</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achieve compliance with such [</w:t>
      </w:r>
      <w:r>
        <w:rPr>
          <w:rFonts w:ascii="Arial" w:cs="Arial" w:eastAsia="Arial" w:hAnsi="Arial"/>
          <w:sz w:val="18"/>
          <w:szCs w:val="18"/>
          <w:color w:val="FF0000"/>
          <w:strike w:val="1"/>
        </w:rPr>
        <w:t>Sanctions.</w:t>
      </w:r>
      <w:r>
        <w:rPr>
          <w:rFonts w:ascii="Arial" w:cs="Arial" w:eastAsia="Arial" w:hAnsi="Arial"/>
          <w:sz w:val="18"/>
          <w:szCs w:val="18"/>
          <w:color w:val="000000"/>
        </w:rPr>
        <w:t>]</w:t>
      </w:r>
      <w:r>
        <w:rPr>
          <w:rFonts w:ascii="Arial" w:cs="Arial" w:eastAsia="Arial" w:hAnsi="Arial"/>
          <w:sz w:val="18"/>
          <w:szCs w:val="18"/>
          <w:color w:val="FF0000"/>
          <w:strike w:val="1"/>
        </w:rPr>
        <w:t>5.27</w:t>
      </w:r>
      <w:r>
        <w:rPr>
          <w:rFonts w:ascii="Arial" w:cs="Arial" w:eastAsia="Arial" w:hAnsi="Arial"/>
          <w:sz w:val="18"/>
          <w:szCs w:val="18"/>
          <w:color w:val="000000"/>
        </w:rPr>
        <w:t xml:space="preserve"> Anti-Corruption Laws. </w:t>
      </w:r>
      <w:r>
        <w:rPr>
          <w:rFonts w:ascii="Arial" w:cs="Arial" w:eastAsia="Arial" w:hAnsi="Arial"/>
          <w:sz w:val="18"/>
          <w:szCs w:val="18"/>
          <w:color w:val="00C000"/>
          <w:strike w:val="1"/>
        </w:rPr>
        <w:t>The Loan Parties and their Subsidiaries have conducted their businesses in</w:t>
      </w:r>
      <w:r>
        <w:rPr>
          <w:rFonts w:ascii="Arial" w:cs="Arial" w:eastAsia="Arial" w:hAnsi="Arial"/>
          <w:sz w:val="18"/>
          <w:szCs w:val="18"/>
          <w:color w:val="000000"/>
        </w:rPr>
        <w:t xml:space="preserve"> </w:t>
      </w:r>
      <w:r>
        <w:rPr>
          <w:rFonts w:ascii="Arial" w:cs="Arial" w:eastAsia="Arial" w:hAnsi="Arial"/>
          <w:sz w:val="18"/>
          <w:szCs w:val="18"/>
          <w:color w:val="00C000"/>
          <w:strike w:val="1"/>
        </w:rPr>
        <w:t>compliance in all material respects with the United States Foreign Corrupt Practices Act of 1977,</w:t>
      </w:r>
      <w:r>
        <w:rPr>
          <w:rFonts w:ascii="Arial" w:cs="Arial" w:eastAsia="Arial" w:hAnsi="Arial"/>
          <w:sz w:val="18"/>
          <w:szCs w:val="18"/>
          <w:color w:val="00C000"/>
        </w:rPr>
        <w:t xml:space="preserve"> </w:t>
      </w:r>
      <w:r>
        <w:rPr>
          <w:rFonts w:ascii="Arial" w:cs="Arial" w:eastAsia="Arial" w:hAnsi="Arial"/>
          <w:sz w:val="18"/>
          <w:szCs w:val="18"/>
          <w:color w:val="000000"/>
        </w:rPr>
        <w:t>[</w:t>
      </w:r>
      <w:r>
        <w:rPr>
          <w:rFonts w:ascii="Arial" w:cs="Arial" w:eastAsia="Arial" w:hAnsi="Arial"/>
          <w:sz w:val="18"/>
          <w:szCs w:val="18"/>
          <w:color w:val="FF0000"/>
          <w:strike w:val="1"/>
        </w:rPr>
        <w:t>the UK Bribery Act 2010, and other applicable anti-corruption legislation in other jurisdictions</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color w:val="00C000"/>
          <w:strike w:val="1"/>
        </w:rPr>
        <w:t>and have instituted and</w:t>
      </w:r>
      <w:r>
        <w:rPr>
          <w:rFonts w:ascii="Arial" w:cs="Arial" w:eastAsia="Arial" w:hAnsi="Arial"/>
          <w:sz w:val="18"/>
          <w:szCs w:val="18"/>
          <w:color w:val="FF0000"/>
        </w:rPr>
        <w:t xml:space="preserve"> </w:t>
      </w:r>
      <w:r>
        <w:rPr>
          <w:rFonts w:ascii="Arial" w:cs="Arial" w:eastAsia="Arial" w:hAnsi="Arial"/>
          <w:sz w:val="18"/>
          <w:szCs w:val="18"/>
          <w:color w:val="000000"/>
        </w:rPr>
        <w:t>[</w:t>
      </w:r>
      <w:r>
        <w:rPr>
          <w:rFonts w:ascii="Arial" w:cs="Arial" w:eastAsia="Arial" w:hAnsi="Arial"/>
          <w:sz w:val="18"/>
          <w:szCs w:val="18"/>
          <w:color w:val="FF0000"/>
          <w:strike w:val="1"/>
        </w:rPr>
        <w:t>maintained</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color w:val="00C000"/>
          <w:strike w:val="1"/>
        </w:rPr>
        <w:t>policies and procedures designed to promote and achieve compliance with</w:t>
      </w:r>
      <w:r>
        <w:rPr>
          <w:rFonts w:ascii="Arial" w:cs="Arial" w:eastAsia="Arial" w:hAnsi="Arial"/>
          <w:sz w:val="18"/>
          <w:szCs w:val="18"/>
          <w:color w:val="FF0000"/>
        </w:rPr>
        <w:t xml:space="preserve"> </w:t>
      </w:r>
      <w:r>
        <w:rPr>
          <w:rFonts w:ascii="Arial" w:cs="Arial" w:eastAsia="Arial" w:hAnsi="Arial"/>
          <w:sz w:val="18"/>
          <w:szCs w:val="18"/>
          <w:color w:val="00C000"/>
          <w:strike w:val="1"/>
        </w:rPr>
        <w:t>such</w:t>
      </w:r>
      <w:r>
        <w:rPr>
          <w:rFonts w:ascii="Arial" w:cs="Arial" w:eastAsia="Arial" w:hAnsi="Arial"/>
          <w:sz w:val="18"/>
          <w:szCs w:val="18"/>
          <w:color w:val="00C000"/>
        </w:rPr>
        <w:t xml:space="preserve"> </w:t>
      </w:r>
      <w:r>
        <w:rPr>
          <w:rFonts w:ascii="Arial" w:cs="Arial" w:eastAsia="Arial" w:hAnsi="Arial"/>
          <w:sz w:val="18"/>
          <w:szCs w:val="18"/>
          <w:color w:val="000000"/>
        </w:rPr>
        <w:t>[</w:t>
      </w:r>
      <w:r>
        <w:rPr>
          <w:rFonts w:ascii="Arial" w:cs="Arial" w:eastAsia="Arial" w:hAnsi="Arial"/>
          <w:sz w:val="18"/>
          <w:szCs w:val="18"/>
          <w:color w:val="FF0000"/>
          <w:strike w:val="1"/>
        </w:rPr>
        <w:t>laws</w:t>
      </w:r>
      <w:r>
        <w:rPr>
          <w:rFonts w:ascii="Arial" w:cs="Arial" w:eastAsia="Arial" w:hAnsi="Arial"/>
          <w:sz w:val="18"/>
          <w:szCs w:val="18"/>
          <w:color w:val="000000"/>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5.28 Beneficial Ownership Certificate</w:t>
      </w:r>
      <w:r>
        <w:rPr>
          <w:rFonts w:ascii="Arial" w:cs="Arial" w:eastAsia="Arial" w:hAnsi="Arial"/>
          <w:sz w:val="18"/>
          <w:szCs w:val="18"/>
          <w:color w:val="auto"/>
        </w:rPr>
        <w:t>. As of the Second Amendment Effective Date, the information included in the Beneficial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Certification, if applicable, is true and correct in all respects.</w:t>
      </w:r>
    </w:p>
    <w:p>
      <w:pPr>
        <w:spacing w:after="0" w:line="16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5.29</w:t>
      </w:r>
      <w:r>
        <w:rPr>
          <w:sz w:val="20"/>
          <w:szCs w:val="20"/>
          <w:color w:val="auto"/>
        </w:rPr>
        <w:tab/>
      </w:r>
      <w:r>
        <w:rPr>
          <w:rFonts w:ascii="Arial" w:cs="Arial" w:eastAsia="Arial" w:hAnsi="Arial"/>
          <w:sz w:val="16"/>
          <w:szCs w:val="16"/>
          <w:b w:val="1"/>
          <w:bCs w:val="1"/>
          <w:color w:val="auto"/>
        </w:rPr>
        <w:t>Covered Entities</w:t>
      </w:r>
      <w:r>
        <w:rPr>
          <w:rFonts w:ascii="Arial" w:cs="Arial" w:eastAsia="Arial" w:hAnsi="Arial"/>
          <w:sz w:val="16"/>
          <w:szCs w:val="16"/>
          <w:color w:val="auto"/>
        </w:rPr>
        <w:t>. No Loan Party is a Covered Entity.</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5.30</w:t>
      </w:r>
      <w:r>
        <w:rPr>
          <w:sz w:val="20"/>
          <w:szCs w:val="20"/>
          <w:color w:val="auto"/>
        </w:rPr>
        <w:tab/>
      </w:r>
      <w:r>
        <w:rPr>
          <w:rFonts w:ascii="Arial" w:cs="Arial" w:eastAsia="Arial" w:hAnsi="Arial"/>
          <w:sz w:val="16"/>
          <w:szCs w:val="16"/>
          <w:b w:val="1"/>
          <w:bCs w:val="1"/>
          <w:color w:val="auto"/>
        </w:rPr>
        <w:t>EEA Financial Institution</w:t>
      </w:r>
      <w:r>
        <w:rPr>
          <w:rFonts w:ascii="Arial" w:cs="Arial" w:eastAsia="Arial" w:hAnsi="Arial"/>
          <w:sz w:val="16"/>
          <w:szCs w:val="16"/>
          <w:color w:val="auto"/>
        </w:rPr>
        <w:t>. No Loan Party is an EEA Financial Institution.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So long as the Lender shall have any Commitment hereunder, any Loan or other Obligation hereunder shall remain unpaid or unsatisfied (other than contingent indemnification claims for which a claim has not been asserted), or any Letter of Credit shall remain outstanding, the Loan Parties shall, and shall (except in the case of the covenants set forth in </w:t>
      </w:r>
      <w:r>
        <w:rPr>
          <w:rFonts w:ascii="Arial" w:cs="Arial" w:eastAsia="Arial" w:hAnsi="Arial"/>
          <w:sz w:val="17"/>
          <w:szCs w:val="17"/>
          <w:u w:val="single" w:color="auto"/>
          <w:color w:val="auto"/>
        </w:rPr>
        <w:t>Sections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6.03</w:t>
      </w:r>
      <w:r>
        <w:rPr>
          <w:rFonts w:ascii="Arial" w:cs="Arial" w:eastAsia="Arial" w:hAnsi="Arial"/>
          <w:sz w:val="17"/>
          <w:szCs w:val="17"/>
          <w:color w:val="auto"/>
        </w:rPr>
        <w:t xml:space="preserve">) cause each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93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Deliver to the Lender, in form and detail satisfactory to the Lender:</w:t>
      </w:r>
    </w:p>
    <w:p>
      <w:pPr>
        <w:spacing w:after="0" w:line="229" w:lineRule="exact"/>
        <w:rPr>
          <w:sz w:val="20"/>
          <w:szCs w:val="20"/>
          <w:color w:val="auto"/>
        </w:rPr>
      </w:pPr>
    </w:p>
    <w:p>
      <w:pPr>
        <w:jc w:val="both"/>
        <w:ind w:firstLine="644"/>
        <w:spacing w:after="0" w:line="271" w:lineRule="auto"/>
        <w:tabs>
          <w:tab w:leader="none" w:pos="1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as soon as available, but in any event within ninety (90) days after the end of each Fiscal Year of the Borrower, a Consolidated balance sheet of the Borrower (commencing with the Fiscal Year ending January 28, 2012) and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unqualified opinion of a Registered Public Accounting Firm of nationally recognized standing reasonably acceptable to the Lender,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178" w:lineRule="exact"/>
        <w:rPr>
          <w:rFonts w:ascii="Arial" w:cs="Arial" w:eastAsia="Arial" w:hAnsi="Arial"/>
          <w:sz w:val="17"/>
          <w:szCs w:val="17"/>
          <w:color w:val="auto"/>
        </w:rPr>
      </w:pPr>
    </w:p>
    <w:p>
      <w:pPr>
        <w:jc w:val="both"/>
        <w:ind w:firstLine="644"/>
        <w:spacing w:after="0" w:line="289" w:lineRule="auto"/>
        <w:tabs>
          <w:tab w:leader="none" w:pos="162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as soon as available, but in any event within forty-five (45) days after the end of each of the Fiscal Quarters of each Fiscal Year of the Borrower (commencing with the Fiscal Quarter ended October 29, 2011), a Consolidated balance sheet of the Borrower and its </w:t>
      </w:r>
      <w:r>
        <w:rPr>
          <w:rFonts w:ascii="Arial" w:cs="Arial" w:eastAsia="Arial" w:hAnsi="Arial"/>
          <w:sz w:val="16"/>
          <w:szCs w:val="16"/>
          <w:b w:val="1"/>
          <w:bCs w:val="1"/>
          <w:u w:val="single" w:color="auto"/>
          <w:color w:val="0000FF"/>
        </w:rPr>
        <w:t>Restricted</w:t>
      </w:r>
      <w:r>
        <w:rPr>
          <w:rFonts w:ascii="Arial" w:cs="Arial" w:eastAsia="Arial" w:hAnsi="Arial"/>
          <w:sz w:val="16"/>
          <w:szCs w:val="16"/>
          <w:b w:val="1"/>
          <w:bCs w:val="1"/>
          <w:color w:val="0000FF"/>
        </w:rPr>
        <w:t xml:space="preserve"> </w:t>
      </w:r>
      <w:r>
        <w:rPr>
          <w:rFonts w:ascii="Arial" w:cs="Arial" w:eastAsia="Arial" w:hAnsi="Arial"/>
          <w:sz w:val="16"/>
          <w:szCs w:val="16"/>
          <w:color w:val="000000"/>
        </w:rPr>
        <w:t>Subsidiaries as at the end of such Fiscal Quarter, and the related Consolidated statement of income or operations for such Fiscal</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Quarter and for the portion of the Borrower’s Fiscal Year then ended, and the related statement of cash flows for the portion of the Borrower’s Fiscal Year then ended, setting forth in each case, as applicable, in comparative form the figures for (A) such period set forth in the projections delivered pursuant to </w:t>
      </w:r>
      <w:r>
        <w:rPr>
          <w:rFonts w:ascii="Arial" w:cs="Arial" w:eastAsia="Arial" w:hAnsi="Arial"/>
          <w:sz w:val="16"/>
          <w:szCs w:val="16"/>
          <w:u w:val="single" w:color="auto"/>
          <w:color w:val="000000"/>
        </w:rPr>
        <w:t>Section 6.01(d)</w:t>
      </w:r>
      <w:r>
        <w:rPr>
          <w:rFonts w:ascii="Arial" w:cs="Arial" w:eastAsia="Arial" w:hAnsi="Arial"/>
          <w:sz w:val="16"/>
          <w:szCs w:val="16"/>
          <w:color w:val="000000"/>
        </w:rPr>
        <w:t xml:space="preserve"> hereof, (B) the corresponding Fiscal Quarter of the previous Fiscal Year and (C) the corresponding portion of the previous Fiscal Year, all in reasonable detail, such consolidated statements to be certified by a Responsible Officer of the Borrower as fairly presenting the financial condition, results of operations and cash flows of the Borrower and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000000"/>
        </w:rPr>
        <w:t xml:space="preserve"> Subsidiaries as of the end of such Fiscal Quarter in accordance with GAAP, subject only to normal year-end audit adjustments and the absence of footnotes;</w:t>
      </w:r>
    </w:p>
    <w:p>
      <w:pPr>
        <w:spacing w:after="0" w:line="162" w:lineRule="exact"/>
        <w:rPr>
          <w:rFonts w:ascii="Arial" w:cs="Arial" w:eastAsia="Arial" w:hAnsi="Arial"/>
          <w:sz w:val="16"/>
          <w:szCs w:val="16"/>
          <w:color w:val="auto"/>
        </w:rPr>
      </w:pPr>
    </w:p>
    <w:p>
      <w:pPr>
        <w:jc w:val="both"/>
        <w:ind w:firstLine="644"/>
        <w:spacing w:after="0" w:line="289" w:lineRule="auto"/>
        <w:tabs>
          <w:tab w:leader="none" w:pos="157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if Availability is less than </w:t>
      </w:r>
      <w:r>
        <w:rPr>
          <w:rFonts w:ascii="Arial" w:cs="Arial" w:eastAsia="Arial" w:hAnsi="Arial"/>
          <w:sz w:val="16"/>
          <w:szCs w:val="16"/>
          <w:b w:val="1"/>
          <w:bCs w:val="1"/>
          <w:u w:val="single" w:color="auto"/>
          <w:color w:val="0000FF"/>
        </w:rPr>
        <w:t>the greater of (i)</w:t>
      </w:r>
      <w:r>
        <w:rPr>
          <w:rFonts w:ascii="Arial" w:cs="Arial" w:eastAsia="Arial" w:hAnsi="Arial"/>
          <w:sz w:val="16"/>
          <w:szCs w:val="16"/>
          <w:color w:val="auto"/>
        </w:rPr>
        <w:t xml:space="preserve"> twenty percent (20%) of the Loan Cap [</w:t>
      </w:r>
      <w:r>
        <w:rPr>
          <w:rFonts w:ascii="Arial" w:cs="Arial" w:eastAsia="Arial" w:hAnsi="Arial"/>
          <w:sz w:val="16"/>
          <w:szCs w:val="16"/>
          <w:color w:val="FF0000"/>
          <w:strike w:val="1"/>
        </w:rPr>
        <w:t>at any time</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and (ii) $11,250,000, in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case of clauses (i) and (ii), for three (3) consecutive Business Days</w:t>
      </w:r>
      <w:r>
        <w:rPr>
          <w:rFonts w:ascii="Arial" w:cs="Arial" w:eastAsia="Arial" w:hAnsi="Arial"/>
          <w:sz w:val="16"/>
          <w:szCs w:val="16"/>
          <w:color w:val="000000"/>
        </w:rPr>
        <w:t>, as soon as available, but in any event within thirty (30) days after the end of</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each of the Fiscal Months of each Fiscal Year of the Borrower, a Consolidated balance sheet of the Borrower and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000000"/>
        </w:rPr>
        <w:t xml:space="preserve"> Subsidiaries as at the end of such Fiscal Month, and the related Consolidated statement of income or operations for such Fiscal Month, and for the portion of the Borrower’s Fiscal Year then ended and the related statement of cash flows for the portion of the Borrower’s Fiscal Year then ended, setting forth in each case, as applicable, in comparative form the figures for (A) such period set forth in the projections delivered pursuant to </w:t>
      </w:r>
      <w:r>
        <w:rPr>
          <w:rFonts w:ascii="Arial" w:cs="Arial" w:eastAsia="Arial" w:hAnsi="Arial"/>
          <w:sz w:val="16"/>
          <w:szCs w:val="16"/>
          <w:u w:val="single" w:color="auto"/>
          <w:color w:val="000000"/>
        </w:rPr>
        <w:t>Section 6.01(d)</w:t>
      </w:r>
      <w:r>
        <w:rPr>
          <w:rFonts w:ascii="Arial" w:cs="Arial" w:eastAsia="Arial" w:hAnsi="Arial"/>
          <w:sz w:val="16"/>
          <w:szCs w:val="16"/>
          <w:color w:val="000000"/>
        </w:rPr>
        <w:t xml:space="preserve"> hereof, (B) the corresponding Fiscal Month of the previous Fiscal Year and (C) the corresponding portion of the previous Fiscal Year, all in reasonable detail, such Consolidated statements to be certified by a Responsible Officer of the Borrower as fairly presenting the financial condition, results of operations and cash flows of the Borrower and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000000"/>
        </w:rPr>
        <w:t xml:space="preserve"> Subsidiaries as of the end of such Fiscal Month in accordance with GAAP, subject only to normal year-end audit adjustments and the absence of footnotes;</w:t>
      </w:r>
    </w:p>
    <w:p>
      <w:pPr>
        <w:spacing w:after="0" w:line="16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94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4" w:name="page115"/>
    <w:bookmarkEnd w:id="114"/>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10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color w:val="FF0000"/>
          <w:strike w:val="1"/>
        </w:rPr>
        <w:t>Page</w:t>
      </w:r>
      <w:r>
        <w:rPr>
          <w:rFonts w:ascii="Arial" w:cs="Arial" w:eastAsia="Arial" w:hAnsi="Arial"/>
          <w:sz w:val="15"/>
          <w:szCs w:val="15"/>
          <w:b w:val="1"/>
          <w:bCs w:val="1"/>
          <w:color w:val="auto"/>
        </w:rPr>
        <w:t>]</w:t>
      </w:r>
    </w:p>
    <w:p>
      <w:pPr>
        <w:spacing w:after="0" w:line="245" w:lineRule="exact"/>
        <w:rPr>
          <w:sz w:val="20"/>
          <w:szCs w:val="20"/>
          <w:color w:val="auto"/>
        </w:rPr>
      </w:pPr>
    </w:p>
    <w:p>
      <w:pPr>
        <w:jc w:val="both"/>
        <w:ind w:firstLine="644"/>
        <w:spacing w:after="0" w:line="257" w:lineRule="auto"/>
        <w:tabs>
          <w:tab w:leader="none" w:pos="16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as soon as available, but in any event at least thirty (30) days before the end of each Fiscal Year of the Borrower, forecasts prepared by management of the Borrower, in form satisfactory to the Lender, of Availability and the Consolidated balance sheets and statements of income or operations and cash flows of the Borrower and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on a monthly basis for the immediately following Fiscal Year (including the Fiscal Year in which the Maturity Date occurs), and as soon as available, any significant revisions to such forecast with respect to such Fiscal Year.</w:t>
      </w:r>
    </w:p>
    <w:p>
      <w:pPr>
        <w:spacing w:after="0" w:line="18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6"/>
          <w:szCs w:val="16"/>
          <w:b w:val="1"/>
          <w:bCs w:val="1"/>
          <w:color w:val="auto"/>
        </w:rPr>
        <w:t xml:space="preserve">Certificates; Other Information. </w:t>
      </w:r>
      <w:r>
        <w:rPr>
          <w:rFonts w:ascii="Arial" w:cs="Arial" w:eastAsia="Arial" w:hAnsi="Arial"/>
          <w:sz w:val="16"/>
          <w:szCs w:val="16"/>
          <w:color w:val="auto"/>
        </w:rPr>
        <w:t>Deliver to the Lender, in form and detail satisfactory to the Lender:</w:t>
      </w:r>
    </w:p>
    <w:p>
      <w:pPr>
        <w:spacing w:after="0" w:line="229" w:lineRule="exact"/>
        <w:rPr>
          <w:sz w:val="20"/>
          <w:szCs w:val="20"/>
          <w:color w:val="auto"/>
        </w:rPr>
      </w:pPr>
    </w:p>
    <w:p>
      <w:pPr>
        <w:jc w:val="both"/>
        <w:ind w:firstLine="644"/>
        <w:spacing w:after="0" w:line="254" w:lineRule="auto"/>
        <w:tabs>
          <w:tab w:leader="none" w:pos="163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Sections 6.01(a) and (b) and (c) (commencing with the delivery of the financial statements for the Fiscal Quarter ended October 29, 2011, or at any time that the Borrower is obligated to deliver monthly financial statements pursuant to Section 6.01(c), with each monthly financial statement) (i) a duly completed Compliance Certificate signed by a Responsible Officer of the Borrower, and in the event of any change in generally accepted accounting principles used in the preparation of such financial statements, the Borrower shall also provide a statement of reconciliation conforming such financial statements to GAAP and (ii) with respect to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copy of management’s discussion and analysis with respect to such financial statements;</w:t>
      </w:r>
    </w:p>
    <w:p>
      <w:pPr>
        <w:spacing w:after="0" w:line="190" w:lineRule="exact"/>
        <w:rPr>
          <w:rFonts w:ascii="Arial" w:cs="Arial" w:eastAsia="Arial" w:hAnsi="Arial"/>
          <w:sz w:val="18"/>
          <w:szCs w:val="18"/>
          <w:color w:val="auto"/>
        </w:rPr>
      </w:pPr>
    </w:p>
    <w:p>
      <w:pPr>
        <w:ind w:left="1920" w:hanging="1276"/>
        <w:spacing w:after="0"/>
        <w:tabs>
          <w:tab w:leader="none" w:pos="19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(i) if there are no outstanding Committed Borrowings or other amounts payable by the Borrower or its </w:t>
      </w:r>
      <w:r>
        <w:rPr>
          <w:rFonts w:ascii="Arial" w:cs="Arial" w:eastAsia="Arial" w:hAnsi="Arial"/>
          <w:sz w:val="17"/>
          <w:szCs w:val="17"/>
          <w:b w:val="1"/>
          <w:bCs w:val="1"/>
          <w:u w:val="single" w:color="auto"/>
          <w:color w:val="0000FF"/>
        </w:rPr>
        <w:t>Restricted</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Subsidiaries on account of any Loans made to the Borrower and the L/C Obligations do not exceed $5,000,000, on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Fiscal Quarter (or, if such day is not a Business Day, on the next succeeding Business Day), a certificate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 “</w:t>
      </w:r>
      <w:r>
        <w:rPr>
          <w:rFonts w:ascii="Arial" w:cs="Arial" w:eastAsia="Arial" w:hAnsi="Arial"/>
          <w:sz w:val="16"/>
          <w:szCs w:val="16"/>
          <w:u w:val="single" w:color="auto"/>
          <w:color w:val="auto"/>
        </w:rPr>
        <w:t>Borrowing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Base Certificate</w:t>
      </w:r>
      <w:r>
        <w:rPr>
          <w:rFonts w:ascii="Arial" w:cs="Arial" w:eastAsia="Arial" w:hAnsi="Arial"/>
          <w:sz w:val="16"/>
          <w:szCs w:val="16"/>
          <w:color w:val="auto"/>
        </w:rPr>
        <w:t>”) showing the Borrowing Base as of the close of business as of the last day of the immediately preceding Fiscal Quarter, each Borrowing Base Certificate to be certified as complete and correct by a Responsible Officer of the Borrower; (ii) if the conditions of clause (b)(i)</w:t>
      </w:r>
    </w:p>
    <w:p>
      <w:pPr>
        <w:jc w:val="both"/>
        <w:spacing w:after="0" w:line="231" w:lineRule="auto"/>
        <w:rPr>
          <w:sz w:val="20"/>
          <w:szCs w:val="20"/>
          <w:color w:val="auto"/>
        </w:rPr>
      </w:pPr>
      <w:r>
        <w:rPr>
          <w:rFonts w:ascii="Arial" w:cs="Arial" w:eastAsia="Arial" w:hAnsi="Arial"/>
          <w:sz w:val="18"/>
          <w:szCs w:val="18"/>
          <w:color w:val="auto"/>
        </w:rPr>
        <w:t>are not satisfied, such Borrowing Base Certificate shall be delivered on the fifteenth (15</w:t>
      </w:r>
      <w:r>
        <w:rPr>
          <w:rFonts w:ascii="Arial" w:cs="Arial" w:eastAsia="Arial" w:hAnsi="Arial"/>
          <w:sz w:val="29"/>
          <w:szCs w:val="29"/>
          <w:color w:val="auto"/>
          <w:vertAlign w:val="superscript"/>
        </w:rPr>
        <w:t>th</w:t>
      </w:r>
      <w:r>
        <w:rPr>
          <w:rFonts w:ascii="Arial" w:cs="Arial" w:eastAsia="Arial" w:hAnsi="Arial"/>
          <w:sz w:val="18"/>
          <w:szCs w:val="18"/>
          <w:color w:val="auto"/>
        </w:rPr>
        <w:t>) day of each Fiscal Month (or, if such day is not a Business Day, on the next succeeding Business Day) showing the Borrowing Base as of the close of business as of the last day of the immediately preceding Fiscal Month; and (iii) at any time that an Accelerated Borrowing Base Delivery Event has occurred and is continuing, such Borrowing Base Certificate shall be delivered on a Wednesday of each week (or, if Wednesday is not a Business Day, on the next succeeding Business Day), as of the close of business on the immediately preceding Saturday;</w:t>
      </w:r>
    </w:p>
    <w:p>
      <w:pPr>
        <w:spacing w:after="0" w:line="204" w:lineRule="exact"/>
        <w:rPr>
          <w:sz w:val="20"/>
          <w:szCs w:val="20"/>
          <w:color w:val="auto"/>
        </w:rPr>
      </w:pPr>
    </w:p>
    <w:p>
      <w:pPr>
        <w:jc w:val="both"/>
        <w:ind w:firstLine="644"/>
        <w:spacing w:after="0" w:line="259" w:lineRule="auto"/>
        <w:tabs>
          <w:tab w:leader="none" w:pos="157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FF0000"/>
          <w:strike w:val="1"/>
        </w:rPr>
        <w:t>promptly upon receipt, copies of any detailed audit reports, management letters or recommendations submitted to the board</w:t>
      </w:r>
      <w:r>
        <w:rPr>
          <w:rFonts w:ascii="Arial" w:cs="Arial" w:eastAsia="Arial" w:hAnsi="Arial"/>
          <w:sz w:val="18"/>
          <w:szCs w:val="18"/>
          <w:color w:val="auto"/>
        </w:rPr>
        <w:t xml:space="preserve"> </w:t>
      </w:r>
      <w:r>
        <w:rPr>
          <w:rFonts w:ascii="Arial" w:cs="Arial" w:eastAsia="Arial" w:hAnsi="Arial"/>
          <w:sz w:val="18"/>
          <w:szCs w:val="18"/>
          <w:color w:val="FF0000"/>
          <w:strike w:val="1"/>
        </w:rPr>
        <w:t>of directors (or the audit committee of the board of directors) of any Loan Party by its Registered Public Accounting Firm in connection with the accounts or books of the Loan Parties or any Subsidiary, or any audit of any of them, including, without limitation, specifying any Internal Control Event]</w:t>
      </w:r>
      <w:r>
        <w:rPr>
          <w:rFonts w:ascii="Arial" w:cs="Arial" w:eastAsia="Arial" w:hAnsi="Arial"/>
          <w:sz w:val="18"/>
          <w:szCs w:val="18"/>
          <w:b w:val="1"/>
          <w:bCs w:val="1"/>
          <w:u w:val="single" w:color="auto"/>
          <w:color w:val="0000FF"/>
          <w:strike w:val="1"/>
        </w:rPr>
        <w:t>[Reserved]</w:t>
      </w:r>
      <w:r>
        <w:rPr>
          <w:rFonts w:ascii="Arial" w:cs="Arial" w:eastAsia="Arial" w:hAnsi="Arial"/>
          <w:sz w:val="18"/>
          <w:szCs w:val="18"/>
          <w:color w:val="FF0000"/>
          <w:strike w:val="1"/>
        </w:rPr>
        <w:t>;</w:t>
      </w:r>
    </w:p>
    <w:p>
      <w:pPr>
        <w:spacing w:after="0" w:line="18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95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5" w:name="page116"/>
    <w:bookmarkEnd w:id="115"/>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4"/>
        <w:spacing w:after="0" w:line="259" w:lineRule="auto"/>
        <w:tabs>
          <w:tab w:leader="none" w:pos="192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the Loan Parties, and copies of all annual, regular, periodic and special reports and registration statements which any Loan Party may file or be required to file with the SEC under Section 13 or 15(d) of the Securities Exchange Act of 1934 or with any national securities exchange;</w:t>
      </w:r>
    </w:p>
    <w:p>
      <w:pPr>
        <w:spacing w:after="0" w:line="186" w:lineRule="exact"/>
        <w:rPr>
          <w:rFonts w:ascii="Arial" w:cs="Arial" w:eastAsia="Arial" w:hAnsi="Arial"/>
          <w:sz w:val="18"/>
          <w:szCs w:val="18"/>
          <w:color w:val="auto"/>
        </w:rPr>
      </w:pPr>
    </w:p>
    <w:p>
      <w:pPr>
        <w:ind w:left="1420" w:hanging="776"/>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financial and collateral reports described on Schedule 6.02 hereto, at the times set forth in such Schedule;</w:t>
      </w:r>
    </w:p>
    <w:p>
      <w:pPr>
        <w:spacing w:after="0" w:line="225" w:lineRule="exact"/>
        <w:rPr>
          <w:rFonts w:ascii="Arial" w:cs="Arial" w:eastAsia="Arial" w:hAnsi="Arial"/>
          <w:sz w:val="18"/>
          <w:szCs w:val="18"/>
          <w:color w:val="auto"/>
        </w:rPr>
      </w:pPr>
    </w:p>
    <w:p>
      <w:pPr>
        <w:jc w:val="both"/>
        <w:ind w:firstLine="644"/>
        <w:spacing w:after="0" w:line="286" w:lineRule="auto"/>
        <w:tabs>
          <w:tab w:leader="none" w:pos="15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color w:val="FF0000"/>
          <w:strike w:val="1"/>
        </w:rPr>
        <w:t>promptly after the furnishing thereof, copies of any statement or report furnished to any holder of Material Indebtedness of</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any Loan Party or any Subsidiary thereof pursuant to the terms of any indenture, loan or credit or similar agreement and not otherwise required to be furnished to the Lender pursuant to </w:t>
      </w:r>
      <w:r>
        <w:rPr>
          <w:rFonts w:ascii="Arial" w:cs="Arial" w:eastAsia="Arial" w:hAnsi="Arial"/>
          <w:sz w:val="17"/>
          <w:szCs w:val="17"/>
          <w:u w:val="single" w:color="auto"/>
          <w:color w:val="FF0000"/>
          <w:strike w:val="1"/>
        </w:rPr>
        <w:t>Section 6.01</w:t>
      </w:r>
      <w:r>
        <w:rPr>
          <w:rFonts w:ascii="Arial" w:cs="Arial" w:eastAsia="Arial" w:hAnsi="Arial"/>
          <w:sz w:val="17"/>
          <w:szCs w:val="17"/>
          <w:color w:val="FF0000"/>
          <w:strike w:val="1"/>
        </w:rPr>
        <w:t xml:space="preserve"> or any other clause of this </w:t>
      </w:r>
      <w:r>
        <w:rPr>
          <w:rFonts w:ascii="Arial" w:cs="Arial" w:eastAsia="Arial" w:hAnsi="Arial"/>
          <w:sz w:val="17"/>
          <w:szCs w:val="17"/>
          <w:u w:val="single" w:color="auto"/>
          <w:color w:val="FF0000"/>
          <w:strike w:val="1"/>
        </w:rPr>
        <w:t>Section 6.02</w:t>
      </w:r>
      <w:r>
        <w:rPr>
          <w:rFonts w:ascii="Arial" w:cs="Arial" w:eastAsia="Arial" w:hAnsi="Arial"/>
          <w:sz w:val="17"/>
          <w:szCs w:val="17"/>
          <w:color w:val="000000"/>
          <w:strike w:val="1"/>
        </w:rPr>
        <w:t>]</w:t>
      </w:r>
      <w:r>
        <w:rPr>
          <w:rFonts w:ascii="Arial" w:cs="Arial" w:eastAsia="Arial" w:hAnsi="Arial"/>
          <w:sz w:val="17"/>
          <w:szCs w:val="17"/>
          <w:b w:val="1"/>
          <w:bCs w:val="1"/>
          <w:u w:val="single" w:color="auto"/>
          <w:color w:val="0000FF"/>
          <w:strike w:val="1"/>
        </w:rPr>
        <w:t>[reserved]</w:t>
      </w:r>
      <w:r>
        <w:rPr>
          <w:rFonts w:ascii="Arial" w:cs="Arial" w:eastAsia="Arial" w:hAnsi="Arial"/>
          <w:sz w:val="17"/>
          <w:szCs w:val="17"/>
          <w:color w:val="000000"/>
          <w:strike w:val="1"/>
        </w:rPr>
        <w:t>;</w:t>
      </w:r>
    </w:p>
    <w:p>
      <w:pPr>
        <w:spacing w:after="0" w:line="165" w:lineRule="exact"/>
        <w:rPr>
          <w:rFonts w:ascii="Arial" w:cs="Arial" w:eastAsia="Arial" w:hAnsi="Arial"/>
          <w:sz w:val="17"/>
          <w:szCs w:val="17"/>
          <w:color w:val="auto"/>
        </w:rPr>
      </w:pPr>
    </w:p>
    <w:p>
      <w:pPr>
        <w:jc w:val="both"/>
        <w:ind w:firstLine="644"/>
        <w:spacing w:after="0" w:line="263" w:lineRule="auto"/>
        <w:tabs>
          <w:tab w:leader="none" w:pos="153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as soon as available, but in any event within thirty (30) days after the end of each Fiscal Year of the Loan Parties, a report summarizing the insurance coverage (specifying type, amount and carrier) in effect for each Loan Party and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and containing such additional information as the Lender may reasonably specify;</w:t>
      </w:r>
    </w:p>
    <w:p>
      <w:pPr>
        <w:spacing w:after="0" w:line="183" w:lineRule="exact"/>
        <w:rPr>
          <w:rFonts w:ascii="Arial" w:cs="Arial" w:eastAsia="Arial" w:hAnsi="Arial"/>
          <w:sz w:val="18"/>
          <w:szCs w:val="18"/>
          <w:color w:val="auto"/>
        </w:rPr>
      </w:pPr>
    </w:p>
    <w:p>
      <w:pPr>
        <w:ind w:left="1400" w:hanging="756"/>
        <w:spacing w:after="0"/>
        <w:tabs>
          <w:tab w:leader="none" w:pos="14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promptly after the Lender’s request therefor, copies of all Material Contracts and documents evidencing Material Indebtedness;</w:t>
      </w:r>
    </w:p>
    <w:p>
      <w:pPr>
        <w:spacing w:after="0" w:line="244" w:lineRule="exact"/>
        <w:rPr>
          <w:rFonts w:ascii="Arial" w:cs="Arial" w:eastAsia="Arial" w:hAnsi="Arial"/>
          <w:sz w:val="16"/>
          <w:szCs w:val="16"/>
          <w:color w:val="auto"/>
        </w:rPr>
      </w:pPr>
    </w:p>
    <w:p>
      <w:pPr>
        <w:jc w:val="both"/>
        <w:ind w:firstLine="644"/>
        <w:spacing w:after="0" w:line="298" w:lineRule="auto"/>
        <w:tabs>
          <w:tab w:leader="none" w:pos="146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promptly, and in any event within five (5) Business Days after receipt thereof by any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thereof, copies of each notice or other correspondence received from any Governmental Authority (including, without limitation, the SEC (or comparable agency in any applicable non-U.S. jurisdiction)) concerning any proceeding with, or investigation or possible investigation or other inquiry by such Governmental Authority regarding financial or other operational results of any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thereof or any other matter which, if adversely determined, could reasonably expected to have a Material Adverse Effect;</w:t>
      </w:r>
    </w:p>
    <w:p>
      <w:pPr>
        <w:spacing w:after="0" w:line="157" w:lineRule="exact"/>
        <w:rPr>
          <w:rFonts w:ascii="Arial" w:cs="Arial" w:eastAsia="Arial" w:hAnsi="Arial"/>
          <w:sz w:val="16"/>
          <w:szCs w:val="16"/>
          <w:color w:val="auto"/>
        </w:rPr>
      </w:pPr>
    </w:p>
    <w:p>
      <w:pPr>
        <w:jc w:val="both"/>
        <w:ind w:firstLine="644"/>
        <w:spacing w:after="0" w:line="288" w:lineRule="auto"/>
        <w:tabs>
          <w:tab w:leader="none" w:pos="156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promptly, such additional information regarding the business affairs, financial condition or operations of any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or compliance with the terms of the Loan Documents, as the Lender may from time to time reasonably request. 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6.02(c)</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Schedule 9.02 hereto; or (ii) on which such documents are posted on the Borrower’s behalf on an Internet or intranet website, if any, to which the Lender has access (whether a commercial, third-party website or whether sponsored by the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notify the Lender (by telecopier or electronic mail) of the posting of any such documents and provide to the Lender by electronic mail electronic versions (</w:t>
      </w:r>
      <w:r>
        <w:rPr>
          <w:rFonts w:ascii="Arial" w:cs="Arial" w:eastAsia="Arial" w:hAnsi="Arial"/>
          <w:sz w:val="16"/>
          <w:szCs w:val="16"/>
          <w:u w:val="single" w:color="auto"/>
          <w:color w:val="auto"/>
        </w:rPr>
        <w:t>i.e.</w:t>
      </w:r>
      <w:r>
        <w:rPr>
          <w:rFonts w:ascii="Arial" w:cs="Arial" w:eastAsia="Arial" w:hAnsi="Arial"/>
          <w:sz w:val="16"/>
          <w:szCs w:val="16"/>
          <w:color w:val="auto"/>
        </w:rPr>
        <w:t>, soft copies) of such documents. The Lender shall have no obligation to request the delivery or to maintain copies of the documents referred to above, and in any event shall have no responsibility to monitor compliance by the Loan Parties with any such request for delivery; [</w:t>
      </w:r>
      <w:r>
        <w:rPr>
          <w:rFonts w:ascii="Arial" w:cs="Arial" w:eastAsia="Arial" w:hAnsi="Arial"/>
          <w:sz w:val="16"/>
          <w:szCs w:val="16"/>
          <w:color w:val="FF0000"/>
          <w:strike w:val="1"/>
        </w:rPr>
        <w:t>and</w:t>
      </w:r>
      <w:r>
        <w:rPr>
          <w:rFonts w:ascii="Arial" w:cs="Arial" w:eastAsia="Arial" w:hAnsi="Arial"/>
          <w:sz w:val="16"/>
          <w:szCs w:val="16"/>
          <w:color w:val="auto"/>
        </w:rPr>
        <w:t>]</w:t>
      </w:r>
    </w:p>
    <w:p>
      <w:pPr>
        <w:spacing w:after="0" w:line="16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96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6" w:name="page117"/>
    <w:bookmarkEnd w:id="116"/>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4"/>
        <w:spacing w:after="0" w:line="263" w:lineRule="auto"/>
        <w:tabs>
          <w:tab w:leader="none" w:pos="151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promptly following any request therefor, information and documentation reasonably requested by the Lender for purposes of compliance with applicable “know your customer” and anti-money-laundering [</w:t>
      </w:r>
      <w:r>
        <w:rPr>
          <w:rFonts w:ascii="Arial" w:cs="Arial" w:eastAsia="Arial" w:hAnsi="Arial"/>
          <w:sz w:val="18"/>
          <w:szCs w:val="18"/>
          <w:color w:val="FF0000"/>
          <w:strike w:val="1"/>
        </w:rPr>
        <w:t>rules and regulations</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Laws</w:t>
      </w:r>
      <w:r>
        <w:rPr>
          <w:rFonts w:ascii="Arial" w:cs="Arial" w:eastAsia="Arial" w:hAnsi="Arial"/>
          <w:sz w:val="18"/>
          <w:szCs w:val="18"/>
          <w:color w:val="auto"/>
        </w:rPr>
        <w:t>, including, without limitation, the PATRIOT Act and the Beneficial Ownership Regulation[</w:t>
      </w:r>
      <w:r>
        <w:rPr>
          <w:rFonts w:ascii="Arial" w:cs="Arial" w:eastAsia="Arial" w:hAnsi="Arial"/>
          <w:sz w:val="18"/>
          <w:szCs w:val="18"/>
          <w:color w:val="FF0000"/>
          <w:strike w:val="1"/>
        </w:rPr>
        <w:t>.</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w:t>
      </w:r>
    </w:p>
    <w:p>
      <w:pPr>
        <w:spacing w:after="0" w:line="18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6"/>
          <w:szCs w:val="16"/>
          <w:b w:val="1"/>
          <w:bCs w:val="1"/>
          <w:color w:val="auto"/>
        </w:rPr>
        <w:t>Notices</w:t>
      </w:r>
      <w:r>
        <w:rPr>
          <w:rFonts w:ascii="Arial" w:cs="Arial" w:eastAsia="Arial" w:hAnsi="Arial"/>
          <w:sz w:val="16"/>
          <w:szCs w:val="16"/>
          <w:color w:val="auto"/>
        </w:rPr>
        <w:t>. Promptly notify the Lender:</w:t>
      </w:r>
    </w:p>
    <w:p>
      <w:pPr>
        <w:spacing w:after="0" w:line="229" w:lineRule="exact"/>
        <w:rPr>
          <w:sz w:val="20"/>
          <w:szCs w:val="20"/>
          <w:color w:val="auto"/>
        </w:rPr>
      </w:pPr>
    </w:p>
    <w:p>
      <w:pPr>
        <w:ind w:left="1420" w:hanging="776"/>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w:t>
      </w:r>
    </w:p>
    <w:p>
      <w:pPr>
        <w:spacing w:after="0" w:line="225" w:lineRule="exact"/>
        <w:rPr>
          <w:rFonts w:ascii="Arial" w:cs="Arial" w:eastAsia="Arial" w:hAnsi="Arial"/>
          <w:sz w:val="18"/>
          <w:szCs w:val="18"/>
          <w:color w:val="auto"/>
        </w:rPr>
      </w:pPr>
    </w:p>
    <w:p>
      <w:pPr>
        <w:ind w:left="1440" w:hanging="796"/>
        <w:spacing w:after="0"/>
        <w:tabs>
          <w:tab w:leader="none" w:pos="1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w:t>
      </w:r>
    </w:p>
    <w:p>
      <w:pPr>
        <w:spacing w:after="0" w:line="225" w:lineRule="exact"/>
        <w:rPr>
          <w:rFonts w:ascii="Arial" w:cs="Arial" w:eastAsia="Arial" w:hAnsi="Arial"/>
          <w:sz w:val="18"/>
          <w:szCs w:val="18"/>
          <w:color w:val="auto"/>
        </w:rPr>
      </w:pPr>
    </w:p>
    <w:p>
      <w:pPr>
        <w:ind w:firstLine="644"/>
        <w:spacing w:after="0" w:line="277" w:lineRule="auto"/>
        <w:tabs>
          <w:tab w:leader="none" w:pos="14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of any breach or non-performance of, or any default under, a Material Contract or with respect to Material Indebtedness of any Loan Party or 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thereof;</w:t>
      </w:r>
    </w:p>
    <w:p>
      <w:pPr>
        <w:spacing w:after="0" w:line="166" w:lineRule="exact"/>
        <w:rPr>
          <w:rFonts w:ascii="Arial" w:cs="Arial" w:eastAsia="Arial" w:hAnsi="Arial"/>
          <w:sz w:val="18"/>
          <w:szCs w:val="18"/>
          <w:color w:val="auto"/>
        </w:rPr>
      </w:pPr>
    </w:p>
    <w:p>
      <w:pPr>
        <w:jc w:val="both"/>
        <w:ind w:firstLine="644"/>
        <w:spacing w:after="0" w:line="289" w:lineRule="auto"/>
        <w:tabs>
          <w:tab w:leader="none" w:pos="172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of any </w:t>
      </w:r>
      <w:r>
        <w:rPr>
          <w:rFonts w:ascii="Arial" w:cs="Arial" w:eastAsia="Arial" w:hAnsi="Arial"/>
          <w:sz w:val="17"/>
          <w:szCs w:val="17"/>
          <w:b w:val="1"/>
          <w:bCs w:val="1"/>
          <w:u w:val="single" w:color="auto"/>
          <w:color w:val="0000FF"/>
        </w:rPr>
        <w:t>material</w:t>
      </w:r>
      <w:r>
        <w:rPr>
          <w:rFonts w:ascii="Arial" w:cs="Arial" w:eastAsia="Arial" w:hAnsi="Arial"/>
          <w:sz w:val="17"/>
          <w:szCs w:val="17"/>
          <w:color w:val="auto"/>
        </w:rPr>
        <w:t xml:space="preserve"> dispute, litigation, investigation, proceeding or suspension between any Loan Party or any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thereof and any Governmental Authority; or the commencement of, or any material development in, any litigation or proceeding affecting any Loan Party or any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thereof, including pursuant to any applicable Environmental Laws;</w:t>
      </w:r>
    </w:p>
    <w:p>
      <w:pPr>
        <w:spacing w:after="0" w:line="161" w:lineRule="exact"/>
        <w:rPr>
          <w:rFonts w:ascii="Arial" w:cs="Arial" w:eastAsia="Arial" w:hAnsi="Arial"/>
          <w:sz w:val="17"/>
          <w:szCs w:val="17"/>
          <w:color w:val="auto"/>
        </w:rPr>
      </w:pPr>
    </w:p>
    <w:p>
      <w:pPr>
        <w:ind w:left="1420" w:hanging="776"/>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 the occurrence of any ERISA Event;</w:t>
      </w:r>
    </w:p>
    <w:p>
      <w:pPr>
        <w:spacing w:after="0" w:line="221" w:lineRule="exact"/>
        <w:rPr>
          <w:rFonts w:ascii="Arial" w:cs="Arial" w:eastAsia="Arial" w:hAnsi="Arial"/>
          <w:sz w:val="18"/>
          <w:szCs w:val="18"/>
          <w:color w:val="auto"/>
        </w:rPr>
      </w:pPr>
    </w:p>
    <w:p>
      <w:pPr>
        <w:ind w:left="1440" w:hanging="796"/>
        <w:spacing w:after="0"/>
        <w:tabs>
          <w:tab w:leader="none" w:pos="14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of any material change in accounting policies or financial reporting practices by any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0" w:lineRule="exact"/>
        <w:rPr>
          <w:rFonts w:ascii="Arial" w:cs="Arial" w:eastAsia="Arial" w:hAnsi="Arial"/>
          <w:sz w:val="16"/>
          <w:szCs w:val="16"/>
          <w:color w:val="auto"/>
        </w:rPr>
      </w:pPr>
    </w:p>
    <w:p>
      <w:pPr>
        <w:ind w:left="1400" w:hanging="756"/>
        <w:spacing w:after="0"/>
        <w:tabs>
          <w:tab w:leader="none" w:pos="14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 any change in any Loan Party’s senior executive officers;</w:t>
      </w:r>
    </w:p>
    <w:p>
      <w:pPr>
        <w:spacing w:after="0" w:line="225" w:lineRule="exact"/>
        <w:rPr>
          <w:rFonts w:ascii="Arial" w:cs="Arial" w:eastAsia="Arial" w:hAnsi="Arial"/>
          <w:sz w:val="18"/>
          <w:szCs w:val="18"/>
          <w:color w:val="auto"/>
        </w:rPr>
      </w:pPr>
    </w:p>
    <w:p>
      <w:pPr>
        <w:ind w:firstLine="644"/>
        <w:spacing w:after="0" w:line="277" w:lineRule="auto"/>
        <w:tabs>
          <w:tab w:leader="none" w:pos="145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 the discharge by any Loan Party of its present Registered Public Accounting Firm or any withdrawal or resignation by such Registered Public Accounting Firm;</w:t>
      </w:r>
    </w:p>
    <w:p>
      <w:pPr>
        <w:spacing w:after="0" w:line="170" w:lineRule="exact"/>
        <w:rPr>
          <w:rFonts w:ascii="Arial" w:cs="Arial" w:eastAsia="Arial" w:hAnsi="Arial"/>
          <w:sz w:val="18"/>
          <w:szCs w:val="18"/>
          <w:color w:val="auto"/>
        </w:rPr>
      </w:pPr>
    </w:p>
    <w:p>
      <w:pPr>
        <w:ind w:firstLine="644"/>
        <w:spacing w:after="0" w:line="277" w:lineRule="auto"/>
        <w:tabs>
          <w:tab w:leader="none" w:pos="154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 any collective bargaining agreement or other labor contract to which a Loan Party becomes a party, or the application for the certification of a collective bargaining agent;</w:t>
      </w:r>
    </w:p>
    <w:p>
      <w:pPr>
        <w:spacing w:after="0" w:line="1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97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2100" w:hanging="796"/>
        <w:spacing w:after="0"/>
        <w:tabs>
          <w:tab w:leader="none" w:pos="21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of the filing of any Lien for unpaid Taxes against any Loan Party;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3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of any casualty or other insured damage to any material portion of the Collateral or the commencement of any action or proceeding for the taking of any interest in a material portion of the Collateral under power of eminent domain or by condemnation or similar proceeding or if any material portion of the Collateral is damaged or destroyed;</w:t>
      </w:r>
    </w:p>
    <w:p>
      <w:pPr>
        <w:spacing w:after="0" w:line="183" w:lineRule="exact"/>
        <w:rPr>
          <w:rFonts w:ascii="Arial" w:cs="Arial" w:eastAsia="Arial" w:hAnsi="Arial"/>
          <w:sz w:val="18"/>
          <w:szCs w:val="18"/>
          <w:color w:val="auto"/>
        </w:rPr>
      </w:pPr>
    </w:p>
    <w:p>
      <w:pPr>
        <w:ind w:left="2100" w:hanging="796"/>
        <w:spacing w:after="0"/>
        <w:tabs>
          <w:tab w:leader="none" w:pos="21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of any transaction of the nature prohibited or restricted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occurring after the Closing Date, and</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2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of any failure by any Loan Party to pay rent at (i) any of the Loan Parties’ distribution centers or warehouses or (ii) any of such Loan Party’s locations if such failure continues for more than ten (10) days following the day on which such rent first came due and such failure would be reasonably likely to result in a Material Adverse Effect.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notice pursuant to this Section shall be accompanied by a statement of a Responsible Officer of the Borrower setting forth details of the occurrence referred to therein and stating what action the Borrower has taken and proposes to take with respect thereto.</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6.04 Payment of Obligations. </w:t>
      </w:r>
      <w:r>
        <w:rPr>
          <w:rFonts w:ascii="Arial" w:cs="Arial" w:eastAsia="Arial" w:hAnsi="Arial"/>
          <w:sz w:val="16"/>
          <w:szCs w:val="16"/>
          <w:color w:val="auto"/>
        </w:rPr>
        <w:t>Pay and discharge as the same shall become due and payable, all its obligations and liabilities, including (a)</w:t>
      </w:r>
      <w:r>
        <w:rPr>
          <w:rFonts w:ascii="Arial" w:cs="Arial" w:eastAsia="Arial" w:hAnsi="Arial"/>
          <w:sz w:val="16"/>
          <w:szCs w:val="16"/>
          <w:b w:val="1"/>
          <w:bCs w:val="1"/>
          <w:color w:val="auto"/>
        </w:rPr>
        <w:t xml:space="preserve"> </w:t>
      </w:r>
      <w:r>
        <w:rPr>
          <w:rFonts w:ascii="Arial" w:cs="Arial" w:eastAsia="Arial" w:hAnsi="Arial"/>
          <w:sz w:val="16"/>
          <w:szCs w:val="16"/>
          <w:color w:val="auto"/>
        </w:rPr>
        <w:t>all tax liabilities, assessments and governmental charges or levies upon it or its properties or assets, (b) all lawful claims (including, without limitation, claims of landlords, warehousemen, customs brokers, freight forwarders, consolidators, and carriers) which, if unpaid, would by Law become a Lien upon its property, and (c) all Material Indebtedness, as and when due and payable, but subject to any subordination provisions contained in any instrument or agreement evidencing such Indebtedness, except, in each case, where (a) the validity or amount thereof is being contested in good faith by appropriate proceedings, (b) such Loan Party has set aside on its books adequate reserves with respect thereto in accordance with GAAP, (c) such contest effectively suspends collection of the contested obligation and enforcement of any Lien securing such obligation, (d) no Lien has been filed with respect thereto and</w:t>
      </w:r>
    </w:p>
    <w:p>
      <w:pPr>
        <w:spacing w:after="0" w:line="1" w:lineRule="exact"/>
        <w:rPr>
          <w:sz w:val="20"/>
          <w:szCs w:val="20"/>
          <w:color w:val="auto"/>
        </w:rPr>
      </w:pPr>
    </w:p>
    <w:p>
      <w:pPr>
        <w:ind w:firstLine="8"/>
        <w:spacing w:after="0" w:line="260" w:lineRule="auto"/>
        <w:tabs>
          <w:tab w:leader="none" w:pos="25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failure to make payment pending such contest could not reasonably be expected to result in a Material Adverse Effect. Nothing contained herein shall be deemed to limit the rights of the Lender with respect to determining Reserves pursuant to this Agreement.</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6.05 Preservation of Existence, Etc. </w:t>
      </w:r>
      <w:r>
        <w:rPr>
          <w:rFonts w:ascii="Arial" w:cs="Arial" w:eastAsia="Arial" w:hAnsi="Arial"/>
          <w:sz w:val="18"/>
          <w:szCs w:val="18"/>
          <w:color w:val="auto"/>
        </w:rPr>
        <w:t>(a) Preserve, renew and maintain in full force and effect its legal existence and good standing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Laws of the jurisdiction of its organization or formation except in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(b) take all reasonable action to maintain all rights, privileges, permits, licenses and franchises necessary[ </w:t>
      </w:r>
      <w:r>
        <w:rPr>
          <w:rFonts w:ascii="Arial" w:cs="Arial" w:eastAsia="Arial" w:hAnsi="Arial"/>
          <w:sz w:val="18"/>
          <w:szCs w:val="18"/>
          <w:color w:val="FF0000"/>
          <w:strike w:val="1"/>
        </w:rPr>
        <w:t>or desirable</w:t>
      </w:r>
      <w:r>
        <w:rPr>
          <w:rFonts w:ascii="Arial" w:cs="Arial" w:eastAsia="Arial" w:hAnsi="Arial"/>
          <w:sz w:val="18"/>
          <w:szCs w:val="18"/>
          <w:color w:val="auto"/>
        </w:rPr>
        <w:t>] in the normal conduct of its business, except to the extent that failure to do so could not reasonably be expected to have a Material Adverse Effect; and (c) preserve or renew all of its Intellectual Property, except to the extent [</w:t>
      </w:r>
      <w:r>
        <w:rPr>
          <w:rFonts w:ascii="Arial" w:cs="Arial" w:eastAsia="Arial" w:hAnsi="Arial"/>
          <w:sz w:val="18"/>
          <w:szCs w:val="18"/>
          <w:color w:val="FF0000"/>
          <w:strike w:val="1"/>
        </w:rPr>
        <w:t>such</w:t>
      </w:r>
      <w:r>
        <w:rPr>
          <w:rFonts w:ascii="Arial" w:cs="Arial" w:eastAsia="Arial" w:hAnsi="Arial"/>
          <w:sz w:val="18"/>
          <w:szCs w:val="18"/>
          <w:color w:val="auto"/>
        </w:rPr>
        <w:t xml:space="preserve"> </w:t>
      </w:r>
      <w:r>
        <w:rPr>
          <w:rFonts w:ascii="Arial" w:cs="Arial" w:eastAsia="Arial" w:hAnsi="Arial"/>
          <w:sz w:val="18"/>
          <w:szCs w:val="18"/>
          <w:color w:val="FF0000"/>
          <w:strike w:val="1"/>
        </w:rPr>
        <w:t>Intellectual Property is no longer used or useful in the conduct of the business of the Loan Parties</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that failure to do so could not reasonably be expected</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rPr>
        <w:t>to have a Material Adverse Effect</w:t>
      </w:r>
      <w:r>
        <w:rPr>
          <w:rFonts w:ascii="Arial" w:cs="Arial" w:eastAsia="Arial" w:hAnsi="Arial"/>
          <w:sz w:val="18"/>
          <w:szCs w:val="18"/>
          <w:color w:val="000000"/>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98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76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color w:val="FF0000"/>
          <w:strike w:val="1"/>
        </w:rPr>
        <w:t>Page</w:t>
      </w:r>
      <w:r>
        <w:rPr>
          <w:rFonts w:ascii="Arial" w:cs="Arial" w:eastAsia="Arial" w:hAnsi="Arial"/>
          <w:sz w:val="15"/>
          <w:szCs w:val="15"/>
          <w:b w:val="1"/>
          <w:bCs w:val="1"/>
          <w:color w:val="auto"/>
        </w:rPr>
        <w:t>]</w:t>
      </w:r>
    </w:p>
    <w:p>
      <w:pPr>
        <w:spacing w:after="0" w:line="2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6.06 Maintenance of Properties. </w:t>
      </w:r>
      <w:r>
        <w:rPr>
          <w:rFonts w:ascii="Arial" w:cs="Arial" w:eastAsia="Arial" w:hAnsi="Arial"/>
          <w:sz w:val="17"/>
          <w:szCs w:val="17"/>
          <w:color w:val="auto"/>
        </w:rPr>
        <w:t>(a) Maintain, preserve and protect all of its material properties and equipment necessary in the operation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spacing w:after="0" w:line="15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6.07 Maintenance of Insurance. </w:t>
      </w:r>
      <w:r>
        <w:rPr>
          <w:rFonts w:ascii="Arial" w:cs="Arial" w:eastAsia="Arial" w:hAnsi="Arial"/>
          <w:sz w:val="17"/>
          <w:szCs w:val="17"/>
          <w:color w:val="auto"/>
        </w:rPr>
        <w:t>Maintain with financially sound and reputable insurance companies reasonably acceptable to the Lender</w:t>
      </w:r>
      <w:r>
        <w:rPr>
          <w:rFonts w:ascii="Arial" w:cs="Arial" w:eastAsia="Arial" w:hAnsi="Arial"/>
          <w:sz w:val="17"/>
          <w:szCs w:val="17"/>
          <w:b w:val="1"/>
          <w:bCs w:val="1"/>
          <w:color w:val="auto"/>
        </w:rPr>
        <w:t xml:space="preserve"> </w:t>
      </w:r>
      <w:r>
        <w:rPr>
          <w:rFonts w:ascii="Arial" w:cs="Arial" w:eastAsia="Arial" w:hAnsi="Arial"/>
          <w:sz w:val="17"/>
          <w:szCs w:val="17"/>
          <w:color w:val="auto"/>
        </w:rPr>
        <w:t>not Affiliates of the Loan Parties, insurance with respect to its properties and business against loss or damage of the kinds customarily insured against by Persons engaged in the same or similar business and operating in the same or similar locations or as is required by Law, of such types and in such amounts as are customarily carried under similar circumstances by such other Persons and as are reasonably acceptable to the Lender.</w:t>
      </w:r>
    </w:p>
    <w:p>
      <w:pPr>
        <w:spacing w:after="0" w:line="165" w:lineRule="exact"/>
        <w:rPr>
          <w:sz w:val="20"/>
          <w:szCs w:val="20"/>
          <w:color w:val="auto"/>
        </w:rPr>
      </w:pPr>
    </w:p>
    <w:p>
      <w:pPr>
        <w:jc w:val="both"/>
        <w:ind w:left="660" w:firstLine="644"/>
        <w:spacing w:after="0" w:line="281" w:lineRule="auto"/>
        <w:tabs>
          <w:tab w:leader="none" w:pos="2173"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Maintain for themselves and their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a Directors and Officers insurance policy, and a “Blanket Crime” policy including employee dishonesty, forgery or alteration, theft, disappearance and destruction, robbery and safe burglary, property, and computer fraud coverage with responsible companies in such amounts as are customarily carried by business entities engaged in similar businesses similarly situated, and upon request by the Lender furnish the Lender certificates evidencing renewal of each such policy.</w:t>
      </w:r>
    </w:p>
    <w:p>
      <w:pPr>
        <w:spacing w:after="0" w:line="168" w:lineRule="exact"/>
        <w:rPr>
          <w:rFonts w:ascii="Arial" w:cs="Arial" w:eastAsia="Arial" w:hAnsi="Arial"/>
          <w:sz w:val="17"/>
          <w:szCs w:val="17"/>
          <w:color w:val="auto"/>
        </w:rPr>
      </w:pPr>
    </w:p>
    <w:p>
      <w:pPr>
        <w:jc w:val="both"/>
        <w:ind w:left="660" w:firstLine="644"/>
        <w:spacing w:after="0" w:line="287" w:lineRule="auto"/>
        <w:tabs>
          <w:tab w:leader="none" w:pos="217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Cause fire and extended coverage policies maintained with respect to any Collateral to be endorsed or otherwise amended to include (i) lenders’ loss payable clause (regarding personal property), in form and substance satisfactory to the Lender, which endorsements or amendments shall provide that the insurer shall pay all proceeds otherwise payable to the Loan Parties under the policies directly to the Lender,</w:t>
      </w:r>
    </w:p>
    <w:p>
      <w:pPr>
        <w:spacing w:after="0" w:line="2" w:lineRule="exact"/>
        <w:rPr>
          <w:rFonts w:ascii="Arial" w:cs="Arial" w:eastAsia="Arial" w:hAnsi="Arial"/>
          <w:sz w:val="16"/>
          <w:szCs w:val="16"/>
          <w:color w:val="auto"/>
        </w:rPr>
      </w:pPr>
    </w:p>
    <w:p>
      <w:pPr>
        <w:ind w:left="660" w:hanging="4"/>
        <w:spacing w:after="0" w:line="260" w:lineRule="auto"/>
        <w:tabs>
          <w:tab w:leader="none" w:pos="92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provision to the effect that none of the Loan Parties, Credit Parties or any other Person shall be a co-insurer and (iii) such other provisions as the Lender may reasonably require from time to time to protect the interests of the Credit Parties.</w:t>
      </w:r>
    </w:p>
    <w:p>
      <w:pPr>
        <w:spacing w:after="0" w:line="185" w:lineRule="exact"/>
        <w:rPr>
          <w:rFonts w:ascii="Arial" w:cs="Arial" w:eastAsia="Arial" w:hAnsi="Arial"/>
          <w:sz w:val="18"/>
          <w:szCs w:val="18"/>
          <w:color w:val="auto"/>
        </w:rPr>
      </w:pPr>
    </w:p>
    <w:p>
      <w:pPr>
        <w:ind w:left="2080" w:hanging="776"/>
        <w:spacing w:after="0"/>
        <w:tabs>
          <w:tab w:leader="none" w:pos="2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Cause commercial general liability policies to be endorsed to name the Lender as an additional insured.</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2332" w:val="left"/>
        </w:tabs>
        <w:numPr>
          <w:ilvl w:val="1"/>
          <w:numId w:val="125"/>
        </w:numPr>
        <w:rPr>
          <w:rFonts w:ascii="Arial" w:cs="Arial" w:eastAsia="Arial" w:hAnsi="Arial"/>
          <w:sz w:val="17"/>
          <w:szCs w:val="17"/>
          <w:color w:val="auto"/>
        </w:rPr>
      </w:pPr>
      <w:r>
        <w:rPr>
          <w:rFonts w:ascii="Arial" w:cs="Arial" w:eastAsia="Arial" w:hAnsi="Arial"/>
          <w:sz w:val="17"/>
          <w:szCs w:val="17"/>
          <w:color w:val="auto"/>
        </w:rPr>
        <w:t>Cause business interruption policies to name the Lender as a loss payee and to be endorsed or amended to include (i) a provision that, from and after the Closing Date, the insurer shall pay all proceeds otherwise payable to the Loan Parties under the policies directly to the Lender, (ii) a provision to the effect that none of the Loan Parties, the Lender or any other party shall be a co-insurer and (iii) such other provisions as the Lender may reasonably require from time to time to protect the interests of the Credit Parties.</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209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Cause each such policy referred to in this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to also provide that it shall not be canceled, modified or not renewed (i) by reason of nonpayment of premium except upon not less than ten (10) days’ prior written notice thereof by the insurer to the Lender (giving the Lender the right to cure defaults in the payment of premiums) or (ii) for any other reason except upon not less than thirty (30) days’ prior written notice thereof by the insurer to the Lender.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99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660" w:firstLine="644"/>
        <w:spacing w:after="0" w:line="263" w:lineRule="auto"/>
        <w:tabs>
          <w:tab w:leader="none" w:pos="236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Deliver to the Lender, prior to the cancellation, modification or non-renewal of any such policy of insurance, a copy of a renewal or replacement policy (or other evidence of renewal of a policy previously delivered to the Lender, including an insurance binder) together with evidence satisfactory to the Lender of payment of the premium therefor.</w:t>
      </w:r>
    </w:p>
    <w:p>
      <w:pPr>
        <w:spacing w:after="0" w:line="183" w:lineRule="exact"/>
        <w:rPr>
          <w:rFonts w:ascii="Arial" w:cs="Arial" w:eastAsia="Arial" w:hAnsi="Arial"/>
          <w:sz w:val="18"/>
          <w:szCs w:val="18"/>
          <w:color w:val="auto"/>
        </w:rPr>
      </w:pPr>
    </w:p>
    <w:p>
      <w:pPr>
        <w:ind w:left="660" w:firstLine="644"/>
        <w:spacing w:after="0" w:line="277" w:lineRule="auto"/>
        <w:tabs>
          <w:tab w:leader="none" w:pos="22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Permit any representatives that are designated by the Lender to inspect the insurance policies maintained by or on behalf of the Loan Parties and to inspect books and records related thereto and any properties covered thereby.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Notwithstanding the foregoing, unless a Cash Dominion Event has occurred and is continuing the Lender shall remit to the Borrower any casualty insurance proceeds it receives pursuant to </w:t>
      </w:r>
      <w:r>
        <w:rPr>
          <w:rFonts w:ascii="Arial" w:cs="Arial" w:eastAsia="Arial" w:hAnsi="Arial"/>
          <w:sz w:val="17"/>
          <w:szCs w:val="17"/>
          <w:u w:val="single" w:color="auto"/>
          <w:color w:val="auto"/>
        </w:rPr>
        <w:t>Section 6.07(c)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None of the Credit Parties, or their agents or employees shall be liable for any loss or damage insured by the insurance policies required to be maintained under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Each Loan Party shall look solely to its insurance companies or any other parties other than the Credit Parties for the recovery of such loss or damage and such insurance companies shall have no rights of subrogation against any Credit Party or its agents or employees. If, however, the insurance policies do not provide waiver of subrogation rights against such parties, as required above, then the Loan Parties hereby agree, to the extent permitted by law, to waive their right of recovery, if any, against the Credit Parties and their agents and employees. The designation of any form, type or amount of insurance coverage by any Credit Party under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shall in no event be deemed a representation, warranty or advice by such Credit Party that such insurance is adequate for the purposes of the business of the Loan Parties or the protection of their properties.</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6.08 Compliance with Laws. </w:t>
      </w:r>
      <w:r>
        <w:rPr>
          <w:rFonts w:ascii="Arial" w:cs="Arial" w:eastAsia="Arial" w:hAnsi="Arial"/>
          <w:sz w:val="18"/>
          <w:szCs w:val="18"/>
          <w:color w:val="auto"/>
        </w:rPr>
        <w:t>Comply in all material respects with the requirements of all Laws and all orders, writs, injunctions and decrees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it or to its business or property, except in such instances in which (a) such requirement of Law or order, writ, injunction or decree is being contested in good faith by appropriate proceedings diligently conducted and with respect to which adequate reserves have been set aside and maintained by the Loan Parties in accordance with GAAP; (b) such contest effectively suspends enforcement of the contested Laws, and (c) the failure to comply therewith could not reasonably be expected to have a Material Adverse Effect.</w:t>
      </w:r>
    </w:p>
    <w:p>
      <w:pPr>
        <w:spacing w:after="0" w:line="18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6.09</w:t>
      </w:r>
      <w:r>
        <w:rPr>
          <w:sz w:val="20"/>
          <w:szCs w:val="20"/>
          <w:color w:val="auto"/>
        </w:rPr>
        <w:tab/>
      </w:r>
      <w:r>
        <w:rPr>
          <w:rFonts w:ascii="Arial" w:cs="Arial" w:eastAsia="Arial" w:hAnsi="Arial"/>
          <w:sz w:val="15"/>
          <w:szCs w:val="15"/>
          <w:b w:val="1"/>
          <w:bCs w:val="1"/>
          <w:color w:val="auto"/>
        </w:rPr>
        <w:t>Books and Records; Accountants</w:t>
      </w:r>
      <w:r>
        <w:rPr>
          <w:rFonts w:ascii="Arial" w:cs="Arial" w:eastAsia="Arial" w:hAnsi="Arial"/>
          <w:sz w:val="15"/>
          <w:szCs w:val="15"/>
          <w:color w:val="auto"/>
        </w:rPr>
        <w:t>.</w:t>
      </w:r>
    </w:p>
    <w:p>
      <w:pPr>
        <w:spacing w:after="0" w:line="229" w:lineRule="exact"/>
        <w:rPr>
          <w:sz w:val="20"/>
          <w:szCs w:val="20"/>
          <w:color w:val="auto"/>
        </w:rPr>
      </w:pPr>
    </w:p>
    <w:p>
      <w:pPr>
        <w:jc w:val="both"/>
        <w:ind w:left="660" w:firstLine="644"/>
        <w:spacing w:after="0" w:line="279" w:lineRule="auto"/>
        <w:tabs>
          <w:tab w:leader="none" w:pos="2182"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Maintain (i) proper books of record and account, in which full, true and correct entries in conformity with GAAP consistently applied shall be made of all financial transactions and matters involving the assets and business of the Loan Parties or such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as the case may be; and (ii) such books of record and account in material conformity with all applicable requirements of any Governmental Authority having regulatory jurisdiction over the Loan Parties or such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as the case may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100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4"/>
        <w:spacing w:after="0" w:line="259" w:lineRule="auto"/>
        <w:tabs>
          <w:tab w:leader="none" w:pos="172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 all times retain a Registered Public Accounting Firm which is reasonably satisfactory to the Lender and instruct such Registered Public Accounting Firm to cooperate with, and be available to, the Lender or its representatives to discuss the Loan Parties’ financial performance, financial condition, operating results, controls, and such other matters, within the scope of the retention of such Registered Public Accounting Firm, as may be raised by the Lender.</w:t>
      </w:r>
    </w:p>
    <w:p>
      <w:pPr>
        <w:spacing w:after="0" w:line="18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color w:val="auto"/>
        </w:rPr>
        <w:t>Inspection Rights</w:t>
      </w:r>
      <w:r>
        <w:rPr>
          <w:rFonts w:ascii="Arial" w:cs="Arial" w:eastAsia="Arial" w:hAnsi="Arial"/>
          <w:sz w:val="16"/>
          <w:szCs w:val="16"/>
          <w:color w:val="auto"/>
        </w:rPr>
        <w:t>.</w:t>
      </w:r>
    </w:p>
    <w:p>
      <w:pPr>
        <w:spacing w:after="0" w:line="229" w:lineRule="exact"/>
        <w:rPr>
          <w:sz w:val="20"/>
          <w:szCs w:val="20"/>
          <w:color w:val="auto"/>
        </w:rPr>
      </w:pPr>
    </w:p>
    <w:p>
      <w:pPr>
        <w:jc w:val="both"/>
        <w:ind w:firstLine="644"/>
        <w:spacing w:after="0" w:line="273" w:lineRule="auto"/>
        <w:tabs>
          <w:tab w:leader="none" w:pos="169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Permit representatives and independent contractors of the Lender to visit and inspect any of its properties, to examine its corporate, financial and operating records, and make copies thereof or abstracts therefrom, and to discuss its affairs, finances and accounts with its directors, officers, and Registered Public Accounting Firm, all at the expense of the Loan Parties and at such reasonable times during normal business hours and as often as may be reasonably desired, upon reasonable advance notice to the Borrower; provided, however, that when a Default or an Event of Default exists the Lender (or any of its representatives or independent contractors) may do any of the foregoing at the expense of the Loan Parties at any time during normal business hours and without advance notice.</w:t>
      </w:r>
    </w:p>
    <w:p>
      <w:pPr>
        <w:spacing w:after="0" w:line="177" w:lineRule="exact"/>
        <w:rPr>
          <w:rFonts w:ascii="Arial" w:cs="Arial" w:eastAsia="Arial" w:hAnsi="Arial"/>
          <w:sz w:val="17"/>
          <w:szCs w:val="17"/>
          <w:color w:val="auto"/>
        </w:rPr>
      </w:pPr>
    </w:p>
    <w:p>
      <w:pPr>
        <w:jc w:val="both"/>
        <w:ind w:firstLine="644"/>
        <w:spacing w:after="0" w:line="267" w:lineRule="auto"/>
        <w:tabs>
          <w:tab w:leader="none" w:pos="178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Upon the request of the Lender after reasonable prior notice, permit the Lender or professionals (including investment bankers, consultants, accountants, and lawyers) retained by the Lender to conduct commercial finance examinations</w:t>
      </w:r>
      <w:r>
        <w:rPr>
          <w:rFonts w:ascii="Arial" w:cs="Arial" w:eastAsia="Arial" w:hAnsi="Arial"/>
          <w:sz w:val="17"/>
          <w:szCs w:val="17"/>
          <w:b w:val="1"/>
          <w:bCs w:val="1"/>
          <w:u w:val="single" w:color="auto"/>
          <w:color w:val="0000FF"/>
        </w:rPr>
        <w:t>, appraisals</w:t>
      </w:r>
      <w:r>
        <w:rPr>
          <w:rFonts w:ascii="Arial" w:cs="Arial" w:eastAsia="Arial" w:hAnsi="Arial"/>
          <w:sz w:val="17"/>
          <w:szCs w:val="17"/>
          <w:color w:val="auto"/>
        </w:rPr>
        <w:t xml:space="preserve"> and other evaluations, including, without limitation, of (i) the Borrower’s practices in the computation of the Borrowing Base (ii) the assets included in the Borrowing Base and related financial information such as, but not limited to, sales, gross margins, payables, accruals and reserves, and (iii) the Loan Parties’ business plan, forecasts and cash flows[</w:t>
      </w:r>
      <w:r>
        <w:rPr>
          <w:rFonts w:ascii="Arial" w:cs="Arial" w:eastAsia="Arial" w:hAnsi="Arial"/>
          <w:sz w:val="17"/>
          <w:szCs w:val="17"/>
          <w:color w:val="FF0000"/>
          <w:strike w:val="1"/>
        </w:rPr>
        <w:t>. The Loan Parties acknowledge that the Lender may, in its discretion, undertake</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 provided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that (A) no commercial finance examinations or appraisals shall be required at any time if during the twelve month period prior to such time (x) the Outstanding Amount of all Loans equaled $0 at all times during such period and (y) the L/C Obligations were less than $5,000,000 at all times during such period, (B)</w:t>
      </w:r>
      <w:r>
        <w:rPr>
          <w:rFonts w:ascii="Arial" w:cs="Arial" w:eastAsia="Arial" w:hAnsi="Arial"/>
          <w:sz w:val="17"/>
          <w:szCs w:val="17"/>
          <w:b w:val="1"/>
          <w:bCs w:val="1"/>
          <w:color w:val="0000FF"/>
        </w:rPr>
        <w:t xml:space="preserve"> </w:t>
      </w:r>
      <w:r>
        <w:rPr>
          <w:rFonts w:ascii="Arial" w:cs="Arial" w:eastAsia="Arial" w:hAnsi="Arial"/>
          <w:sz w:val="17"/>
          <w:szCs w:val="17"/>
          <w:color w:val="000000"/>
        </w:rPr>
        <w:t>up to one (1) commercial finance examination</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and one (1) appraisal</w:t>
      </w:r>
      <w:r>
        <w:rPr>
          <w:rFonts w:ascii="Arial" w:cs="Arial" w:eastAsia="Arial" w:hAnsi="Arial"/>
          <w:sz w:val="17"/>
          <w:szCs w:val="17"/>
          <w:b w:val="1"/>
          <w:bCs w:val="1"/>
          <w:color w:val="0000FF"/>
        </w:rPr>
        <w:t xml:space="preserve"> </w:t>
      </w:r>
      <w:r>
        <w:rPr>
          <w:rFonts w:ascii="Arial" w:cs="Arial" w:eastAsia="Arial" w:hAnsi="Arial"/>
          <w:sz w:val="17"/>
          <w:szCs w:val="17"/>
          <w:color w:val="000000"/>
        </w:rPr>
        <w:t>in each twelve (12) month</w:t>
      </w:r>
      <w:r>
        <w:rPr>
          <w:rFonts w:ascii="Arial" w:cs="Arial" w:eastAsia="Arial" w:hAnsi="Arial"/>
          <w:sz w:val="17"/>
          <w:szCs w:val="17"/>
          <w:b w:val="1"/>
          <w:bCs w:val="1"/>
          <w:color w:val="0000FF"/>
        </w:rPr>
        <w:t xml:space="preserve"> </w:t>
      </w:r>
      <w:r>
        <w:rPr>
          <w:rFonts w:ascii="Arial" w:cs="Arial" w:eastAsia="Arial" w:hAnsi="Arial"/>
          <w:sz w:val="17"/>
          <w:szCs w:val="17"/>
          <w:color w:val="000000"/>
        </w:rPr>
        <w:t>period at the Loan Parties’ expense[</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000000"/>
        </w:rPr>
        <w:t xml:space="preserve"> </w:t>
      </w:r>
      <w:r>
        <w:rPr>
          <w:rFonts w:ascii="Arial" w:cs="Arial" w:eastAsia="Arial" w:hAnsi="Arial"/>
          <w:sz w:val="17"/>
          <w:szCs w:val="17"/>
          <w:color w:val="FF0000"/>
          <w:strike w:val="1"/>
        </w:rPr>
        <w:t>that</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shall be required in the Lender’s discretion if at any time during the twelve month</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period prior to such commercial field examination (x) the Outstanding Amount of all Loans were greater than $0 or (y) the L/C Obligations were greater than or equal to $5,000,000, (C)</w:t>
      </w:r>
      <w:r>
        <w:rPr>
          <w:rFonts w:ascii="Arial" w:cs="Arial" w:eastAsia="Arial" w:hAnsi="Arial"/>
          <w:sz w:val="17"/>
          <w:szCs w:val="17"/>
          <w:b w:val="1"/>
          <w:bCs w:val="1"/>
          <w:color w:val="0000FF"/>
        </w:rPr>
        <w:t xml:space="preserve"> </w:t>
      </w:r>
      <w:r>
        <w:rPr>
          <w:rFonts w:ascii="Arial" w:cs="Arial" w:eastAsia="Arial" w:hAnsi="Arial"/>
          <w:sz w:val="17"/>
          <w:szCs w:val="17"/>
          <w:color w:val="000000"/>
        </w:rPr>
        <w:t>in the event that [</w:t>
      </w:r>
      <w:r>
        <w:rPr>
          <w:rFonts w:ascii="Arial" w:cs="Arial" w:eastAsia="Arial" w:hAnsi="Arial"/>
          <w:sz w:val="17"/>
          <w:szCs w:val="17"/>
          <w:color w:val="FF0000"/>
          <w:strike w:val="1"/>
        </w:rPr>
        <w:t>the</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at any time</w:t>
      </w:r>
      <w:r>
        <w:rPr>
          <w:rFonts w:ascii="Arial" w:cs="Arial" w:eastAsia="Arial" w:hAnsi="Arial"/>
          <w:sz w:val="17"/>
          <w:szCs w:val="17"/>
          <w:b w:val="1"/>
          <w:bCs w:val="1"/>
          <w:color w:val="0000FF"/>
        </w:rPr>
        <w:t xml:space="preserve"> </w:t>
      </w:r>
      <w:r>
        <w:rPr>
          <w:rFonts w:ascii="Arial" w:cs="Arial" w:eastAsia="Arial" w:hAnsi="Arial"/>
          <w:sz w:val="17"/>
          <w:szCs w:val="17"/>
          <w:color w:val="000000"/>
        </w:rPr>
        <w:t>Availability is less than [</w:t>
      </w:r>
      <w:r>
        <w:rPr>
          <w:rFonts w:ascii="Arial" w:cs="Arial" w:eastAsia="Arial" w:hAnsi="Arial"/>
          <w:sz w:val="17"/>
          <w:szCs w:val="17"/>
          <w:color w:val="FF0000"/>
          <w:strike w:val="1"/>
        </w:rPr>
        <w:t>thirty</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the greater of (i)</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twenty</w:t>
      </w:r>
      <w:r>
        <w:rPr>
          <w:rFonts w:ascii="Arial" w:cs="Arial" w:eastAsia="Arial" w:hAnsi="Arial"/>
          <w:sz w:val="17"/>
          <w:szCs w:val="17"/>
          <w:b w:val="1"/>
          <w:bCs w:val="1"/>
          <w:color w:val="0000FF"/>
        </w:rPr>
        <w:t xml:space="preserve"> </w:t>
      </w:r>
      <w:r>
        <w:rPr>
          <w:rFonts w:ascii="Arial" w:cs="Arial" w:eastAsia="Arial" w:hAnsi="Arial"/>
          <w:sz w:val="17"/>
          <w:szCs w:val="17"/>
          <w:color w:val="000000"/>
        </w:rPr>
        <w:t>percent ([</w:t>
      </w:r>
      <w:r>
        <w:rPr>
          <w:rFonts w:ascii="Arial" w:cs="Arial" w:eastAsia="Arial" w:hAnsi="Arial"/>
          <w:sz w:val="17"/>
          <w:szCs w:val="17"/>
          <w:color w:val="FF0000"/>
          <w:strike w:val="1"/>
        </w:rPr>
        <w:t>30</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20</w:t>
      </w:r>
      <w:r>
        <w:rPr>
          <w:rFonts w:ascii="Arial" w:cs="Arial" w:eastAsia="Arial" w:hAnsi="Arial"/>
          <w:sz w:val="17"/>
          <w:szCs w:val="17"/>
          <w:color w:val="000000"/>
        </w:rPr>
        <w:t>%) of the Loan Cap</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and (ii) $11,250,000, in the case of each of clauses (i) and (ii), for three (3) consecutive Business</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Days</w:t>
      </w:r>
      <w:r>
        <w:rPr>
          <w:rFonts w:ascii="Arial" w:cs="Arial" w:eastAsia="Arial" w:hAnsi="Arial"/>
          <w:sz w:val="17"/>
          <w:szCs w:val="17"/>
          <w:b w:val="1"/>
          <w:bCs w:val="1"/>
          <w:color w:val="0000FF"/>
        </w:rPr>
        <w:t xml:space="preserve"> </w:t>
      </w:r>
      <w:r>
        <w:rPr>
          <w:rFonts w:ascii="Arial" w:cs="Arial" w:eastAsia="Arial" w:hAnsi="Arial"/>
          <w:sz w:val="17"/>
          <w:szCs w:val="17"/>
          <w:color w:val="000000"/>
        </w:rPr>
        <w:t>(the “</w:t>
      </w:r>
      <w:r>
        <w:rPr>
          <w:rFonts w:ascii="Arial" w:cs="Arial" w:eastAsia="Arial" w:hAnsi="Arial"/>
          <w:sz w:val="17"/>
          <w:szCs w:val="17"/>
          <w:u w:val="single" w:color="auto"/>
          <w:color w:val="000000"/>
        </w:rPr>
        <w:t>Trigger Event</w:t>
      </w:r>
      <w:r>
        <w:rPr>
          <w:rFonts w:ascii="Arial" w:cs="Arial" w:eastAsia="Arial" w:hAnsi="Arial"/>
          <w:sz w:val="17"/>
          <w:szCs w:val="17"/>
          <w:color w:val="000000"/>
        </w:rPr>
        <w:t>”), then the Lender may, in its discretion, undertake up to two (2) commercial finance examinations</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and two (2)</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appraisals</w:t>
      </w:r>
      <w:r>
        <w:rPr>
          <w:rFonts w:ascii="Arial" w:cs="Arial" w:eastAsia="Arial" w:hAnsi="Arial"/>
          <w:sz w:val="17"/>
          <w:szCs w:val="17"/>
          <w:b w:val="1"/>
          <w:bCs w:val="1"/>
          <w:color w:val="0000FF"/>
        </w:rPr>
        <w:t xml:space="preserve"> </w:t>
      </w:r>
      <w:r>
        <w:rPr>
          <w:rFonts w:ascii="Arial" w:cs="Arial" w:eastAsia="Arial" w:hAnsi="Arial"/>
          <w:sz w:val="17"/>
          <w:szCs w:val="17"/>
          <w:color w:val="000000"/>
        </w:rPr>
        <w:t>in the twelve (12) month period following the Trigger Event at the Loan Parties’ expense[</w:t>
      </w:r>
      <w:r>
        <w:rPr>
          <w:rFonts w:ascii="Arial" w:cs="Arial" w:eastAsia="Arial" w:hAnsi="Arial"/>
          <w:sz w:val="17"/>
          <w:szCs w:val="17"/>
          <w:color w:val="FF0000"/>
          <w:strike w:val="1"/>
        </w:rPr>
        <w:t>. Notwithstanding the foregoing</w:t>
      </w:r>
      <w:r>
        <w:rPr>
          <w:rFonts w:ascii="Arial" w:cs="Arial" w:eastAsia="Arial" w:hAnsi="Arial"/>
          <w:sz w:val="17"/>
          <w:szCs w:val="17"/>
          <w:color w:val="000000"/>
        </w:rPr>
        <w:t>],</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and (D)</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the Lender may cause additional commercial finance examinations </w:t>
      </w:r>
      <w:r>
        <w:rPr>
          <w:rFonts w:ascii="Arial" w:cs="Arial" w:eastAsia="Arial" w:hAnsi="Arial"/>
          <w:sz w:val="17"/>
          <w:szCs w:val="17"/>
          <w:b w:val="1"/>
          <w:bCs w:val="1"/>
          <w:u w:val="single" w:color="auto"/>
          <w:color w:val="0000FF"/>
        </w:rPr>
        <w:t>and appraisals</w:t>
      </w:r>
      <w:r>
        <w:rPr>
          <w:rFonts w:ascii="Arial" w:cs="Arial" w:eastAsia="Arial" w:hAnsi="Arial"/>
          <w:sz w:val="17"/>
          <w:szCs w:val="17"/>
          <w:color w:val="000000"/>
        </w:rPr>
        <w:t xml:space="preserve"> to be undertaken ([</w:t>
      </w:r>
      <w:r>
        <w:rPr>
          <w:rFonts w:ascii="Arial" w:cs="Arial" w:eastAsia="Arial" w:hAnsi="Arial"/>
          <w:sz w:val="17"/>
          <w:szCs w:val="17"/>
          <w:color w:val="FF0000"/>
          <w:strike w:val="1"/>
        </w:rPr>
        <w:t>i</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x</w:t>
      </w:r>
      <w:r>
        <w:rPr>
          <w:rFonts w:ascii="Arial" w:cs="Arial" w:eastAsia="Arial" w:hAnsi="Arial"/>
          <w:sz w:val="17"/>
          <w:szCs w:val="17"/>
          <w:color w:val="000000"/>
        </w:rPr>
        <w:t xml:space="preserve">) as it in its discretion deems necessary or appropriate, at its own expense </w:t>
      </w:r>
      <w:r>
        <w:rPr>
          <w:rFonts w:ascii="Arial" w:cs="Arial" w:eastAsia="Arial" w:hAnsi="Arial"/>
          <w:sz w:val="17"/>
          <w:szCs w:val="17"/>
          <w:b w:val="1"/>
          <w:bCs w:val="1"/>
          <w:u w:val="single" w:color="auto"/>
          <w:color w:val="0000FF"/>
        </w:rPr>
        <w:t>so long as such additional commercial finance examinations and appraisals do not exceed one (1) each in</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any twelve (12) month period</w:t>
      </w:r>
      <w:r>
        <w:rPr>
          <w:rFonts w:ascii="Arial" w:cs="Arial" w:eastAsia="Arial" w:hAnsi="Arial"/>
          <w:sz w:val="17"/>
          <w:szCs w:val="17"/>
          <w:b w:val="1"/>
          <w:bCs w:val="1"/>
          <w:color w:val="0000FF"/>
        </w:rPr>
        <w:t xml:space="preserve"> </w:t>
      </w:r>
      <w:r>
        <w:rPr>
          <w:rFonts w:ascii="Arial" w:cs="Arial" w:eastAsia="Arial" w:hAnsi="Arial"/>
          <w:sz w:val="17"/>
          <w:szCs w:val="17"/>
          <w:color w:val="000000"/>
        </w:rPr>
        <w:t>or[</w:t>
      </w:r>
      <w:r>
        <w:rPr>
          <w:rFonts w:ascii="Arial" w:cs="Arial" w:eastAsia="Arial" w:hAnsi="Arial"/>
          <w:sz w:val="17"/>
          <w:szCs w:val="17"/>
          <w:color w:val="FF0000"/>
          <w:strike w:val="1"/>
        </w:rPr>
        <w:t>,</w:t>
      </w:r>
      <w:r>
        <w:rPr>
          <w:rFonts w:ascii="Arial" w:cs="Arial" w:eastAsia="Arial" w:hAnsi="Arial"/>
          <w:sz w:val="17"/>
          <w:szCs w:val="17"/>
          <w:color w:val="000000"/>
        </w:rPr>
        <w:t>] ([</w:t>
      </w:r>
      <w:r>
        <w:rPr>
          <w:rFonts w:ascii="Arial" w:cs="Arial" w:eastAsia="Arial" w:hAnsi="Arial"/>
          <w:sz w:val="17"/>
          <w:szCs w:val="17"/>
          <w:color w:val="FF0000"/>
          <w:strike w:val="1"/>
        </w:rPr>
        <w:t>ii</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y</w:t>
      </w:r>
      <w:r>
        <w:rPr>
          <w:rFonts w:ascii="Arial" w:cs="Arial" w:eastAsia="Arial" w:hAnsi="Arial"/>
          <w:sz w:val="17"/>
          <w:szCs w:val="17"/>
          <w:color w:val="000000"/>
        </w:rPr>
        <w:t>) if required by Law or if [</w:t>
      </w:r>
      <w:r>
        <w:rPr>
          <w:rFonts w:ascii="Arial" w:cs="Arial" w:eastAsia="Arial" w:hAnsi="Arial"/>
          <w:sz w:val="17"/>
          <w:szCs w:val="17"/>
          <w:color w:val="FF0000"/>
          <w:strike w:val="1"/>
        </w:rPr>
        <w:t>a Default or</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an</w:t>
      </w:r>
      <w:r>
        <w:rPr>
          <w:rFonts w:ascii="Arial" w:cs="Arial" w:eastAsia="Arial" w:hAnsi="Arial"/>
          <w:sz w:val="17"/>
          <w:szCs w:val="17"/>
          <w:b w:val="1"/>
          <w:bCs w:val="1"/>
          <w:color w:val="0000FF"/>
        </w:rPr>
        <w:t xml:space="preserve"> </w:t>
      </w:r>
      <w:r>
        <w:rPr>
          <w:rFonts w:ascii="Arial" w:cs="Arial" w:eastAsia="Arial" w:hAnsi="Arial"/>
          <w:sz w:val="17"/>
          <w:szCs w:val="17"/>
          <w:color w:val="000000"/>
        </w:rPr>
        <w:t>Event of Default shall have occurred and be continuing, at the</w:t>
      </w:r>
      <w:r>
        <w:rPr>
          <w:rFonts w:ascii="Arial" w:cs="Arial" w:eastAsia="Arial" w:hAnsi="Arial"/>
          <w:sz w:val="17"/>
          <w:szCs w:val="17"/>
          <w:b w:val="1"/>
          <w:bCs w:val="1"/>
          <w:color w:val="0000FF"/>
        </w:rPr>
        <w:t xml:space="preserve"> </w:t>
      </w:r>
      <w:r>
        <w:rPr>
          <w:rFonts w:ascii="Arial" w:cs="Arial" w:eastAsia="Arial" w:hAnsi="Arial"/>
          <w:sz w:val="17"/>
          <w:szCs w:val="17"/>
          <w:color w:val="000000"/>
        </w:rPr>
        <w:t>expense of the Loan Parties.</w:t>
      </w:r>
    </w:p>
    <w:p>
      <w:pPr>
        <w:spacing w:after="0" w:line="19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101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660" w:firstLine="644"/>
        <w:spacing w:after="0" w:line="289" w:lineRule="auto"/>
        <w:tabs>
          <w:tab w:leader="none" w:pos="227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If the L/C Obligations exceed $5,000,000 or there are outstanding Committed Borrowings or other amounts payable by the Borrower or any Loan Parties on account of any Loans made to the Borrower, upon the request of the Lender after reasonable prior notice, permit the Lender or professionals (including appraisers) retained by the Lender to conduct appraisals of the Collateral, including, without limitation, the assets included in the Borrowing Base. The Loan Parties acknowledge that if such appraisals may be undertaken pursuant to the preceding sentence, the Lender may, in its discretion, undertake up to one (1) inventory appraisal in each twelve (12) month period at the Loan Parties’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Trigger Event occurs at any time during a Fiscal Year, then the Lender may, in its discretion, undertake up to two (2) inventory appraisals in the twelve (12) month period following the Trigger Event at the Loan Parties’ expense. Notwithstanding the foregoing, the Lender may cause additional appraisals to be undertaken (i) as it in its discretion deems necessary or appropriate, at its own expense or, (ii) if required by Law or if a Default or Event of Default shall have occurred and be continuing, at the expense of the Loan Parties.</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6.11 Additional Loan Parties. </w:t>
      </w:r>
      <w:r>
        <w:rPr>
          <w:rFonts w:ascii="Arial" w:cs="Arial" w:eastAsia="Arial" w:hAnsi="Arial"/>
          <w:sz w:val="18"/>
          <w:szCs w:val="18"/>
          <w:color w:val="auto"/>
        </w:rPr>
        <w:t>Notify the Lender at the time that any Person becomes 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0000FF"/>
        </w:rPr>
        <w:t>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upon the formation of 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that is a Division Successor),[ </w:t>
      </w:r>
      <w:r>
        <w:rPr>
          <w:rFonts w:ascii="Arial" w:cs="Arial" w:eastAsia="Arial" w:hAnsi="Arial"/>
          <w:sz w:val="18"/>
          <w:szCs w:val="18"/>
          <w:color w:val="FF0000"/>
          <w:strike w:val="1"/>
        </w:rPr>
        <w:t>and</w:t>
      </w:r>
      <w:r>
        <w:rPr>
          <w:rFonts w:ascii="Arial" w:cs="Arial" w:eastAsia="Arial" w:hAnsi="Arial"/>
          <w:sz w:val="18"/>
          <w:szCs w:val="18"/>
          <w:color w:val="auto"/>
        </w:rPr>
        <w:t xml:space="preserve">] promptly thereafter (and in any event within fifteen (15) days), cause any such Person </w:t>
      </w:r>
      <w:r>
        <w:rPr>
          <w:rFonts w:ascii="Arial" w:cs="Arial" w:eastAsia="Arial" w:hAnsi="Arial"/>
          <w:sz w:val="18"/>
          <w:szCs w:val="18"/>
          <w:b w:val="1"/>
          <w:bCs w:val="1"/>
          <w:u w:val="single" w:color="auto"/>
          <w:color w:val="0000FF"/>
        </w:rPr>
        <w:t>that is a Restricted Subsidiary (other than any Permitted Real Estate Subsidiary)</w:t>
      </w:r>
      <w:r>
        <w:rPr>
          <w:rFonts w:ascii="Arial" w:cs="Arial" w:eastAsia="Arial" w:hAnsi="Arial"/>
          <w:sz w:val="18"/>
          <w:szCs w:val="18"/>
          <w:color w:val="auto"/>
        </w:rPr>
        <w:t xml:space="preserve"> (a) to become a Loan Party by executing and delivering to the Lender a Joinder to this Agreement or a Joinder to the Facility Guaranty or such other documents as the Lender shall deem appropriate for such purpose, and (b) grant a Lien to the Lender on such Person’s assets of the same type that constitute Collateral to secure the Obligations, and (iii) deliver to the Lender documents of the types referred to in clauses (iii) and (iv) of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and favorable opinions of counsel to such Person (which shall cover, among other things, the legality, validity, binding effect and enforceability of the documentation referred to in clauses (a) and (b)). In no event shall compliance with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waive or be deemed a waiver or consent to any transaction giving rise to the need to comply with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if such transaction was not otherwise [</w:t>
      </w:r>
      <w:r>
        <w:rPr>
          <w:rFonts w:ascii="Arial" w:cs="Arial" w:eastAsia="Arial" w:hAnsi="Arial"/>
          <w:sz w:val="18"/>
          <w:szCs w:val="18"/>
          <w:color w:val="FF0000"/>
          <w:strike w:val="1"/>
        </w:rPr>
        <w:t>expressly</w:t>
      </w:r>
      <w:r>
        <w:rPr>
          <w:rFonts w:ascii="Arial" w:cs="Arial" w:eastAsia="Arial" w:hAnsi="Arial"/>
          <w:sz w:val="18"/>
          <w:szCs w:val="18"/>
          <w:color w:val="auto"/>
        </w:rPr>
        <w:t xml:space="preserve"> ]permitted by this Agreement or constitute or be deemed to constitute, with respect to 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an approval of such Person as the Borrower or permit the inclusion of any acquired assets in the computation of the Borrowing Base.</w:t>
      </w:r>
    </w:p>
    <w:p>
      <w:pPr>
        <w:spacing w:after="0" w:line="19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b w:val="1"/>
          <w:bCs w:val="1"/>
          <w:color w:val="auto"/>
        </w:rPr>
        <w:t>Cash Management</w:t>
      </w:r>
      <w:r>
        <w:rPr>
          <w:rFonts w:ascii="Arial" w:cs="Arial" w:eastAsia="Arial" w:hAnsi="Arial"/>
          <w:sz w:val="16"/>
          <w:szCs w:val="16"/>
          <w:color w:val="auto"/>
        </w:rPr>
        <w:t>.</w:t>
      </w:r>
    </w:p>
    <w:p>
      <w:pPr>
        <w:spacing w:after="0" w:line="229" w:lineRule="exact"/>
        <w:rPr>
          <w:sz w:val="20"/>
          <w:szCs w:val="20"/>
          <w:color w:val="auto"/>
        </w:rPr>
      </w:pPr>
    </w:p>
    <w:p>
      <w:pPr>
        <w:ind w:left="2180" w:hanging="876"/>
        <w:spacing w:after="0"/>
        <w:tabs>
          <w:tab w:leader="none" w:pos="2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On or prior to the Closing Date:</w:t>
      </w:r>
    </w:p>
    <w:p>
      <w:pPr>
        <w:spacing w:after="0" w:line="225" w:lineRule="exact"/>
        <w:rPr>
          <w:rFonts w:ascii="Arial" w:cs="Arial" w:eastAsia="Arial" w:hAnsi="Arial"/>
          <w:sz w:val="18"/>
          <w:szCs w:val="18"/>
          <w:color w:val="auto"/>
        </w:rPr>
      </w:pPr>
    </w:p>
    <w:p>
      <w:pPr>
        <w:jc w:val="both"/>
        <w:ind w:left="1300" w:right="20" w:firstLine="652"/>
        <w:spacing w:after="0" w:line="263" w:lineRule="auto"/>
        <w:tabs>
          <w:tab w:leader="none" w:pos="293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deliver to the Lender copies of [</w:t>
      </w:r>
      <w:r>
        <w:rPr>
          <w:rFonts w:ascii="Arial" w:cs="Arial" w:eastAsia="Arial" w:hAnsi="Arial"/>
          <w:sz w:val="18"/>
          <w:szCs w:val="18"/>
          <w:color w:val="FF0000"/>
          <w:strike w:val="1"/>
        </w:rPr>
        <w:t>notifications (each, a “</w:t>
      </w:r>
      <w:r>
        <w:rPr>
          <w:rFonts w:ascii="Arial" w:cs="Arial" w:eastAsia="Arial" w:hAnsi="Arial"/>
          <w:sz w:val="18"/>
          <w:szCs w:val="18"/>
          <w:color w:val="auto"/>
        </w:rPr>
        <w:t xml:space="preserve">]Credit Card </w:t>
      </w:r>
      <w:r>
        <w:rPr>
          <w:rFonts w:ascii="Arial" w:cs="Arial" w:eastAsia="Arial" w:hAnsi="Arial"/>
          <w:sz w:val="18"/>
          <w:szCs w:val="18"/>
          <w:u w:val="single" w:color="auto"/>
          <w:color w:val="auto"/>
        </w:rPr>
        <w:t>[</w:t>
      </w:r>
      <w:r>
        <w:rPr>
          <w:rFonts w:ascii="Arial" w:cs="Arial" w:eastAsia="Arial" w:hAnsi="Arial"/>
          <w:sz w:val="18"/>
          <w:szCs w:val="18"/>
          <w:u w:val="single" w:color="auto"/>
          <w:color w:val="FF0000"/>
        </w:rPr>
        <w:t>Notification</w:t>
      </w:r>
      <w:r>
        <w:rPr>
          <w:rFonts w:ascii="Arial" w:cs="Arial" w:eastAsia="Arial" w:hAnsi="Arial"/>
          <w:sz w:val="18"/>
          <w:szCs w:val="18"/>
          <w:color w:val="FF0000"/>
        </w:rPr>
        <w:t>”) reasonably satisfactory in form</w:t>
      </w:r>
      <w:r>
        <w:rPr>
          <w:rFonts w:ascii="Arial" w:cs="Arial" w:eastAsia="Arial" w:hAnsi="Arial"/>
          <w:sz w:val="18"/>
          <w:szCs w:val="18"/>
          <w:color w:val="auto"/>
        </w:rPr>
        <w:t xml:space="preserve"> </w:t>
      </w:r>
      <w:r>
        <w:rPr>
          <w:rFonts w:ascii="Arial" w:cs="Arial" w:eastAsia="Arial" w:hAnsi="Arial"/>
          <w:sz w:val="18"/>
          <w:szCs w:val="18"/>
          <w:color w:val="FF0000"/>
          <w:strike w:val="1"/>
        </w:rPr>
        <w:t>and substance</w:t>
      </w:r>
      <w:r>
        <w:rPr>
          <w:rFonts w:ascii="Arial" w:cs="Arial" w:eastAsia="Arial" w:hAnsi="Arial"/>
          <w:sz w:val="18"/>
          <w:szCs w:val="18"/>
          <w:u w:val="single" w:color="auto"/>
          <w:color w:val="000000"/>
        </w:rPr>
        <w:t>]</w:t>
      </w:r>
      <w:r>
        <w:rPr>
          <w:rFonts w:ascii="Arial" w:cs="Arial" w:eastAsia="Arial" w:hAnsi="Arial"/>
          <w:sz w:val="18"/>
          <w:szCs w:val="18"/>
          <w:b w:val="1"/>
          <w:bCs w:val="1"/>
          <w:u w:val="single" w:color="auto"/>
          <w:color w:val="0000FF"/>
        </w:rPr>
        <w:t>Notifications</w:t>
      </w:r>
      <w:r>
        <w:rPr>
          <w:rFonts w:ascii="Arial" w:cs="Arial" w:eastAsia="Arial" w:hAnsi="Arial"/>
          <w:sz w:val="18"/>
          <w:szCs w:val="18"/>
          <w:color w:val="FF0000"/>
        </w:rPr>
        <w:t xml:space="preserve"> </w:t>
      </w:r>
      <w:r>
        <w:rPr>
          <w:rFonts w:ascii="Arial" w:cs="Arial" w:eastAsia="Arial" w:hAnsi="Arial"/>
          <w:sz w:val="18"/>
          <w:szCs w:val="18"/>
          <w:color w:val="000000"/>
        </w:rPr>
        <w:t>to the Lender which have been executed on behalf of such Loan Party and delivered to such Loan Party’s</w:t>
      </w:r>
      <w:r>
        <w:rPr>
          <w:rFonts w:ascii="Arial" w:cs="Arial" w:eastAsia="Arial" w:hAnsi="Arial"/>
          <w:sz w:val="18"/>
          <w:szCs w:val="18"/>
          <w:color w:val="FF0000"/>
        </w:rPr>
        <w:t xml:space="preserve"> </w:t>
      </w:r>
      <w:r>
        <w:rPr>
          <w:rFonts w:ascii="Arial" w:cs="Arial" w:eastAsia="Arial" w:hAnsi="Arial"/>
          <w:sz w:val="18"/>
          <w:szCs w:val="18"/>
          <w:color w:val="000000"/>
        </w:rPr>
        <w:t>credit card clearinghouses and processors listed on Schedule 5.21(b) to the Disclosure Schedule; and</w:t>
      </w:r>
    </w:p>
    <w:p>
      <w:pPr>
        <w:spacing w:after="0" w:line="183" w:lineRule="exact"/>
        <w:rPr>
          <w:rFonts w:ascii="Arial" w:cs="Arial" w:eastAsia="Arial" w:hAnsi="Arial"/>
          <w:sz w:val="18"/>
          <w:szCs w:val="18"/>
          <w:color w:val="auto"/>
        </w:rPr>
      </w:pPr>
    </w:p>
    <w:p>
      <w:pPr>
        <w:ind w:left="1300" w:firstLine="652"/>
        <w:spacing w:after="0" w:line="277" w:lineRule="auto"/>
        <w:tabs>
          <w:tab w:leader="none" w:pos="306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enter into a Blocked Account Agreement satisfactory in form and substance to the Lender with each Blocked Account Bank (collectively, the “</w:t>
      </w:r>
      <w:r>
        <w:rPr>
          <w:rFonts w:ascii="Arial" w:cs="Arial" w:eastAsia="Arial" w:hAnsi="Arial"/>
          <w:sz w:val="18"/>
          <w:szCs w:val="18"/>
          <w:u w:val="single" w:color="auto"/>
          <w:color w:val="auto"/>
        </w:rPr>
        <w:t>Blocked Accounts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5024755</wp:posOffset>
            </wp:positionH>
            <wp:positionV relativeFrom="paragraph">
              <wp:posOffset>-773430</wp:posOffset>
            </wp:positionV>
            <wp:extent cx="21043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0439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102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4"/>
        <w:spacing w:after="0" w:line="259" w:lineRule="auto"/>
        <w:tabs>
          <w:tab w:leader="none" w:pos="1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Prior to the occurrence of a Cash Dominion Event, ACH or wire transfer no less frequently than daily (and whether or not there are then any outstanding Obligations) to a Blocked Account all amounts on deposit in each DDA (net of any minimum balance, not to exceed $2,500, as may be required to be kept in the subject DDA by the depository institution at which such DDA is maintained) and all payments due from credit card processors and credit card issuers.</w:t>
      </w:r>
    </w:p>
    <w:p>
      <w:pPr>
        <w:spacing w:after="0" w:line="186" w:lineRule="exact"/>
        <w:rPr>
          <w:rFonts w:ascii="Arial" w:cs="Arial" w:eastAsia="Arial" w:hAnsi="Arial"/>
          <w:sz w:val="18"/>
          <w:szCs w:val="18"/>
          <w:color w:val="auto"/>
        </w:rPr>
      </w:pPr>
    </w:p>
    <w:p>
      <w:pPr>
        <w:jc w:val="both"/>
        <w:ind w:firstLine="644"/>
        <w:spacing w:after="0" w:line="254" w:lineRule="auto"/>
        <w:tabs>
          <w:tab w:leader="none" w:pos="156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After the occurrence and during the continuance of a Cash Dominion Event, (i) ACH or wire transfer no less frequently than daily (and whether or not there are then any outstanding Obligations) to a Blocked Account all amounts on deposit in each DDA (net of any minimum balance, not to exceed $2,500, as may be required to be kept in the subject DDA by the depository institution at which such DDA is maintained) and all payments due from credit card processors and credit card issuers and (ii) cause the ACH or wire transfer to the collection account maintained by the Lender at Bank of America (the “</w:t>
      </w:r>
      <w:r>
        <w:rPr>
          <w:rFonts w:ascii="Arial" w:cs="Arial" w:eastAsia="Arial" w:hAnsi="Arial"/>
          <w:sz w:val="18"/>
          <w:szCs w:val="18"/>
          <w:u w:val="single" w:color="auto"/>
          <w:color w:val="auto"/>
        </w:rPr>
        <w:t>Collection Account</w:t>
      </w:r>
      <w:r>
        <w:rPr>
          <w:rFonts w:ascii="Arial" w:cs="Arial" w:eastAsia="Arial" w:hAnsi="Arial"/>
          <w:sz w:val="18"/>
          <w:szCs w:val="18"/>
          <w:color w:val="auto"/>
        </w:rPr>
        <w:t>”), no less frequently than daily (and whether or not there are then any outstanding Obligations), all cash receipts and collections received by each Loan Party from all sources, including, without limitation, the following:</w:t>
      </w:r>
    </w:p>
    <w:p>
      <w:pPr>
        <w:spacing w:after="0" w:line="194" w:lineRule="exact"/>
        <w:rPr>
          <w:rFonts w:ascii="Arial" w:cs="Arial" w:eastAsia="Arial" w:hAnsi="Arial"/>
          <w:sz w:val="18"/>
          <w:szCs w:val="18"/>
          <w:color w:val="auto"/>
        </w:rPr>
      </w:pPr>
    </w:p>
    <w:p>
      <w:pPr>
        <w:ind w:left="640" w:right="20" w:firstLine="652"/>
        <w:spacing w:after="0" w:line="277" w:lineRule="auto"/>
        <w:tabs>
          <w:tab w:leader="none" w:pos="224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available cash receipts from the sale of Inventory (including without limitation, proceeds of credit card charges) and other assets (whether or not constituting Collateral);</w:t>
      </w:r>
    </w:p>
    <w:p>
      <w:pPr>
        <w:spacing w:after="0" w:line="170" w:lineRule="exact"/>
        <w:rPr>
          <w:rFonts w:ascii="Arial" w:cs="Arial" w:eastAsia="Arial" w:hAnsi="Arial"/>
          <w:sz w:val="18"/>
          <w:szCs w:val="18"/>
          <w:color w:val="auto"/>
        </w:rPr>
      </w:pPr>
    </w:p>
    <w:p>
      <w:pPr>
        <w:ind w:left="640" w:firstLine="652"/>
        <w:spacing w:after="0" w:line="277" w:lineRule="auto"/>
        <w:tabs>
          <w:tab w:leader="none" w:pos="228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cash received or paid to or for the account of any Person not in the ordinary course of business, including tax refunds, pension plan reversions, indemnity payments and any purchase price adjustments;</w:t>
      </w:r>
    </w:p>
    <w:p>
      <w:pPr>
        <w:spacing w:after="0" w:line="170" w:lineRule="exact"/>
        <w:rPr>
          <w:rFonts w:ascii="Arial" w:cs="Arial" w:eastAsia="Arial" w:hAnsi="Arial"/>
          <w:sz w:val="18"/>
          <w:szCs w:val="18"/>
          <w:color w:val="auto"/>
        </w:rPr>
      </w:pPr>
    </w:p>
    <w:p>
      <w:pPr>
        <w:ind w:left="2100" w:hanging="808"/>
        <w:spacing w:after="0"/>
        <w:tabs>
          <w:tab w:leader="none" w:pos="21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proceeds of collections of Accounts;</w:t>
      </w:r>
    </w:p>
    <w:p>
      <w:pPr>
        <w:spacing w:after="0" w:line="225" w:lineRule="exact"/>
        <w:rPr>
          <w:rFonts w:ascii="Arial" w:cs="Arial" w:eastAsia="Arial" w:hAnsi="Arial"/>
          <w:sz w:val="18"/>
          <w:szCs w:val="18"/>
          <w:color w:val="auto"/>
        </w:rPr>
      </w:pPr>
    </w:p>
    <w:p>
      <w:pPr>
        <w:ind w:left="640" w:right="20" w:firstLine="652"/>
        <w:spacing w:after="0" w:line="277" w:lineRule="auto"/>
        <w:tabs>
          <w:tab w:leader="none" w:pos="222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Net Proceeds, and all other cash payments received by a Loan Party from any Person or from any source or on account of any Disposition or other transaction or event[</w:t>
      </w:r>
      <w:r>
        <w:rPr>
          <w:rFonts w:ascii="Arial" w:cs="Arial" w:eastAsia="Arial" w:hAnsi="Arial"/>
          <w:sz w:val="18"/>
          <w:szCs w:val="18"/>
          <w:color w:val="FF0000"/>
          <w:strike w:val="1"/>
        </w:rPr>
        <w:t>, including, without limitation, any Prepayment Event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firstLine="652"/>
        <w:spacing w:after="0" w:line="277" w:lineRule="auto"/>
        <w:tabs>
          <w:tab w:leader="none" w:pos="218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then contents of each DDA (net of any minimum balance, not to exceed $2,500, as may be required to be kept in the subject DDA by the depository institution at which such DDA is maintained); and</w:t>
      </w:r>
    </w:p>
    <w:p>
      <w:pPr>
        <w:spacing w:after="0" w:line="170" w:lineRule="exact"/>
        <w:rPr>
          <w:rFonts w:ascii="Arial" w:cs="Arial" w:eastAsia="Arial" w:hAnsi="Arial"/>
          <w:sz w:val="18"/>
          <w:szCs w:val="18"/>
          <w:color w:val="auto"/>
        </w:rPr>
      </w:pPr>
    </w:p>
    <w:p>
      <w:pPr>
        <w:ind w:left="640" w:firstLine="652"/>
        <w:spacing w:after="0" w:line="277" w:lineRule="auto"/>
        <w:tabs>
          <w:tab w:leader="none" w:pos="217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then entire ledger balance of each Blocked Account (net of any minimum balance, not to exceed $2,500, as may be required to be kept in the subject Blocked Account by the Blocked Account Bank).</w:t>
      </w:r>
    </w:p>
    <w:p>
      <w:pPr>
        <w:spacing w:after="0" w:line="17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103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3" w:name="page124"/>
    <w:bookmarkEnd w:id="123"/>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4"/>
        <w:spacing w:after="0" w:line="270" w:lineRule="auto"/>
        <w:tabs>
          <w:tab w:leader="none" w:pos="158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The Collection Account shall at all times during the continuance of a Cash Dominion Event be under the sole dominion and control of the Lender. The Loan Parties hereby acknowledge and agree that (i) during the continuance of a Cash Dominion Event, the Loan Parties have no right of withdrawal from the Collection Account, (ii) the funds on deposit in the Collection Account shall at all times be collateral security for all of the Obligations and (iii) during the continuance of a Cash Dominion Event, the funds on deposit in the Collection Account shall be applied to the Obligations as provided in this Agreement. In the event that, notwithstanding the provisions of this </w:t>
      </w:r>
      <w:r>
        <w:rPr>
          <w:rFonts w:ascii="Arial" w:cs="Arial" w:eastAsia="Arial" w:hAnsi="Arial"/>
          <w:sz w:val="17"/>
          <w:szCs w:val="17"/>
          <w:u w:val="single" w:color="auto"/>
          <w:color w:val="auto"/>
        </w:rPr>
        <w:t>Section 6.12</w:t>
      </w:r>
      <w:r>
        <w:rPr>
          <w:rFonts w:ascii="Arial" w:cs="Arial" w:eastAsia="Arial" w:hAnsi="Arial"/>
          <w:sz w:val="17"/>
          <w:szCs w:val="17"/>
          <w:color w:val="auto"/>
        </w:rPr>
        <w:t>, any Loan Party receives or otherwise has dominion and control of any such cash receipts or collections, such receipts and collections shall be held in trust by such Loan Party for the Lender, shall not be commingled with any of such Loan Party’s other funds or deposited in any account of such Loan Party and shall, not later than the Business Day after receipt thereof, be deposited into the Collection Account or dealt with in such other fashion as such Loan Party may be instructed by the Lender.</w:t>
      </w:r>
    </w:p>
    <w:p>
      <w:pPr>
        <w:spacing w:after="0" w:line="180" w:lineRule="exact"/>
        <w:rPr>
          <w:rFonts w:ascii="Arial" w:cs="Arial" w:eastAsia="Arial" w:hAnsi="Arial"/>
          <w:sz w:val="17"/>
          <w:szCs w:val="17"/>
          <w:color w:val="auto"/>
        </w:rPr>
      </w:pPr>
    </w:p>
    <w:p>
      <w:pPr>
        <w:ind w:firstLine="644"/>
        <w:spacing w:after="0" w:line="342" w:lineRule="auto"/>
        <w:tabs>
          <w:tab w:leader="none" w:pos="160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Upon the request of the Lender, cause bank statements and/or other reports to be delivered to the Lender not less often than monthly, accurately setting forth all amounts deposited in each Blocked Account to ensure the proper transfer of funds as set forth above.</w:t>
      </w:r>
    </w:p>
    <w:p>
      <w:pPr>
        <w:spacing w:after="0" w:line="1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6"/>
          <w:szCs w:val="16"/>
          <w:b w:val="1"/>
          <w:bCs w:val="1"/>
          <w:color w:val="auto"/>
        </w:rPr>
        <w:t>Information Regarding the Collateral</w:t>
      </w:r>
      <w:r>
        <w:rPr>
          <w:rFonts w:ascii="Arial" w:cs="Arial" w:eastAsia="Arial" w:hAnsi="Arial"/>
          <w:sz w:val="16"/>
          <w:szCs w:val="16"/>
          <w:color w:val="auto"/>
        </w:rPr>
        <w:t>.</w:t>
      </w:r>
    </w:p>
    <w:p>
      <w:pPr>
        <w:spacing w:after="0" w:line="229" w:lineRule="exact"/>
        <w:rPr>
          <w:sz w:val="20"/>
          <w:szCs w:val="20"/>
          <w:color w:val="auto"/>
        </w:rPr>
      </w:pPr>
    </w:p>
    <w:p>
      <w:pPr>
        <w:jc w:val="both"/>
        <w:ind w:firstLine="644"/>
        <w:spacing w:after="0" w:line="253" w:lineRule="auto"/>
        <w:tabs>
          <w:tab w:leader="none" w:pos="154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Furnish to the Lender at least thirty (30) days prior written notice of any change in: (i) any Loan Party’s name or in any trade name used to identify it in the conduct of its business or in the ownership of its properties; (ii) the location of any Loan Party’s chief executive office, its principal place of business, any office in which it maintains books or records relating to Collateral owned by it or any office or facility at which Collateral owned by it is located (including the establishment of any such new office or facility); (iii) any Loan Party’s organizational structure or jurisdiction of incorporation or formation; or (iv) any Loan Party’s Federal Taxpayer Identification Number or organizational identification number assigned to it by its state of organization. The Loan Parties shall not effect or permit any change referred to in the preceding sentence unless all filings have been made under the UCC or otherwise that are required in order for the Lender to continue at all times following such change to have a valid, legal and perfected first priority security interest in all the Collateral for its own benefit and the benefit of the other Credit Parties.</w:t>
      </w:r>
    </w:p>
    <w:p>
      <w:pPr>
        <w:spacing w:after="0" w:line="196" w:lineRule="exact"/>
        <w:rPr>
          <w:rFonts w:ascii="Arial" w:cs="Arial" w:eastAsia="Arial" w:hAnsi="Arial"/>
          <w:sz w:val="18"/>
          <w:szCs w:val="18"/>
          <w:color w:val="auto"/>
        </w:rPr>
      </w:pPr>
    </w:p>
    <w:p>
      <w:pPr>
        <w:jc w:val="both"/>
        <w:ind w:firstLine="644"/>
        <w:spacing w:after="0" w:line="286" w:lineRule="auto"/>
        <w:tabs>
          <w:tab w:leader="none" w:pos="16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color w:val="FF0000"/>
          <w:strike w:val="1"/>
        </w:rPr>
        <w:t>Should any of the information on any of the Schedules to the Disclosure Schedule become inaccurate or misleading in any</w:t>
      </w:r>
      <w:r>
        <w:rPr>
          <w:rFonts w:ascii="Arial" w:cs="Arial" w:eastAsia="Arial" w:hAnsi="Arial"/>
          <w:sz w:val="16"/>
          <w:szCs w:val="16"/>
          <w:color w:val="auto"/>
        </w:rPr>
        <w:t xml:space="preserve"> </w:t>
      </w:r>
      <w:r>
        <w:rPr>
          <w:rFonts w:ascii="Arial" w:cs="Arial" w:eastAsia="Arial" w:hAnsi="Arial"/>
          <w:sz w:val="16"/>
          <w:szCs w:val="16"/>
          <w:color w:val="FF0000"/>
          <w:strike w:val="1"/>
        </w:rPr>
        <w:t>material respect as a result of changes after the Closing Date, advise the Lender in writing (as provided in the following sentence) of such revisions or updates as may be necessary or appropriate to update or correct the same. Quarterly</w:t>
      </w:r>
      <w:r>
        <w:rPr>
          <w:rFonts w:ascii="Arial" w:cs="Arial" w:eastAsia="Arial" w:hAnsi="Arial"/>
          <w:sz w:val="16"/>
          <w:szCs w:val="16"/>
          <w:color w:val="000000"/>
          <w:strike w:val="1"/>
        </w:rPr>
        <w:t>]</w:t>
      </w:r>
      <w:r>
        <w:rPr>
          <w:rFonts w:ascii="Arial" w:cs="Arial" w:eastAsia="Arial" w:hAnsi="Arial"/>
          <w:sz w:val="16"/>
          <w:szCs w:val="16"/>
          <w:b w:val="1"/>
          <w:bCs w:val="1"/>
          <w:u w:val="single" w:color="auto"/>
          <w:color w:val="0000FF"/>
          <w:strike w:val="1"/>
        </w:rPr>
        <w:t>Annually</w:t>
      </w:r>
      <w:r>
        <w:rPr>
          <w:rFonts w:ascii="Arial" w:cs="Arial" w:eastAsia="Arial" w:hAnsi="Arial"/>
          <w:sz w:val="16"/>
          <w:szCs w:val="16"/>
          <w:color w:val="000000"/>
          <w:strike w:val="1"/>
        </w:rPr>
        <w:t>, concurrently with the delivery of the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w:t>
      </w:r>
      <w:r>
        <w:rPr>
          <w:rFonts w:ascii="Arial" w:cs="Arial" w:eastAsia="Arial" w:hAnsi="Arial"/>
          <w:sz w:val="16"/>
          <w:szCs w:val="16"/>
          <w:color w:val="FF0000"/>
          <w:strike w:val="1"/>
        </w:rPr>
        <w:t>Compliance Certificate</w:t>
      </w:r>
      <w:r>
        <w:rPr>
          <w:rFonts w:ascii="Arial" w:cs="Arial" w:eastAsia="Arial" w:hAnsi="Arial"/>
          <w:sz w:val="16"/>
          <w:szCs w:val="16"/>
          <w:color w:val="000000"/>
          <w:strike w:val="1"/>
        </w:rPr>
        <w:t>]</w:t>
      </w:r>
      <w:r>
        <w:rPr>
          <w:rFonts w:ascii="Arial" w:cs="Arial" w:eastAsia="Arial" w:hAnsi="Arial"/>
          <w:sz w:val="16"/>
          <w:szCs w:val="16"/>
          <w:b w:val="1"/>
          <w:bCs w:val="1"/>
          <w:u w:val="single" w:color="auto"/>
          <w:color w:val="0000FF"/>
          <w:strike w:val="1"/>
        </w:rPr>
        <w:t>financial statements set forth in Section 6.01(a)</w:t>
      </w:r>
      <w:r>
        <w:rPr>
          <w:rFonts w:ascii="Arial" w:cs="Arial" w:eastAsia="Arial" w:hAnsi="Arial"/>
          <w:sz w:val="16"/>
          <w:szCs w:val="16"/>
          <w:color w:val="000000"/>
          <w:strike w:val="1"/>
        </w:rPr>
        <w:t xml:space="preserve"> or as may be reasonably requested by the Lender, the Borrower shall supplement each Schedule to the Disclosure Schedule, [</w:t>
      </w:r>
      <w:r>
        <w:rPr>
          <w:rFonts w:ascii="Arial" w:cs="Arial" w:eastAsia="Arial" w:hAnsi="Arial"/>
          <w:sz w:val="16"/>
          <w:szCs w:val="16"/>
          <w:color w:val="FF0000"/>
          <w:strike w:val="1"/>
        </w:rPr>
        <w:t>or any representation herein or in any other Loan Document,</w:t>
      </w:r>
      <w:r>
        <w:rPr>
          <w:rFonts w:ascii="Arial" w:cs="Arial" w:eastAsia="Arial" w:hAnsi="Arial"/>
          <w:sz w:val="16"/>
          <w:szCs w:val="16"/>
          <w:color w:val="000000"/>
          <w:strike w:val="1"/>
        </w:rPr>
        <w:t xml:space="preserve"> ]with respect to any matter arising after the [</w:t>
      </w:r>
      <w:r>
        <w:rPr>
          <w:rFonts w:ascii="Arial" w:cs="Arial" w:eastAsia="Arial" w:hAnsi="Arial"/>
          <w:sz w:val="16"/>
          <w:szCs w:val="16"/>
          <w:color w:val="FF0000"/>
          <w:strike w:val="1"/>
        </w:rPr>
        <w:t>Closing</w:t>
      </w:r>
      <w:r>
        <w:rPr>
          <w:rFonts w:ascii="Arial" w:cs="Arial" w:eastAsia="Arial" w:hAnsi="Arial"/>
          <w:sz w:val="16"/>
          <w:szCs w:val="16"/>
          <w:color w:val="000000"/>
          <w:strike w:val="1"/>
        </w:rPr>
        <w:t>]</w:t>
      </w:r>
      <w:r>
        <w:rPr>
          <w:rFonts w:ascii="Arial" w:cs="Arial" w:eastAsia="Arial" w:hAnsi="Arial"/>
          <w:sz w:val="16"/>
          <w:szCs w:val="16"/>
          <w:b w:val="1"/>
          <w:bCs w:val="1"/>
          <w:u w:val="single" w:color="auto"/>
          <w:color w:val="0000FF"/>
          <w:strike w:val="1"/>
        </w:rPr>
        <w:t>Third Amendment Effective</w:t>
      </w:r>
      <w:r>
        <w:rPr>
          <w:rFonts w:ascii="Arial" w:cs="Arial" w:eastAsia="Arial" w:hAnsi="Arial"/>
          <w:sz w:val="16"/>
          <w:szCs w:val="16"/>
          <w:color w:val="000000"/>
          <w:strike w:val="1"/>
        </w:rPr>
        <w:t xml:space="preserve"> Date that, if existing or occurring on the [</w:t>
      </w:r>
      <w:r>
        <w:rPr>
          <w:rFonts w:ascii="Arial" w:cs="Arial" w:eastAsia="Arial" w:hAnsi="Arial"/>
          <w:sz w:val="16"/>
          <w:szCs w:val="16"/>
          <w:color w:val="FF0000"/>
          <w:strike w:val="1"/>
        </w:rPr>
        <w:t>Closing</w:t>
      </w:r>
      <w:r>
        <w:rPr>
          <w:rFonts w:ascii="Arial" w:cs="Arial" w:eastAsia="Arial" w:hAnsi="Arial"/>
          <w:sz w:val="16"/>
          <w:szCs w:val="16"/>
          <w:color w:val="000000"/>
          <w:strike w:val="1"/>
        </w:rPr>
        <w:t>]</w:t>
      </w:r>
      <w:r>
        <w:rPr>
          <w:rFonts w:ascii="Arial" w:cs="Arial" w:eastAsia="Arial" w:hAnsi="Arial"/>
          <w:sz w:val="16"/>
          <w:szCs w:val="16"/>
          <w:b w:val="1"/>
          <w:bCs w:val="1"/>
          <w:u w:val="single" w:color="auto"/>
          <w:color w:val="0000FF"/>
          <w:strike w:val="1"/>
        </w:rPr>
        <w:t>Third Amendment Effective</w:t>
      </w:r>
      <w:r>
        <w:rPr>
          <w:rFonts w:ascii="Arial" w:cs="Arial" w:eastAsia="Arial" w:hAnsi="Arial"/>
          <w:sz w:val="16"/>
          <w:szCs w:val="16"/>
          <w:color w:val="000000"/>
          <w:strike w:val="1"/>
        </w:rPr>
        <w:t xml:space="preserve"> Date, would have been required to be set forth or described in such Schedule [</w:t>
      </w:r>
      <w:r>
        <w:rPr>
          <w:rFonts w:ascii="Arial" w:cs="Arial" w:eastAsia="Arial" w:hAnsi="Arial"/>
          <w:sz w:val="16"/>
          <w:szCs w:val="16"/>
          <w:color w:val="FF0000"/>
          <w:strike w:val="1"/>
        </w:rPr>
        <w:t>or as an exception to such representation or</w:t>
      </w:r>
      <w:r>
        <w:rPr>
          <w:rFonts w:ascii="Arial" w:cs="Arial" w:eastAsia="Arial" w:hAnsi="Arial"/>
          <w:sz w:val="16"/>
          <w:szCs w:val="16"/>
          <w:color w:val="000000"/>
          <w:strike w:val="1"/>
        </w:rPr>
        <w:t xml:space="preserve"> ]that is necessary to correct any information in such Schedule[ </w:t>
      </w:r>
      <w:r>
        <w:rPr>
          <w:rFonts w:ascii="Arial" w:cs="Arial" w:eastAsia="Arial" w:hAnsi="Arial"/>
          <w:sz w:val="16"/>
          <w:szCs w:val="16"/>
          <w:color w:val="FF0000"/>
          <w:strike w:val="1"/>
        </w:rPr>
        <w:t>or representation</w:t>
      </w:r>
      <w:r>
        <w:rPr>
          <w:rFonts w:ascii="Arial" w:cs="Arial" w:eastAsia="Arial" w:hAnsi="Arial"/>
          <w:sz w:val="16"/>
          <w:szCs w:val="16"/>
          <w:color w:val="000000"/>
          <w:strike w:val="1"/>
        </w:rPr>
        <w:t>] which has been rendered materially inaccurate thereby (and, in the case of any supplements to any Schedule, such Schedule shall be appropriately marked to show the changes made therein). Notwithstanding the foregoing, no supplement or revision to any Schedule [</w:t>
      </w:r>
      <w:r>
        <w:rPr>
          <w:rFonts w:ascii="Arial" w:cs="Arial" w:eastAsia="Arial" w:hAnsi="Arial"/>
          <w:sz w:val="16"/>
          <w:szCs w:val="16"/>
          <w:color w:val="FF0000"/>
          <w:strike w:val="1"/>
        </w:rPr>
        <w:t>or representation</w:t>
      </w:r>
      <w:r>
        <w:rPr>
          <w:rFonts w:ascii="Arial" w:cs="Arial" w:eastAsia="Arial" w:hAnsi="Arial"/>
          <w:sz w:val="16"/>
          <w:szCs w:val="16"/>
          <w:color w:val="000000"/>
          <w:strike w:val="1"/>
        </w:rPr>
        <w:t xml:space="preserve"> ]shall be deemed the Credit Parties’ consent to the matters reflected in such updated Schedules [</w:t>
      </w:r>
      <w:r>
        <w:rPr>
          <w:rFonts w:ascii="Arial" w:cs="Arial" w:eastAsia="Arial" w:hAnsi="Arial"/>
          <w:sz w:val="16"/>
          <w:szCs w:val="16"/>
          <w:color w:val="FF0000"/>
          <w:strike w:val="1"/>
        </w:rPr>
        <w:t>or</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 xml:space="preserve">revised representations </w:t>
      </w:r>
      <w:r>
        <w:rPr>
          <w:rFonts w:ascii="Arial" w:cs="Arial" w:eastAsia="Arial" w:hAnsi="Arial"/>
          <w:sz w:val="16"/>
          <w:szCs w:val="16"/>
          <w:color w:val="000000"/>
          <w:strike w:val="1"/>
        </w:rPr>
        <w:t>]nor permit the Loan Parties to undertake any actions otherwise prohibited hereunder or fail to undertake any action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required hereunder from the restrictions and requirements in existence prior to the delivery of such updated Schedules[ </w:t>
      </w:r>
      <w:r>
        <w:rPr>
          <w:rFonts w:ascii="Arial" w:cs="Arial" w:eastAsia="Arial" w:hAnsi="Arial"/>
          <w:sz w:val="16"/>
          <w:szCs w:val="16"/>
          <w:color w:val="FF0000"/>
          <w:strike w:val="1"/>
        </w:rPr>
        <w:t>or such revision of a</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representation</w:t>
      </w:r>
      <w:r>
        <w:rPr>
          <w:rFonts w:ascii="Arial" w:cs="Arial" w:eastAsia="Arial" w:hAnsi="Arial"/>
          <w:sz w:val="16"/>
          <w:szCs w:val="16"/>
          <w:color w:val="000000"/>
          <w:strike w:val="1"/>
        </w:rPr>
        <w:t>]; nor shall any such supplement or revision to any Schedule[</w:t>
      </w:r>
      <w:r>
        <w:rPr>
          <w:rFonts w:ascii="Arial" w:cs="Arial" w:eastAsia="Arial" w:hAnsi="Arial"/>
          <w:sz w:val="16"/>
          <w:szCs w:val="16"/>
          <w:color w:val="FF0000"/>
          <w:strike w:val="1"/>
        </w:rPr>
        <w:t xml:space="preserve"> or representation</w:t>
      </w:r>
      <w:r>
        <w:rPr>
          <w:rFonts w:ascii="Arial" w:cs="Arial" w:eastAsia="Arial" w:hAnsi="Arial"/>
          <w:sz w:val="16"/>
          <w:szCs w:val="16"/>
          <w:color w:val="000000"/>
          <w:strike w:val="1"/>
        </w:rPr>
        <w:t>] be deemed the Credit Parties’ waiver of any Default</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or Event of Default resulting from the matters disclosed therein.</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104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6.14 Physical Inventories</w:t>
      </w:r>
      <w:r>
        <w:rPr>
          <w:rFonts w:ascii="Arial" w:cs="Arial" w:eastAsia="Arial" w:hAnsi="Arial"/>
          <w:sz w:val="18"/>
          <w:szCs w:val="18"/>
          <w:color w:val="auto"/>
        </w:rPr>
        <w:t>.</w:t>
      </w:r>
      <w:r>
        <w:rPr>
          <w:rFonts w:ascii="Arial" w:cs="Arial" w:eastAsia="Arial" w:hAnsi="Arial"/>
          <w:sz w:val="18"/>
          <w:szCs w:val="18"/>
          <w:color w:val="FF0000"/>
          <w:strike w:val="1"/>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Cause [</w:t>
      </w:r>
      <w:r>
        <w:rPr>
          <w:rFonts w:ascii="Arial" w:cs="Arial" w:eastAsia="Arial" w:hAnsi="Arial"/>
          <w:sz w:val="18"/>
          <w:szCs w:val="18"/>
          <w:color w:val="FF0000"/>
          <w:strike w:val="1"/>
        </w:rPr>
        <w:t>not less than one (1)</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w:t>
      </w:r>
      <w:r>
        <w:rPr>
          <w:rFonts w:ascii="Arial" w:cs="Arial" w:eastAsia="Arial" w:hAnsi="Arial"/>
          <w:sz w:val="18"/>
          <w:szCs w:val="18"/>
          <w:color w:val="FF0000"/>
          <w:strike w:val="1"/>
        </w:rPr>
        <w:t>inventory</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inventories</w:t>
      </w:r>
      <w:r>
        <w:rPr>
          <w:rFonts w:ascii="Arial" w:cs="Arial" w:eastAsia="Arial" w:hAnsi="Arial"/>
          <w:sz w:val="18"/>
          <w:szCs w:val="18"/>
          <w:b w:val="1"/>
          <w:bCs w:val="1"/>
          <w:color w:val="auto"/>
        </w:rPr>
        <w:t xml:space="preserve"> </w:t>
      </w:r>
      <w:r>
        <w:rPr>
          <w:rFonts w:ascii="Arial" w:cs="Arial" w:eastAsia="Arial" w:hAnsi="Arial"/>
          <w:sz w:val="18"/>
          <w:szCs w:val="18"/>
          <w:color w:val="auto"/>
        </w:rPr>
        <w:t>to be undertaken at each Store, at the expense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Parties, [</w:t>
      </w:r>
      <w:r>
        <w:rPr>
          <w:rFonts w:ascii="Arial" w:cs="Arial" w:eastAsia="Arial" w:hAnsi="Arial"/>
          <w:sz w:val="18"/>
          <w:szCs w:val="18"/>
          <w:color w:val="FF0000"/>
          <w:strike w:val="1"/>
        </w:rPr>
        <w:t>in each Fiscal Year</w:t>
      </w:r>
      <w:r>
        <w:rPr>
          <w:rFonts w:ascii="Arial" w:cs="Arial" w:eastAsia="Arial" w:hAnsi="Arial"/>
          <w:sz w:val="18"/>
          <w:szCs w:val="18"/>
          <w:color w:val="auto"/>
        </w:rPr>
        <w:t xml:space="preserve"> ]and periodic cycle counts at each distribution center, in each case </w:t>
      </w:r>
      <w:r>
        <w:rPr>
          <w:rFonts w:ascii="Arial" w:cs="Arial" w:eastAsia="Arial" w:hAnsi="Arial"/>
          <w:sz w:val="18"/>
          <w:szCs w:val="18"/>
          <w:b w:val="1"/>
          <w:bCs w:val="1"/>
          <w:u w:val="single" w:color="auto"/>
          <w:color w:val="0000FF"/>
        </w:rPr>
        <w:t>in a commercially reasonable frequency</w:t>
      </w:r>
      <w:r>
        <w:rPr>
          <w:rFonts w:ascii="Arial" w:cs="Arial" w:eastAsia="Arial" w:hAnsi="Arial"/>
          <w:sz w:val="18"/>
          <w:szCs w:val="18"/>
          <w:color w:val="auto"/>
        </w:rPr>
        <w:t xml:space="preserve"> consistent with past practices, [</w:t>
      </w:r>
      <w:r>
        <w:rPr>
          <w:rFonts w:ascii="Arial" w:cs="Arial" w:eastAsia="Arial" w:hAnsi="Arial"/>
          <w:sz w:val="18"/>
          <w:szCs w:val="18"/>
          <w:color w:val="FF0000"/>
          <w:strike w:val="1"/>
        </w:rPr>
        <w:t>conducted by such inventory takers as are satisfactory to the Lender and</w:t>
      </w:r>
      <w:r>
        <w:rPr>
          <w:rFonts w:ascii="Arial" w:cs="Arial" w:eastAsia="Arial" w:hAnsi="Arial"/>
          <w:sz w:val="18"/>
          <w:szCs w:val="18"/>
          <w:color w:val="auto"/>
        </w:rPr>
        <w:t xml:space="preserve"> ]following such methodology as is </w:t>
      </w:r>
      <w:r>
        <w:rPr>
          <w:rFonts w:ascii="Arial" w:cs="Arial" w:eastAsia="Arial" w:hAnsi="Arial"/>
          <w:sz w:val="18"/>
          <w:szCs w:val="18"/>
          <w:b w:val="1"/>
          <w:bCs w:val="1"/>
          <w:u w:val="single" w:color="auto"/>
          <w:color w:val="0000FF"/>
        </w:rPr>
        <w:t>materially</w:t>
      </w:r>
      <w:r>
        <w:rPr>
          <w:rFonts w:ascii="Arial" w:cs="Arial" w:eastAsia="Arial" w:hAnsi="Arial"/>
          <w:sz w:val="18"/>
          <w:szCs w:val="18"/>
          <w:color w:val="auto"/>
        </w:rPr>
        <w:t xml:space="preserve"> consistent with the methodology used in the immediately preceding inventory or as otherwise may be [</w:t>
      </w:r>
      <w:r>
        <w:rPr>
          <w:rFonts w:ascii="Arial" w:cs="Arial" w:eastAsia="Arial" w:hAnsi="Arial"/>
          <w:sz w:val="18"/>
          <w:szCs w:val="18"/>
          <w:color w:val="FF0000"/>
          <w:strike w:val="1"/>
        </w:rPr>
        <w:t>satisfactory to the Lender</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commercially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reasonable</w:t>
      </w:r>
      <w:r>
        <w:rPr>
          <w:rFonts w:ascii="Arial" w:cs="Arial" w:eastAsia="Arial" w:hAnsi="Arial"/>
          <w:sz w:val="18"/>
          <w:szCs w:val="18"/>
          <w:color w:val="000000"/>
        </w:rPr>
        <w:t>. The Lender, at the expense of the Loan Parties, may participate in and/or observe each scheduled physical count of Inventory which is</w:t>
      </w:r>
      <w:r>
        <w:rPr>
          <w:rFonts w:ascii="Arial" w:cs="Arial" w:eastAsia="Arial" w:hAnsi="Arial"/>
          <w:sz w:val="18"/>
          <w:szCs w:val="18"/>
          <w:b w:val="1"/>
          <w:bCs w:val="1"/>
          <w:color w:val="0000FF"/>
        </w:rPr>
        <w:t xml:space="preserve"> </w:t>
      </w:r>
      <w:r>
        <w:rPr>
          <w:rFonts w:ascii="Arial" w:cs="Arial" w:eastAsia="Arial" w:hAnsi="Arial"/>
          <w:sz w:val="18"/>
          <w:szCs w:val="18"/>
          <w:color w:val="000000"/>
        </w:rPr>
        <w:t>undertaken on behalf of any Loan Party. The Borrower, upon the request of the Lender, shall provide the Lender with a reconciliation of the results of such inventory (as well as of any other physical inventory or cycle counts undertaken by a Loan Party) and shall post such results to the Loan Parties’ stock ledgers and general ledgers, as applicable.</w:t>
      </w:r>
    </w:p>
    <w:p>
      <w:pPr>
        <w:spacing w:after="0" w:line="196" w:lineRule="exact"/>
        <w:rPr>
          <w:sz w:val="20"/>
          <w:szCs w:val="20"/>
          <w:color w:val="auto"/>
        </w:rPr>
      </w:pPr>
    </w:p>
    <w:p>
      <w:pPr>
        <w:ind w:left="660" w:firstLine="644"/>
        <w:spacing w:after="0" w:line="277" w:lineRule="auto"/>
        <w:tabs>
          <w:tab w:leader="none" w:pos="1873" w:val="left"/>
        </w:tabs>
        <w:numPr>
          <w:ilvl w:val="0"/>
          <w:numId w:val="135"/>
        </w:numPr>
        <w:rPr>
          <w:rFonts w:ascii="Arial" w:cs="Arial" w:eastAsia="Arial" w:hAnsi="Arial"/>
          <w:sz w:val="18"/>
          <w:szCs w:val="18"/>
          <w:color w:val="FF0000"/>
        </w:rPr>
      </w:pPr>
      <w:r>
        <w:rPr>
          <w:rFonts w:ascii="Arial" w:cs="Arial" w:eastAsia="Arial" w:hAnsi="Arial"/>
          <w:sz w:val="18"/>
          <w:szCs w:val="18"/>
          <w:color w:val="auto"/>
        </w:rPr>
        <w:t>[</w:t>
      </w:r>
      <w:r>
        <w:rPr>
          <w:rFonts w:ascii="Arial" w:cs="Arial" w:eastAsia="Arial" w:hAnsi="Arial"/>
          <w:sz w:val="18"/>
          <w:szCs w:val="18"/>
          <w:color w:val="FF0000"/>
          <w:strike w:val="1"/>
        </w:rPr>
        <w:t>Permit the Lender, in its discretion, if any Default or Event of Default exists, to cause additional such inventories to be taken as</w:t>
      </w:r>
      <w:r>
        <w:rPr>
          <w:rFonts w:ascii="Arial" w:cs="Arial" w:eastAsia="Arial" w:hAnsi="Arial"/>
          <w:sz w:val="18"/>
          <w:szCs w:val="18"/>
          <w:color w:val="auto"/>
        </w:rPr>
        <w:t xml:space="preserve"> </w:t>
      </w:r>
      <w:r>
        <w:rPr>
          <w:rFonts w:ascii="Arial" w:cs="Arial" w:eastAsia="Arial" w:hAnsi="Arial"/>
          <w:sz w:val="18"/>
          <w:szCs w:val="18"/>
          <w:color w:val="FF0000"/>
          <w:strike w:val="1"/>
        </w:rPr>
        <w:t>the Lender determines (each, at the expense of the Loan Parties).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-224790</wp:posOffset>
            </wp:positionV>
            <wp:extent cx="35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8775" cy="8890"/>
                    </a:xfrm>
                    <a:prstGeom prst="rect">
                      <a:avLst/>
                    </a:prstGeom>
                    <a:noFill/>
                  </pic:spPr>
                </pic:pic>
              </a:graphicData>
            </a:graphic>
          </wp:anchor>
        </w:drawing>
      </w:r>
    </w:p>
    <w:p>
      <w:pPr>
        <w:spacing w:after="0" w:line="14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6.15</w:t>
      </w:r>
      <w:r>
        <w:rPr>
          <w:sz w:val="20"/>
          <w:szCs w:val="20"/>
          <w:color w:val="auto"/>
        </w:rPr>
        <w:tab/>
      </w:r>
      <w:r>
        <w:rPr>
          <w:rFonts w:ascii="Arial" w:cs="Arial" w:eastAsia="Arial" w:hAnsi="Arial"/>
          <w:sz w:val="16"/>
          <w:szCs w:val="16"/>
          <w:b w:val="1"/>
          <w:bCs w:val="1"/>
          <w:color w:val="auto"/>
        </w:rPr>
        <w:t>Environmental Laws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72" w:lineRule="auto"/>
        <w:tabs>
          <w:tab w:leader="none" w:pos="253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color w:val="FF0000"/>
          <w:strike w:val="1"/>
        </w:rPr>
        <w:t>Conduct its operations and keep and maintain its Real Estate</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Comply</w:t>
      </w:r>
      <w:r>
        <w:rPr>
          <w:rFonts w:ascii="Arial" w:cs="Arial" w:eastAsia="Arial" w:hAnsi="Arial"/>
          <w:sz w:val="17"/>
          <w:szCs w:val="17"/>
          <w:color w:val="auto"/>
        </w:rPr>
        <w:t xml:space="preserve"> in </w:t>
      </w:r>
      <w:r>
        <w:rPr>
          <w:rFonts w:ascii="Arial" w:cs="Arial" w:eastAsia="Arial" w:hAnsi="Arial"/>
          <w:sz w:val="17"/>
          <w:szCs w:val="17"/>
          <w:b w:val="1"/>
          <w:bCs w:val="1"/>
          <w:u w:val="single" w:color="auto"/>
          <w:color w:val="0000FF"/>
        </w:rPr>
        <w:t>all</w:t>
      </w:r>
      <w:r>
        <w:rPr>
          <w:rFonts w:ascii="Arial" w:cs="Arial" w:eastAsia="Arial" w:hAnsi="Arial"/>
          <w:sz w:val="17"/>
          <w:szCs w:val="17"/>
          <w:color w:val="auto"/>
        </w:rPr>
        <w:t xml:space="preserve"> material [</w:t>
      </w:r>
      <w:r>
        <w:rPr>
          <w:rFonts w:ascii="Arial" w:cs="Arial" w:eastAsia="Arial" w:hAnsi="Arial"/>
          <w:sz w:val="17"/>
          <w:szCs w:val="17"/>
          <w:color w:val="FF0000"/>
          <w:strike w:val="1"/>
        </w:rPr>
        <w:t>compliance</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respects</w:t>
      </w:r>
      <w:r>
        <w:rPr>
          <w:rFonts w:ascii="Arial" w:cs="Arial" w:eastAsia="Arial" w:hAnsi="Arial"/>
          <w:sz w:val="17"/>
          <w:szCs w:val="17"/>
          <w:color w:val="auto"/>
        </w:rPr>
        <w:t xml:space="preserve"> with all Environmental Laws; (b) obtain and renew all environmental permits necessary for its operations and properties; and (c) implement any and all investigation, remediation, removal and response actions that are [</w:t>
      </w:r>
      <w:r>
        <w:rPr>
          <w:rFonts w:ascii="Arial" w:cs="Arial" w:eastAsia="Arial" w:hAnsi="Arial"/>
          <w:sz w:val="17"/>
          <w:szCs w:val="17"/>
          <w:color w:val="FF0000"/>
          <w:strike w:val="1"/>
        </w:rPr>
        <w:t>appropriate or</w:t>
      </w:r>
      <w:r>
        <w:rPr>
          <w:rFonts w:ascii="Arial" w:cs="Arial" w:eastAsia="Arial" w:hAnsi="Arial"/>
          <w:sz w:val="17"/>
          <w:szCs w:val="17"/>
          <w:color w:val="auto"/>
        </w:rPr>
        <w:t xml:space="preserve"> ]necessary to[ </w:t>
      </w:r>
      <w:r>
        <w:rPr>
          <w:rFonts w:ascii="Arial" w:cs="Arial" w:eastAsia="Arial" w:hAnsi="Arial"/>
          <w:sz w:val="17"/>
          <w:szCs w:val="17"/>
          <w:color w:val="FF0000"/>
          <w:strike w:val="1"/>
        </w:rPr>
        <w:t>maintain the value and marketability of the Real</w:t>
      </w:r>
      <w:r>
        <w:rPr>
          <w:rFonts w:ascii="Arial" w:cs="Arial" w:eastAsia="Arial" w:hAnsi="Arial"/>
          <w:sz w:val="17"/>
          <w:szCs w:val="17"/>
          <w:color w:val="auto"/>
        </w:rPr>
        <w:t xml:space="preserve"> </w:t>
      </w:r>
      <w:r>
        <w:rPr>
          <w:rFonts w:ascii="Arial" w:cs="Arial" w:eastAsia="Arial" w:hAnsi="Arial"/>
          <w:sz w:val="17"/>
          <w:szCs w:val="17"/>
          <w:color w:val="FF0000"/>
          <w:strike w:val="1"/>
        </w:rPr>
        <w:t>Estate or to otherwise</w:t>
      </w:r>
      <w:r>
        <w:rPr>
          <w:rFonts w:ascii="Arial" w:cs="Arial" w:eastAsia="Arial" w:hAnsi="Arial"/>
          <w:sz w:val="17"/>
          <w:szCs w:val="17"/>
          <w:color w:val="000000"/>
        </w:rPr>
        <w:t>] comply with Environmental Laws pertaining to the presence, generation, treatment, storage, use, disposal, transportation or</w:t>
      </w:r>
      <w:r>
        <w:rPr>
          <w:rFonts w:ascii="Arial" w:cs="Arial" w:eastAsia="Arial" w:hAnsi="Arial"/>
          <w:sz w:val="17"/>
          <w:szCs w:val="17"/>
          <w:color w:val="FF0000"/>
        </w:rPr>
        <w:t xml:space="preserve"> </w:t>
      </w:r>
      <w:r>
        <w:rPr>
          <w:rFonts w:ascii="Arial" w:cs="Arial" w:eastAsia="Arial" w:hAnsi="Arial"/>
          <w:sz w:val="17"/>
          <w:szCs w:val="17"/>
          <w:color w:val="000000"/>
        </w:rPr>
        <w:t xml:space="preserve">release of any Hazardous Materials on, at, in, under, above, to, from or about any of its Real Estate,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xml:space="preserve">, that neither a Loan Party nor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000000"/>
        </w:rPr>
        <w:t xml:space="preserve"> Subsidiaries shall be required to undertake any such cleanup, removal, remedial or other action to the extent that its obligation to do so is being contested in good faith and by proper proceedings and adequate reserves have been set aside and are being maintained by the Loan Parties with respect to such circumstances in accordance with GAAP.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105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6.16 Further Assurances</w:t>
      </w:r>
      <w:r>
        <w:rPr>
          <w:rFonts w:ascii="Arial" w:cs="Arial" w:eastAsia="Arial" w:hAnsi="Arial"/>
          <w:sz w:val="18"/>
          <w:szCs w:val="18"/>
          <w:color w:val="auto"/>
        </w:rPr>
        <w:t>. Execute any and all further documents, financing statements, agreements and instruments, and take all such</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actions (including the filing and recording of financing statements and other documents), that may be required under any Law, or which the Lender may request, to effectuate the transactions contemplated by the Loan Documents or to grant, preserve, protect or perfect the Liens created or intended to be created by the Security Documents or the validity or priority of any such Lien, all at the expense of the Loan Parties. The Loan Parties also agree to provide to the Lender, from time to time upon request, evidence satisfactory to the Lender as to the perfection and priority of the Liens created or intended to be created by the Security Documents.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6.17 Compliance with Terms of Leaseholds</w:t>
      </w:r>
      <w:r>
        <w:rPr>
          <w:rFonts w:ascii="Arial" w:cs="Arial" w:eastAsia="Arial" w:hAnsi="Arial"/>
          <w:sz w:val="16"/>
          <w:szCs w:val="16"/>
          <w:color w:val="auto"/>
        </w:rPr>
        <w:t>. Except as otherwise [</w:t>
      </w:r>
      <w:r>
        <w:rPr>
          <w:rFonts w:ascii="Arial" w:cs="Arial" w:eastAsia="Arial" w:hAnsi="Arial"/>
          <w:sz w:val="16"/>
          <w:szCs w:val="16"/>
          <w:color w:val="FF0000"/>
          <w:strike w:val="1"/>
        </w:rPr>
        <w:t>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hereunder, (a) make all payments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0000FF"/>
        </w:rPr>
        <w:t>(other than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0000FF"/>
        </w:rPr>
        <w:t>payments that are disputed in good faith or subject to reconciliation)</w:t>
      </w:r>
      <w:r>
        <w:rPr>
          <w:rFonts w:ascii="Arial" w:cs="Arial" w:eastAsia="Arial" w:hAnsi="Arial"/>
          <w:sz w:val="16"/>
          <w:szCs w:val="16"/>
          <w:b w:val="1"/>
          <w:bCs w:val="1"/>
          <w:color w:val="0000FF"/>
        </w:rPr>
        <w:t xml:space="preserve"> </w:t>
      </w:r>
      <w:r>
        <w:rPr>
          <w:rFonts w:ascii="Arial" w:cs="Arial" w:eastAsia="Arial" w:hAnsi="Arial"/>
          <w:sz w:val="16"/>
          <w:szCs w:val="16"/>
          <w:color w:val="000000"/>
        </w:rPr>
        <w:t>and otherwise perform all</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material</w:t>
      </w:r>
      <w:r>
        <w:rPr>
          <w:rFonts w:ascii="Arial" w:cs="Arial" w:eastAsia="Arial" w:hAnsi="Arial"/>
          <w:sz w:val="16"/>
          <w:szCs w:val="16"/>
          <w:b w:val="1"/>
          <w:bCs w:val="1"/>
          <w:color w:val="0000FF"/>
        </w:rPr>
        <w:t xml:space="preserve"> </w:t>
      </w:r>
      <w:r>
        <w:rPr>
          <w:rFonts w:ascii="Arial" w:cs="Arial" w:eastAsia="Arial" w:hAnsi="Arial"/>
          <w:sz w:val="16"/>
          <w:szCs w:val="16"/>
          <w:color w:val="000000"/>
        </w:rPr>
        <w:t>obligations in respect of</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 xml:space="preserve"> </w:t>
      </w:r>
      <w:r>
        <w:rPr>
          <w:rFonts w:ascii="Arial" w:cs="Arial" w:eastAsia="Arial" w:hAnsi="Arial"/>
          <w:sz w:val="16"/>
          <w:szCs w:val="16"/>
          <w:color w:val="000000"/>
        </w:rPr>
        <w:t>all Leases</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in</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respect of distribution centers and (ii) all Leases (other than Leases in respect of distribution centers)</w:t>
      </w:r>
      <w:r>
        <w:rPr>
          <w:rFonts w:ascii="Arial" w:cs="Arial" w:eastAsia="Arial" w:hAnsi="Arial"/>
          <w:sz w:val="16"/>
          <w:szCs w:val="16"/>
          <w:b w:val="1"/>
          <w:bCs w:val="1"/>
          <w:color w:val="0000FF"/>
        </w:rPr>
        <w:t xml:space="preserve"> </w:t>
      </w:r>
      <w:r>
        <w:rPr>
          <w:rFonts w:ascii="Arial" w:cs="Arial" w:eastAsia="Arial" w:hAnsi="Arial"/>
          <w:sz w:val="16"/>
          <w:szCs w:val="16"/>
          <w:color w:val="000000"/>
        </w:rPr>
        <w:t>to which any Loan Party or any of its</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Restricted</w:t>
      </w:r>
      <w:r>
        <w:rPr>
          <w:rFonts w:ascii="Arial" w:cs="Arial" w:eastAsia="Arial" w:hAnsi="Arial"/>
          <w:sz w:val="16"/>
          <w:szCs w:val="16"/>
          <w:b w:val="1"/>
          <w:bCs w:val="1"/>
          <w:color w:val="0000FF"/>
        </w:rPr>
        <w:t xml:space="preserve"> </w:t>
      </w:r>
      <w:r>
        <w:rPr>
          <w:rFonts w:ascii="Arial" w:cs="Arial" w:eastAsia="Arial" w:hAnsi="Arial"/>
          <w:sz w:val="16"/>
          <w:szCs w:val="16"/>
          <w:color w:val="000000"/>
        </w:rPr>
        <w:t>Subsidiaries is a party[</w:t>
      </w:r>
      <w:r>
        <w:rPr>
          <w:rFonts w:ascii="Arial" w:cs="Arial" w:eastAsia="Arial" w:hAnsi="Arial"/>
          <w:sz w:val="16"/>
          <w:szCs w:val="16"/>
          <w:color w:val="FF0000"/>
          <w:strike w:val="1"/>
        </w:rPr>
        <w:t>, keep such Leases in full force and effect</w:t>
      </w:r>
      <w:r>
        <w:rPr>
          <w:rFonts w:ascii="Arial" w:cs="Arial" w:eastAsia="Arial" w:hAnsi="Arial"/>
          <w:sz w:val="16"/>
          <w:szCs w:val="16"/>
          <w:color w:val="000000"/>
        </w:rPr>
        <w:t>]</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and where the failure to make such payments or perform such obligations</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would reasonably be expected to result in a Material Adverse Effect,</w:t>
      </w:r>
      <w:r>
        <w:rPr>
          <w:rFonts w:ascii="Arial" w:cs="Arial" w:eastAsia="Arial" w:hAnsi="Arial"/>
          <w:sz w:val="16"/>
          <w:szCs w:val="16"/>
          <w:b w:val="1"/>
          <w:bCs w:val="1"/>
          <w:color w:val="0000FF"/>
        </w:rPr>
        <w:t xml:space="preserve"> </w:t>
      </w:r>
      <w:r>
        <w:rPr>
          <w:rFonts w:ascii="Arial" w:cs="Arial" w:eastAsia="Arial" w:hAnsi="Arial"/>
          <w:sz w:val="16"/>
          <w:szCs w:val="16"/>
          <w:color w:val="000000"/>
        </w:rPr>
        <w:t>(b) not allow such Leases to lapse or be terminated or any rights to renew such</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Leases to be forfeited or cancelled except in the ordinary course of business, consistent with past practices, </w:t>
      </w:r>
      <w:r>
        <w:rPr>
          <w:rFonts w:ascii="Arial" w:cs="Arial" w:eastAsia="Arial" w:hAnsi="Arial"/>
          <w:sz w:val="16"/>
          <w:szCs w:val="16"/>
          <w:b w:val="1"/>
          <w:bCs w:val="1"/>
          <w:u w:val="single" w:color="auto"/>
          <w:color w:val="0000FF"/>
        </w:rPr>
        <w:t>or, except for Leases in respect of</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distribution centers if such lapse, termination, forfeiture or cancellation would not reasonably be expected to result in a Material Adverse Effect,</w:t>
      </w:r>
    </w:p>
    <w:p>
      <w:pPr>
        <w:spacing w:after="0" w:line="1" w:lineRule="exact"/>
        <w:rPr>
          <w:sz w:val="20"/>
          <w:szCs w:val="20"/>
          <w:color w:val="auto"/>
        </w:rPr>
      </w:pPr>
    </w:p>
    <w:p>
      <w:pPr>
        <w:jc w:val="both"/>
        <w:ind w:firstLine="8"/>
        <w:spacing w:after="0" w:line="270" w:lineRule="auto"/>
        <w:tabs>
          <w:tab w:leader="none" w:pos="25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notify the Lender of any default by [</w:t>
      </w:r>
      <w:r>
        <w:rPr>
          <w:rFonts w:ascii="Arial" w:cs="Arial" w:eastAsia="Arial" w:hAnsi="Arial"/>
          <w:sz w:val="17"/>
          <w:szCs w:val="17"/>
          <w:color w:val="FF0000"/>
          <w:strike w:val="1"/>
        </w:rPr>
        <w:t>any party</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a Loan Party</w:t>
      </w:r>
      <w:r>
        <w:rPr>
          <w:rFonts w:ascii="Arial" w:cs="Arial" w:eastAsia="Arial" w:hAnsi="Arial"/>
          <w:sz w:val="17"/>
          <w:szCs w:val="17"/>
          <w:color w:val="auto"/>
        </w:rPr>
        <w:t xml:space="preserve"> with respect to </w:t>
      </w:r>
      <w:r>
        <w:rPr>
          <w:rFonts w:ascii="Arial" w:cs="Arial" w:eastAsia="Arial" w:hAnsi="Arial"/>
          <w:sz w:val="17"/>
          <w:szCs w:val="17"/>
          <w:b w:val="1"/>
          <w:bCs w:val="1"/>
          <w:u w:val="single" w:color="auto"/>
          <w:color w:val="0000FF"/>
        </w:rPr>
        <w:t>(i) Leases in respect of distribution centers and (ii)</w:t>
      </w:r>
      <w:r>
        <w:rPr>
          <w:rFonts w:ascii="Arial" w:cs="Arial" w:eastAsia="Arial" w:hAnsi="Arial"/>
          <w:sz w:val="17"/>
          <w:szCs w:val="17"/>
          <w:color w:val="auto"/>
        </w:rPr>
        <w:t xml:space="preserve"> such </w:t>
      </w:r>
      <w:r>
        <w:rPr>
          <w:rFonts w:ascii="Arial" w:cs="Arial" w:eastAsia="Arial" w:hAnsi="Arial"/>
          <w:sz w:val="17"/>
          <w:szCs w:val="17"/>
          <w:b w:val="1"/>
          <w:bCs w:val="1"/>
          <w:u w:val="single" w:color="auto"/>
          <w:color w:val="0000FF"/>
        </w:rPr>
        <w:t>other</w:t>
      </w:r>
      <w:r>
        <w:rPr>
          <w:rFonts w:ascii="Arial" w:cs="Arial" w:eastAsia="Arial" w:hAnsi="Arial"/>
          <w:sz w:val="17"/>
          <w:szCs w:val="17"/>
          <w:color w:val="auto"/>
        </w:rPr>
        <w:t xml:space="preserve"> Leases </w:t>
      </w:r>
      <w:r>
        <w:rPr>
          <w:rFonts w:ascii="Arial" w:cs="Arial" w:eastAsia="Arial" w:hAnsi="Arial"/>
          <w:sz w:val="17"/>
          <w:szCs w:val="17"/>
          <w:b w:val="1"/>
          <w:bCs w:val="1"/>
          <w:u w:val="single" w:color="auto"/>
          <w:color w:val="0000FF"/>
        </w:rPr>
        <w:t>(other than in respect of distribution centers) that would reasonably be expected to result in an Material Adverse Effect</w:t>
      </w:r>
      <w:r>
        <w:rPr>
          <w:rFonts w:ascii="Arial" w:cs="Arial" w:eastAsia="Arial" w:hAnsi="Arial"/>
          <w:sz w:val="17"/>
          <w:szCs w:val="17"/>
          <w:b w:val="1"/>
          <w:bCs w:val="1"/>
          <w:color w:val="0000FF"/>
        </w:rPr>
        <w:t xml:space="preserve"> </w:t>
      </w:r>
      <w:r>
        <w:rPr>
          <w:rFonts w:ascii="Arial" w:cs="Arial" w:eastAsia="Arial" w:hAnsi="Arial"/>
          <w:sz w:val="17"/>
          <w:szCs w:val="17"/>
          <w:color w:val="000000"/>
        </w:rPr>
        <w:t>and cooperate with the</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Lender in all respects to cure any such default, and (d) cause each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000000"/>
        </w:rPr>
        <w:t xml:space="preserve"> Subsidiaries to do the foregoing. Notwithstanding the foregoing, the Loan Parties shall be permitted to allow Leases to lapse or be terminated to the extent such Leases are no longer used or useful in the conduct of the business of the Loan Parties in the ordinary course of business, consistent with past practices, and nothing herein shall preclude the Loan Parties from contesting in good faith any dispute with the lessor with respect to any Lease.</w:t>
      </w:r>
    </w:p>
    <w:p>
      <w:pPr>
        <w:spacing w:after="0" w:line="174"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b w:val="1"/>
          <w:bCs w:val="1"/>
          <w:color w:val="auto"/>
        </w:rPr>
        <w:t>6.18</w:t>
      </w:r>
      <w:r>
        <w:rPr>
          <w:sz w:val="20"/>
          <w:szCs w:val="20"/>
          <w:color w:val="auto"/>
        </w:rPr>
        <w:tab/>
      </w:r>
      <w:r>
        <w:rPr>
          <w:rFonts w:ascii="Arial" w:cs="Arial" w:eastAsia="Arial" w:hAnsi="Arial"/>
          <w:sz w:val="16"/>
          <w:szCs w:val="16"/>
          <w:b w:val="1"/>
          <w:bCs w:val="1"/>
          <w:color w:val="auto"/>
        </w:rPr>
        <w:t xml:space="preserve">Material Contracts. </w:t>
      </w:r>
      <w:r>
        <w:rPr>
          <w:rFonts w:ascii="Arial" w:cs="Arial" w:eastAsia="Arial" w:hAnsi="Arial"/>
          <w:sz w:val="16"/>
          <w:szCs w:val="16"/>
          <w:color w:val="auto"/>
        </w:rPr>
        <w:t>(a) Perform and observe all the terms and provisions of each Material Contract to be performed or observed by it,</w:t>
      </w:r>
    </w:p>
    <w:p>
      <w:pPr>
        <w:spacing w:after="0" w:line="27" w:lineRule="exact"/>
        <w:rPr>
          <w:sz w:val="20"/>
          <w:szCs w:val="20"/>
          <w:color w:val="auto"/>
        </w:rPr>
      </w:pPr>
    </w:p>
    <w:p>
      <w:pPr>
        <w:jc w:val="both"/>
        <w:ind w:firstLine="8"/>
        <w:spacing w:after="0" w:line="255" w:lineRule="auto"/>
        <w:tabs>
          <w:tab w:leader="none" w:pos="2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maintain each such Material Contract in full force and effect except to the extent such Material Contract is no longer used or useful in the conduct of the business of the Loan Parties in the ordinary course of business, consistent with past practices, (c) enforce each such Material Contract in accordance with its terms, and (d) cause each of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to do the foregoing.</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6.19 Anti-Corruption Laws; Sanctions </w:t>
      </w:r>
      <w:r>
        <w:rPr>
          <w:rFonts w:ascii="Arial" w:cs="Arial" w:eastAsia="Arial" w:hAnsi="Arial"/>
          <w:sz w:val="18"/>
          <w:szCs w:val="18"/>
          <w:color w:val="FF0000"/>
          <w:strike w:val="1"/>
        </w:rPr>
        <w:t>6.20</w:t>
      </w:r>
      <w:r>
        <w:rPr>
          <w:rFonts w:ascii="Arial" w:cs="Arial" w:eastAsia="Arial" w:hAnsi="Arial"/>
          <w:sz w:val="18"/>
          <w:szCs w:val="18"/>
          <w:b w:val="1"/>
          <w:bCs w:val="1"/>
          <w:color w:val="auto"/>
        </w:rPr>
        <w:t xml:space="preserve"> . </w:t>
      </w:r>
      <w:r>
        <w:rPr>
          <w:rFonts w:ascii="Arial" w:cs="Arial" w:eastAsia="Arial" w:hAnsi="Arial"/>
          <w:sz w:val="18"/>
          <w:szCs w:val="18"/>
          <w:color w:val="auto"/>
        </w:rPr>
        <w:t>Conduct its businesses in compliance in all material respects with the United States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Corrupt Practices Act of 1977[</w:t>
      </w:r>
      <w:r>
        <w:rPr>
          <w:rFonts w:ascii="Arial" w:cs="Arial" w:eastAsia="Arial" w:hAnsi="Arial"/>
          <w:sz w:val="18"/>
          <w:szCs w:val="18"/>
          <w:color w:val="FF0000"/>
          <w:strike w:val="1"/>
        </w:rPr>
        <w:t>, the UK Bribery Act 2010,</w:t>
      </w:r>
      <w:r>
        <w:rPr>
          <w:rFonts w:ascii="Arial" w:cs="Arial" w:eastAsia="Arial" w:hAnsi="Arial"/>
          <w:sz w:val="18"/>
          <w:szCs w:val="18"/>
          <w:color w:val="auto"/>
        </w:rPr>
        <w:t>] and other applicable [</w:t>
      </w:r>
      <w:r>
        <w:rPr>
          <w:rFonts w:ascii="Arial" w:cs="Arial" w:eastAsia="Arial" w:hAnsi="Arial"/>
          <w:sz w:val="18"/>
          <w:szCs w:val="18"/>
          <w:color w:val="FF0000"/>
          <w:strike w:val="1"/>
        </w:rPr>
        <w:t>anti-corruption legislation in other jurisdictions</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Anti-Corruption Laws</w:t>
      </w:r>
      <w:r>
        <w:rPr>
          <w:rFonts w:ascii="Arial" w:cs="Arial" w:eastAsia="Arial" w:hAnsi="Arial"/>
          <w:sz w:val="18"/>
          <w:szCs w:val="18"/>
          <w:color w:val="auto"/>
        </w:rPr>
        <w:t xml:space="preserve"> and with all applicable Sanctions, and maintain policies and procedures </w:t>
      </w:r>
      <w:r>
        <w:rPr>
          <w:rFonts w:ascii="Arial" w:cs="Arial" w:eastAsia="Arial" w:hAnsi="Arial"/>
          <w:sz w:val="18"/>
          <w:szCs w:val="18"/>
          <w:b w:val="1"/>
          <w:bCs w:val="1"/>
          <w:u w:val="single" w:color="auto"/>
          <w:color w:val="0000FF"/>
        </w:rPr>
        <w:t>reasonably</w:t>
      </w:r>
      <w:r>
        <w:rPr>
          <w:rFonts w:ascii="Arial" w:cs="Arial" w:eastAsia="Arial" w:hAnsi="Arial"/>
          <w:sz w:val="18"/>
          <w:szCs w:val="18"/>
          <w:color w:val="auto"/>
        </w:rPr>
        <w:t xml:space="preserve"> designed to promote and achieve compliance with such [</w:t>
      </w:r>
      <w:r>
        <w:rPr>
          <w:rFonts w:ascii="Arial" w:cs="Arial" w:eastAsia="Arial" w:hAnsi="Arial"/>
          <w:sz w:val="18"/>
          <w:szCs w:val="18"/>
          <w:color w:val="FF0000"/>
          <w:strike w:val="1"/>
        </w:rPr>
        <w:t>laws</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Anti-Corruption Laws</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Sanctions.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106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color w:val="0000FF"/>
        </w:rPr>
        <w:t xml:space="preserve">6.20 </w:t>
      </w:r>
      <w:r>
        <w:rPr>
          <w:rFonts w:ascii="Arial" w:cs="Arial" w:eastAsia="Arial" w:hAnsi="Arial"/>
          <w:sz w:val="16"/>
          <w:szCs w:val="16"/>
          <w:b w:val="1"/>
          <w:bCs w:val="1"/>
          <w:u w:val="single" w:color="auto"/>
          <w:color w:val="0000FF"/>
        </w:rPr>
        <w:t>Designation of Subsidiaries. The Board of Directors of the Borrower may at any time designate any Restricted Subsidiary as an</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Unrestricted Subsidiary or any Unrestricted Subsidiary as a Restricted Subsidiary, in each case, upon written notice to the Lender; provided that</w:t>
      </w:r>
    </w:p>
    <w:p>
      <w:pPr>
        <w:spacing w:after="0" w:line="1" w:lineRule="exact"/>
        <w:rPr>
          <w:sz w:val="20"/>
          <w:szCs w:val="20"/>
          <w:color w:val="auto"/>
        </w:rPr>
      </w:pPr>
    </w:p>
    <w:p>
      <w:pPr>
        <w:jc w:val="both"/>
        <w:ind w:firstLine="8"/>
        <w:spacing w:after="0" w:line="286" w:lineRule="auto"/>
        <w:tabs>
          <w:tab w:leader="none" w:pos="215" w:val="left"/>
        </w:tabs>
        <w:numPr>
          <w:ilvl w:val="0"/>
          <w:numId w:val="139"/>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the designation of any Restricted Subsidiary as an Unrestricted Subsidiary shall constitute an Investment by the Borrower therein at the date of designation in an amount equal to the Fair Market Value of the Borrower’s investment therein subject to pro forma compliance with the Payment Conditions, (ii) the designation of any Unrestricted Subsidiary as a Restricted Subsidiary shall constitute the incurrence at the time of designation of any Indebtedness or Liens of such Subsidiary existing at such time, (iii) the Borrower may not (x) designate any Restricted Subsidiary as an Unrestricted Subsidiary, or (y) designate an Unrestricted Subsidiary as a Restricted Subsidiary, in each case, unless no Event of Default shall have occurred or be continuing immediately before and after giving effect to such designation, (iv) no Restricted Subsidiary may be designated an Unrestricted Subsidiary if it was previously designated an Unrestricted Subsidiary, and (vi) no Unrestricted Subsidiary may own any Intellectual Property material and necessary for the operation of the assets of the Loan Parties and their Subsidiaries, taken as a whole, unless following such designation as an Unrestricted Subsidiary, such Intellectual Property shall continue to be subject to a royalty-free, non-exclusive license in favor of the Lender for the purpose of the Lender’s exercise of rights and remedies under the Loan Documents in connection with the Collateral</w:t>
      </w:r>
      <w:r>
        <w:rPr>
          <w:rFonts w:ascii="Arial" w:cs="Arial" w:eastAsia="Arial" w:hAnsi="Arial"/>
          <w:sz w:val="16"/>
          <w:szCs w:val="16"/>
          <w:color w:val="0000FF"/>
        </w:rPr>
        <w:t>.</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NEGATIVE COVENANTS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So long as the Lender shall have any Commitment hereunder, any Loan or other Obligation hereunder shall remain unpaid or unsatisfied (other than contingent indemnification claims for which a claim has not been asserted), or any Letter of Credit shall remain outstanding, no Loan Party shall, nor shall it permit 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to, directly or indirectly:</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7.01 Liens. </w:t>
      </w:r>
      <w:r>
        <w:rPr>
          <w:rFonts w:ascii="Arial" w:cs="Arial" w:eastAsia="Arial" w:hAnsi="Arial"/>
          <w:sz w:val="18"/>
          <w:szCs w:val="18"/>
          <w:color w:val="auto"/>
        </w:rPr>
        <w:t>Create, incur, assume or suffer to exist any Lien upon any of its property, assets or revenues, whether now owned or 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acquired or sign or file or suffer to exist under the UCC or any similar Law or statute of any jurisdiction a financing statement that names any Loan Party or 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thereof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or assign or otherwise transfer any accounts or other rights to receive income, other than, as to all of the above, Permitted Encumbrances.</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6"/>
          <w:szCs w:val="16"/>
          <w:b w:val="1"/>
          <w:bCs w:val="1"/>
          <w:color w:val="auto"/>
        </w:rPr>
        <w:t>Investments</w:t>
      </w:r>
      <w:r>
        <w:rPr>
          <w:rFonts w:ascii="Arial" w:cs="Arial" w:eastAsia="Arial" w:hAnsi="Arial"/>
          <w:sz w:val="16"/>
          <w:szCs w:val="16"/>
          <w:color w:val="auto"/>
        </w:rPr>
        <w:t>. Make any Investments, except Permitted Investments.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color w:val="auto"/>
        </w:rPr>
        <w:t xml:space="preserve">7.03 Indebtedness; Disqualified Stock; Equity Issuances. </w:t>
      </w:r>
      <w:r>
        <w:rPr>
          <w:rFonts w:ascii="Arial" w:cs="Arial" w:eastAsia="Arial" w:hAnsi="Arial"/>
          <w:sz w:val="16"/>
          <w:szCs w:val="16"/>
          <w:color w:val="auto"/>
        </w:rPr>
        <w:t>Create, incur, assume, guarantee, suffer to exist or otherwise become or remain</w:t>
      </w:r>
      <w:r>
        <w:rPr>
          <w:rFonts w:ascii="Arial" w:cs="Arial" w:eastAsia="Arial" w:hAnsi="Arial"/>
          <w:sz w:val="16"/>
          <w:szCs w:val="16"/>
          <w:b w:val="1"/>
          <w:bCs w:val="1"/>
          <w:color w:val="auto"/>
        </w:rPr>
        <w:t xml:space="preserve"> </w:t>
      </w:r>
      <w:r>
        <w:rPr>
          <w:rFonts w:ascii="Arial" w:cs="Arial" w:eastAsia="Arial" w:hAnsi="Arial"/>
          <w:sz w:val="16"/>
          <w:szCs w:val="16"/>
          <w:color w:val="auto"/>
        </w:rPr>
        <w:t>liable with respect to, any Indebtedness, except Permitted Indebtedness; (b) issue Disqualified Stock, or (c) issue and sell any other Equity Interests unless</w:t>
      </w:r>
    </w:p>
    <w:p>
      <w:pPr>
        <w:spacing w:after="0" w:line="1" w:lineRule="exact"/>
        <w:rPr>
          <w:sz w:val="20"/>
          <w:szCs w:val="20"/>
          <w:color w:val="auto"/>
        </w:rPr>
      </w:pPr>
    </w:p>
    <w:p>
      <w:pPr>
        <w:jc w:val="both"/>
        <w:ind w:firstLine="8"/>
        <w:spacing w:after="0" w:line="277" w:lineRule="auto"/>
        <w:tabs>
          <w:tab w:leader="none" w:pos="22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such Equity Interests shall be issued solely by the Borrower and not by a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of a Loan Party, (ii) such Equity Interests shall not be subject to redemption other than redemption at the option of the Loan Party issuing such Equity Interests and in accordance with the limitations contained in this Agreement, and (iii) all Restricted Payments in respect of such Equity Interests are subordinated to the Obligations.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107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7.04 Fundamental Changes. </w:t>
      </w:r>
      <w:r>
        <w:rPr>
          <w:rFonts w:ascii="Arial" w:cs="Arial" w:eastAsia="Arial" w:hAnsi="Arial"/>
          <w:sz w:val="18"/>
          <w:szCs w:val="18"/>
          <w:color w:val="auto"/>
        </w:rPr>
        <w:t>Merge, dissolve, liquidate, consolidate with or into another Person, (or agree to do any of the foregoing),</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that, so long as no Default or Event of Default shall have occurred and be continuing prior to or immediately after giving effect to any action described below or would result therefrom:</w:t>
      </w:r>
    </w:p>
    <w:p>
      <w:pPr>
        <w:spacing w:after="0" w:line="176" w:lineRule="exact"/>
        <w:rPr>
          <w:sz w:val="20"/>
          <w:szCs w:val="20"/>
          <w:color w:val="auto"/>
        </w:rPr>
      </w:pPr>
    </w:p>
    <w:p>
      <w:pPr>
        <w:jc w:val="both"/>
        <w:ind w:left="660" w:firstLine="644"/>
        <w:spacing w:after="0" w:line="261" w:lineRule="auto"/>
        <w:tabs>
          <w:tab w:leader="none" w:pos="223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which is not a Loan Party may merge with (i)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Party shall be the continuing or surviving Person, or (ii) any one or more other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which are not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any wholly-owned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is merging with another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the wholly-owned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shall be the continuing or surviving Person;</w:t>
      </w:r>
    </w:p>
    <w:p>
      <w:pPr>
        <w:sectPr>
          <w:pgSz w:w="11900" w:h="16838" w:orient="portrait"/>
          <w:cols w:equalWidth="0" w:num="1">
            <w:col w:w="11240"/>
          </w:cols>
          <w:pgMar w:left="320" w:top="904" w:right="339" w:bottom="1440" w:gutter="0" w:footer="0" w:header="0"/>
        </w:sectPr>
      </w:pPr>
    </w:p>
    <w:p>
      <w:pPr>
        <w:spacing w:after="0" w:line="180" w:lineRule="exact"/>
        <w:rPr>
          <w:sz w:val="20"/>
          <w:szCs w:val="20"/>
          <w:color w:val="auto"/>
        </w:rPr>
      </w:pPr>
    </w:p>
    <w:p>
      <w:pPr>
        <w:jc w:val="both"/>
        <w:ind w:left="660" w:firstLine="644"/>
        <w:spacing w:after="0" w:line="347" w:lineRule="auto"/>
        <w:tabs>
          <w:tab w:leader="none" w:pos="223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w:t>
      </w:r>
      <w:r>
        <w:rPr>
          <w:rFonts w:ascii="Arial" w:cs="Arial" w:eastAsia="Arial" w:hAnsi="Arial"/>
          <w:sz w:val="16"/>
          <w:szCs w:val="16"/>
          <w:color w:val="FF0000"/>
          <w:strike w:val="1"/>
        </w:rPr>
        <w:t>which is a Loan Party</w:t>
      </w:r>
      <w:r>
        <w:rPr>
          <w:rFonts w:ascii="Arial" w:cs="Arial" w:eastAsia="Arial" w:hAnsi="Arial"/>
          <w:sz w:val="16"/>
          <w:szCs w:val="16"/>
          <w:color w:val="auto"/>
        </w:rPr>
        <w:t xml:space="preserve">] may merge into any </w:t>
      </w:r>
      <w:r>
        <w:rPr>
          <w:rFonts w:ascii="Arial" w:cs="Arial" w:eastAsia="Arial" w:hAnsi="Arial"/>
          <w:sz w:val="16"/>
          <w:szCs w:val="16"/>
          <w:b w:val="1"/>
          <w:bCs w:val="1"/>
          <w:u w:val="single" w:color="auto"/>
          <w:color w:val="0000FF"/>
        </w:rPr>
        <w:t>other Restricted</w:t>
      </w:r>
      <w:r>
        <w:rPr>
          <w:rFonts w:ascii="Arial" w:cs="Arial" w:eastAsia="Arial" w:hAnsi="Arial"/>
          <w:sz w:val="16"/>
          <w:szCs w:val="16"/>
          <w:color w:val="auto"/>
        </w:rPr>
        <w:t xml:space="preserve"> or into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merger involving the Borrower, the Borrower shall be the continuing</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firstLine="4"/>
        <w:spacing w:after="0" w:line="277" w:lineRule="auto"/>
        <w:rPr>
          <w:sz w:val="20"/>
          <w:szCs w:val="20"/>
          <w:color w:val="auto"/>
        </w:rPr>
      </w:pPr>
      <w:r>
        <w:rPr>
          <w:rFonts w:ascii="Arial" w:cs="Arial" w:eastAsia="Arial" w:hAnsi="Arial"/>
          <w:sz w:val="18"/>
          <w:szCs w:val="18"/>
          <w:color w:val="auto"/>
        </w:rPr>
        <w:t xml:space="preserve">Subsidiary[ </w:t>
      </w:r>
      <w:r>
        <w:rPr>
          <w:rFonts w:ascii="Arial" w:cs="Arial" w:eastAsia="Arial" w:hAnsi="Arial"/>
          <w:sz w:val="18"/>
          <w:szCs w:val="18"/>
          <w:color w:val="FF0000"/>
          <w:strike w:val="1"/>
        </w:rPr>
        <w:t>which is a Loan Party</w:t>
      </w:r>
      <w:r>
        <w:rPr>
          <w:rFonts w:ascii="Arial" w:cs="Arial" w:eastAsia="Arial" w:hAnsi="Arial"/>
          <w:sz w:val="18"/>
          <w:szCs w:val="18"/>
          <w:color w:val="auto"/>
        </w:rPr>
        <w:t>] or surviving Person; and</w:t>
      </w:r>
    </w:p>
    <w:p>
      <w:pPr>
        <w:spacing w:after="0" w:line="170" w:lineRule="exact"/>
        <w:rPr>
          <w:sz w:val="20"/>
          <w:szCs w:val="20"/>
          <w:color w:val="auto"/>
        </w:rPr>
      </w:pPr>
    </w:p>
    <w:p>
      <w:pPr>
        <w:sectPr>
          <w:pgSz w:w="11900" w:h="16838" w:orient="portrait"/>
          <w:cols w:equalWidth="0" w:num="2">
            <w:col w:w="8660" w:space="40"/>
            <w:col w:w="2540"/>
          </w:cols>
          <w:pgMar w:left="320" w:top="904" w:right="339" w:bottom="1440" w:gutter="0" w:footer="0" w:header="0"/>
          <w:type w:val="continuous"/>
        </w:sectPr>
      </w:pPr>
    </w:p>
    <w:p>
      <w:pPr>
        <w:jc w:val="both"/>
        <w:ind w:left="660" w:firstLine="644"/>
        <w:spacing w:after="0" w:line="287" w:lineRule="auto"/>
        <w:tabs>
          <w:tab w:leader="none" w:pos="2331"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in connection with a Permitted Acquisition, a Loan Party may merge with or into or consolidate with any other Person or permit any other Person to merge with or into or consolidate with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Person surviving such merger shall be a wholly-owned </w:t>
      </w:r>
      <w:r>
        <w:rPr>
          <w:rFonts w:ascii="Arial" w:cs="Arial" w:eastAsia="Arial" w:hAnsi="Arial"/>
          <w:sz w:val="16"/>
          <w:szCs w:val="16"/>
          <w:b w:val="1"/>
          <w:bCs w:val="1"/>
          <w:u w:val="single" w:color="auto"/>
          <w:color w:val="0000FF"/>
        </w:rPr>
        <w:t>Restricted</w:t>
      </w:r>
      <w:r>
        <w:rPr>
          <w:rFonts w:ascii="Arial" w:cs="Arial" w:eastAsia="Arial" w:hAnsi="Arial"/>
          <w:sz w:val="16"/>
          <w:szCs w:val="16"/>
          <w:b w:val="1"/>
          <w:bCs w:val="1"/>
          <w:color w:val="0000FF"/>
        </w:rPr>
        <w:t xml:space="preserve"> </w:t>
      </w:r>
      <w:r>
        <w:rPr>
          <w:rFonts w:ascii="Arial" w:cs="Arial" w:eastAsia="Arial" w:hAnsi="Arial"/>
          <w:sz w:val="16"/>
          <w:szCs w:val="16"/>
          <w:color w:val="000000"/>
        </w:rPr>
        <w:t>Subsidiary of a Loan Party and such Person shall become a Loan Party in accordance with the provisions of</w:t>
      </w:r>
      <w:r>
        <w:rPr>
          <w:rFonts w:ascii="Arial" w:cs="Arial" w:eastAsia="Arial" w:hAnsi="Arial"/>
          <w:sz w:val="16"/>
          <w:szCs w:val="16"/>
          <w:b w:val="1"/>
          <w:bCs w:val="1"/>
          <w:color w:val="0000FF"/>
        </w:rPr>
        <w:t xml:space="preserve"> </w:t>
      </w:r>
      <w:r>
        <w:rPr>
          <w:rFonts w:ascii="Arial" w:cs="Arial" w:eastAsia="Arial" w:hAnsi="Arial"/>
          <w:sz w:val="16"/>
          <w:szCs w:val="16"/>
          <w:u w:val="single" w:color="auto"/>
          <w:color w:val="000000"/>
        </w:rPr>
        <w:t>Section 6.11</w:t>
      </w:r>
      <w:r>
        <w:rPr>
          <w:rFonts w:ascii="Arial" w:cs="Arial" w:eastAsia="Arial" w:hAnsi="Arial"/>
          <w:sz w:val="16"/>
          <w:szCs w:val="16"/>
          <w:b w:val="1"/>
          <w:bCs w:val="1"/>
          <w:color w:val="0000FF"/>
        </w:rPr>
        <w:t xml:space="preserve"> </w:t>
      </w:r>
      <w:r>
        <w:rPr>
          <w:rFonts w:ascii="Arial" w:cs="Arial" w:eastAsia="Arial" w:hAnsi="Arial"/>
          <w:sz w:val="16"/>
          <w:szCs w:val="16"/>
          <w:color w:val="000000"/>
        </w:rPr>
        <w:t>hereof, and</w:t>
      </w:r>
    </w:p>
    <w:p>
      <w:pPr>
        <w:spacing w:after="0" w:line="2" w:lineRule="exact"/>
        <w:rPr>
          <w:rFonts w:ascii="Arial" w:cs="Arial" w:eastAsia="Arial" w:hAnsi="Arial"/>
          <w:sz w:val="16"/>
          <w:szCs w:val="16"/>
          <w:color w:val="auto"/>
        </w:rPr>
      </w:pPr>
    </w:p>
    <w:p>
      <w:pPr>
        <w:ind w:left="920" w:hanging="264"/>
        <w:spacing w:after="0"/>
        <w:tabs>
          <w:tab w:leader="none" w:pos="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the case of any such merger to which any Loan Party is a party, such Loan Party is the surviving Person.</w:t>
      </w:r>
    </w:p>
    <w:p>
      <w:pPr>
        <w:spacing w:after="0" w:line="20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7.05</w:t>
      </w:r>
      <w:r>
        <w:rPr>
          <w:sz w:val="20"/>
          <w:szCs w:val="20"/>
          <w:color w:val="auto"/>
        </w:rPr>
        <w:tab/>
      </w:r>
      <w:r>
        <w:rPr>
          <w:rFonts w:ascii="Arial" w:cs="Arial" w:eastAsia="Arial" w:hAnsi="Arial"/>
          <w:sz w:val="16"/>
          <w:szCs w:val="16"/>
          <w:b w:val="1"/>
          <w:bCs w:val="1"/>
          <w:color w:val="auto"/>
        </w:rPr>
        <w:t xml:space="preserve">Dispositions. </w:t>
      </w:r>
      <w:r>
        <w:rPr>
          <w:rFonts w:ascii="Arial" w:cs="Arial" w:eastAsia="Arial" w:hAnsi="Arial"/>
          <w:sz w:val="16"/>
          <w:szCs w:val="16"/>
          <w:color w:val="auto"/>
        </w:rPr>
        <w:t>Make any Disposition, except Permitted Dispositions.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7.06</w:t>
      </w:r>
      <w:r>
        <w:rPr>
          <w:sz w:val="20"/>
          <w:szCs w:val="20"/>
          <w:color w:val="auto"/>
        </w:rPr>
        <w:tab/>
      </w:r>
      <w:r>
        <w:rPr>
          <w:rFonts w:ascii="Arial" w:cs="Arial" w:eastAsia="Arial" w:hAnsi="Arial"/>
          <w:sz w:val="16"/>
          <w:szCs w:val="16"/>
          <w:b w:val="1"/>
          <w:bCs w:val="1"/>
          <w:color w:val="auto"/>
        </w:rPr>
        <w:t xml:space="preserve">Restricted Payments. </w:t>
      </w:r>
      <w:r>
        <w:rPr>
          <w:rFonts w:ascii="Arial" w:cs="Arial" w:eastAsia="Arial" w:hAnsi="Arial"/>
          <w:sz w:val="16"/>
          <w:szCs w:val="16"/>
          <w:color w:val="auto"/>
        </w:rPr>
        <w:t>Declare or make, directly or indirectly, any Restricted Payment, or incur any obligation (contingent or otherwise)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do so, except that:</w:t>
      </w:r>
    </w:p>
    <w:p>
      <w:pPr>
        <w:spacing w:after="0" w:line="207" w:lineRule="exact"/>
        <w:rPr>
          <w:sz w:val="20"/>
          <w:szCs w:val="20"/>
          <w:color w:val="auto"/>
        </w:rPr>
      </w:pPr>
    </w:p>
    <w:p>
      <w:pPr>
        <w:ind w:left="2180" w:hanging="876"/>
        <w:spacing w:after="0"/>
        <w:tabs>
          <w:tab w:leader="none" w:pos="21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each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of a Loan Party may make Restricted Payments to any Loan Party;</w:t>
      </w:r>
    </w:p>
    <w:p>
      <w:pPr>
        <w:spacing w:after="0" w:line="225" w:lineRule="exact"/>
        <w:rPr>
          <w:rFonts w:ascii="Arial" w:cs="Arial" w:eastAsia="Arial" w:hAnsi="Arial"/>
          <w:sz w:val="18"/>
          <w:szCs w:val="18"/>
          <w:color w:val="auto"/>
        </w:rPr>
      </w:pPr>
    </w:p>
    <w:p>
      <w:pPr>
        <w:ind w:left="660" w:firstLine="644"/>
        <w:spacing w:after="0" w:line="282" w:lineRule="auto"/>
        <w:tabs>
          <w:tab w:leader="none" w:pos="234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Loan Parties and each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may declare and make dividend payments or other distributions payable solely in the common stock or other common Equity Interests of such Person;</w:t>
      </w:r>
    </w:p>
    <w:p>
      <w:pPr>
        <w:spacing w:after="0" w:line="161" w:lineRule="exact"/>
        <w:rPr>
          <w:rFonts w:ascii="Arial" w:cs="Arial" w:eastAsia="Arial" w:hAnsi="Arial"/>
          <w:sz w:val="18"/>
          <w:szCs w:val="18"/>
          <w:color w:val="auto"/>
        </w:rPr>
      </w:pPr>
    </w:p>
    <w:p>
      <w:pPr>
        <w:jc w:val="both"/>
        <w:ind w:left="660" w:firstLine="644"/>
        <w:spacing w:after="0" w:line="256" w:lineRule="auto"/>
        <w:tabs>
          <w:tab w:leader="none" w:pos="225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Borrower may declare or pay in cash a Restricted Payment [</w:t>
      </w:r>
      <w:r>
        <w:rPr>
          <w:rFonts w:ascii="Arial" w:cs="Arial" w:eastAsia="Arial" w:hAnsi="Arial"/>
          <w:sz w:val="18"/>
          <w:szCs w:val="18"/>
          <w:color w:val="FF0000"/>
          <w:strike w:val="1"/>
        </w:rPr>
        <w:t>if (a)</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so long Unrestricted Cash Payment Conditions are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satisfied on the date</w:t>
      </w:r>
      <w:r>
        <w:rPr>
          <w:rFonts w:ascii="Arial" w:cs="Arial" w:eastAsia="Arial" w:hAnsi="Arial"/>
          <w:sz w:val="18"/>
          <w:szCs w:val="18"/>
          <w:b w:val="1"/>
          <w:bCs w:val="1"/>
          <w:color w:val="0000FF"/>
        </w:rPr>
        <w:t xml:space="preserve"> </w:t>
      </w:r>
      <w:r>
        <w:rPr>
          <w:rFonts w:ascii="Arial" w:cs="Arial" w:eastAsia="Arial" w:hAnsi="Arial"/>
          <w:sz w:val="18"/>
          <w:szCs w:val="18"/>
          <w:color w:val="000000"/>
        </w:rPr>
        <w:t>such Restricted Payment is [</w:t>
      </w:r>
      <w:r>
        <w:rPr>
          <w:rFonts w:ascii="Arial" w:cs="Arial" w:eastAsia="Arial" w:hAnsi="Arial"/>
          <w:sz w:val="18"/>
          <w:szCs w:val="18"/>
          <w:color w:val="FF0000"/>
          <w:strike w:val="1"/>
        </w:rPr>
        <w:t>in an amount not exceeding, and</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declared and such Restricted Payment</w:t>
      </w:r>
      <w:r>
        <w:rPr>
          <w:rFonts w:ascii="Arial" w:cs="Arial" w:eastAsia="Arial" w:hAnsi="Arial"/>
          <w:sz w:val="18"/>
          <w:szCs w:val="18"/>
          <w:b w:val="1"/>
          <w:bCs w:val="1"/>
          <w:color w:val="0000FF"/>
        </w:rPr>
        <w:t xml:space="preserve"> </w:t>
      </w:r>
      <w:r>
        <w:rPr>
          <w:rFonts w:ascii="Arial" w:cs="Arial" w:eastAsia="Arial" w:hAnsi="Arial"/>
          <w:sz w:val="18"/>
          <w:szCs w:val="18"/>
          <w:color w:val="000000"/>
        </w:rPr>
        <w:t>is paid solely from[</w:t>
      </w:r>
      <w:r>
        <w:rPr>
          <w:rFonts w:ascii="Arial" w:cs="Arial" w:eastAsia="Arial" w:hAnsi="Arial"/>
          <w:sz w:val="18"/>
          <w:szCs w:val="18"/>
          <w:color w:val="FF0000"/>
          <w:strike w:val="1"/>
        </w:rPr>
        <w:t>,</w:t>
      </w:r>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Unrestricted Cash[</w:t>
      </w:r>
      <w:r>
        <w:rPr>
          <w:rFonts w:ascii="Arial" w:cs="Arial" w:eastAsia="Arial" w:hAnsi="Arial"/>
          <w:sz w:val="18"/>
          <w:szCs w:val="18"/>
          <w:color w:val="FF0000"/>
          <w:strike w:val="1"/>
        </w:rPr>
        <w:t>, (b) no Default or Event of Default shall have occurred and be continuing</w:t>
      </w:r>
      <w:r>
        <w:rPr>
          <w:rFonts w:ascii="Arial" w:cs="Arial" w:eastAsia="Arial" w:hAnsi="Arial"/>
          <w:sz w:val="18"/>
          <w:szCs w:val="18"/>
          <w:color w:val="000000"/>
        </w:rPr>
        <w:t xml:space="preserve">] </w:t>
      </w:r>
      <w:r>
        <w:rPr>
          <w:rFonts w:ascii="Arial" w:cs="Arial" w:eastAsia="Arial" w:hAnsi="Arial"/>
          <w:sz w:val="18"/>
          <w:szCs w:val="18"/>
          <w:color w:val="00C000"/>
          <w:strike w:val="1"/>
        </w:rPr>
        <w:t>prior to, or immediately after giving effect, to such</w:t>
      </w:r>
      <w:r>
        <w:rPr>
          <w:rFonts w:ascii="Arial" w:cs="Arial" w:eastAsia="Arial" w:hAnsi="Arial"/>
          <w:sz w:val="18"/>
          <w:szCs w:val="18"/>
          <w:color w:val="000000"/>
        </w:rPr>
        <w:t xml:space="preserve"> </w:t>
      </w:r>
      <w:r>
        <w:rPr>
          <w:rFonts w:ascii="Arial" w:cs="Arial" w:eastAsia="Arial" w:hAnsi="Arial"/>
          <w:sz w:val="18"/>
          <w:szCs w:val="18"/>
          <w:color w:val="00C000"/>
          <w:strike w:val="1"/>
        </w:rPr>
        <w:t>Restricted Payment, or would result therefrom, and (</w:t>
      </w:r>
      <w:r>
        <w:rPr>
          <w:rFonts w:ascii="Arial" w:cs="Arial" w:eastAsia="Arial" w:hAnsi="Arial"/>
          <w:sz w:val="18"/>
          <w:szCs w:val="18"/>
          <w:color w:val="000000"/>
        </w:rPr>
        <w:t>[</w:t>
      </w:r>
      <w:r>
        <w:rPr>
          <w:rFonts w:ascii="Arial" w:cs="Arial" w:eastAsia="Arial" w:hAnsi="Arial"/>
          <w:sz w:val="18"/>
          <w:szCs w:val="18"/>
          <w:color w:val="FF0000"/>
          <w:strike w:val="1"/>
        </w:rPr>
        <w:t>c) and there have been no Loans outstanding for the thirty (30) days</w:t>
      </w:r>
      <w:r>
        <w:rPr>
          <w:rFonts w:ascii="Arial" w:cs="Arial" w:eastAsia="Arial" w:hAnsi="Arial"/>
          <w:sz w:val="18"/>
          <w:szCs w:val="18"/>
          <w:color w:val="000000"/>
        </w:rPr>
        <w:t>]</w:t>
      </w:r>
      <w:r>
        <w:rPr>
          <w:rFonts w:ascii="Arial" w:cs="Arial" w:eastAsia="Arial" w:hAnsi="Arial"/>
          <w:sz w:val="18"/>
          <w:szCs w:val="18"/>
          <w:color w:val="00C000"/>
        </w:rPr>
        <w:t xml:space="preserve"> </w:t>
      </w:r>
      <w:r>
        <w:rPr>
          <w:rFonts w:ascii="Arial" w:cs="Arial" w:eastAsia="Arial" w:hAnsi="Arial"/>
          <w:sz w:val="18"/>
          <w:szCs w:val="18"/>
          <w:color w:val="00C000"/>
          <w:strike w:val="1"/>
        </w:rPr>
        <w:t>prior, nor after giving</w:t>
      </w:r>
      <w:r>
        <w:rPr>
          <w:rFonts w:ascii="Arial" w:cs="Arial" w:eastAsia="Arial" w:hAnsi="Arial"/>
          <w:sz w:val="18"/>
          <w:szCs w:val="18"/>
          <w:color w:val="00C000"/>
        </w:rPr>
        <w:t xml:space="preserve"> </w:t>
      </w:r>
      <w:r>
        <w:rPr>
          <w:rFonts w:ascii="Arial" w:cs="Arial" w:eastAsia="Arial" w:hAnsi="Arial"/>
          <w:sz w:val="18"/>
          <w:szCs w:val="18"/>
          <w:color w:val="00C000"/>
          <w:strike w:val="1"/>
        </w:rPr>
        <w:t>pro forma effect to such Restricted Payment, nor are there projected to be any Loans outstanding for the thirty (30) days subsequent to, the making of such Restricted Payment</w:t>
      </w:r>
      <w:r>
        <w:rPr>
          <w:rFonts w:ascii="Arial" w:cs="Arial" w:eastAsia="Arial" w:hAnsi="Arial"/>
          <w:sz w:val="18"/>
          <w:szCs w:val="18"/>
          <w:color w:val="000000"/>
          <w:strike w:val="1"/>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108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left="660" w:firstLine="644"/>
        <w:spacing w:after="0" w:line="271" w:lineRule="auto"/>
        <w:tabs>
          <w:tab w:leader="none" w:pos="220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if the RP Conditions are satisfied </w:t>
      </w:r>
      <w:r>
        <w:rPr>
          <w:rFonts w:ascii="Arial" w:cs="Arial" w:eastAsia="Arial" w:hAnsi="Arial"/>
          <w:sz w:val="17"/>
          <w:szCs w:val="17"/>
          <w:b w:val="1"/>
          <w:bCs w:val="1"/>
          <w:u w:val="single" w:color="auto"/>
          <w:color w:val="0000FF"/>
        </w:rPr>
        <w:t>on the date that a Restricted Payment is declared</w:t>
      </w:r>
      <w:r>
        <w:rPr>
          <w:rFonts w:ascii="Arial" w:cs="Arial" w:eastAsia="Arial" w:hAnsi="Arial"/>
          <w:sz w:val="17"/>
          <w:szCs w:val="17"/>
          <w:color w:val="auto"/>
        </w:rPr>
        <w:t xml:space="preserve">, then each Loan Party may make </w:t>
      </w:r>
      <w:r>
        <w:rPr>
          <w:rFonts w:ascii="Arial" w:cs="Arial" w:eastAsia="Arial" w:hAnsi="Arial"/>
          <w:sz w:val="17"/>
          <w:szCs w:val="17"/>
          <w:b w:val="1"/>
          <w:bCs w:val="1"/>
          <w:u w:val="single" w:color="auto"/>
          <w:color w:val="0000FF"/>
        </w:rPr>
        <w:t>such</w:t>
      </w:r>
      <w:r>
        <w:rPr>
          <w:rFonts w:ascii="Arial" w:cs="Arial" w:eastAsia="Arial" w:hAnsi="Arial"/>
          <w:sz w:val="17"/>
          <w:szCs w:val="17"/>
          <w:color w:val="auto"/>
        </w:rPr>
        <w:t xml:space="preserve"> other Restricted Payments (i.e. Restricted Payments that do not satisfy clauses(a), (b) or (c) above); provided that Loan Parties may make other Restricted Payments without satisfaction of the RP Conditions if </w:t>
      </w:r>
      <w:r>
        <w:rPr>
          <w:rFonts w:ascii="Arial" w:cs="Arial" w:eastAsia="Arial" w:hAnsi="Arial"/>
          <w:sz w:val="17"/>
          <w:szCs w:val="17"/>
          <w:b w:val="1"/>
          <w:bCs w:val="1"/>
          <w:u w:val="single" w:color="auto"/>
          <w:color w:val="0000FF"/>
        </w:rPr>
        <w:t>on the date such Restricted Payment is declared</w:t>
      </w:r>
      <w:r>
        <w:rPr>
          <w:rFonts w:ascii="Arial" w:cs="Arial" w:eastAsia="Arial" w:hAnsi="Arial"/>
          <w:sz w:val="17"/>
          <w:szCs w:val="17"/>
          <w:color w:val="auto"/>
        </w:rPr>
        <w:t xml:space="preserve"> (a) after giving pro forma effect to such Restricted Payment, [</w:t>
      </w:r>
      <w:r>
        <w:rPr>
          <w:rFonts w:ascii="Arial" w:cs="Arial" w:eastAsia="Arial" w:hAnsi="Arial"/>
          <w:sz w:val="17"/>
          <w:szCs w:val="17"/>
          <w:color w:val="FF0000"/>
          <w:strike w:val="1"/>
        </w:rPr>
        <w:t>projected</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Pro Forma</w:t>
      </w:r>
      <w:r>
        <w:rPr>
          <w:rFonts w:ascii="Arial" w:cs="Arial" w:eastAsia="Arial" w:hAnsi="Arial"/>
          <w:sz w:val="17"/>
          <w:szCs w:val="17"/>
          <w:color w:val="auto"/>
        </w:rPr>
        <w:t xml:space="preserve"> Availability is greater than or equal to [</w:t>
      </w:r>
      <w:r>
        <w:rPr>
          <w:rFonts w:ascii="Arial" w:cs="Arial" w:eastAsia="Arial" w:hAnsi="Arial"/>
          <w:sz w:val="17"/>
          <w:szCs w:val="17"/>
          <w:color w:val="FF0000"/>
          <w:strike w:val="1"/>
        </w:rPr>
        <w:t>thirty</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the greater of (i) twenty-five</w:t>
      </w:r>
      <w:r>
        <w:rPr>
          <w:rFonts w:ascii="Arial" w:cs="Arial" w:eastAsia="Arial" w:hAnsi="Arial"/>
          <w:sz w:val="17"/>
          <w:szCs w:val="17"/>
          <w:color w:val="auto"/>
        </w:rPr>
        <w:t xml:space="preserve"> percent ([</w:t>
      </w:r>
      <w:r>
        <w:rPr>
          <w:rFonts w:ascii="Arial" w:cs="Arial" w:eastAsia="Arial" w:hAnsi="Arial"/>
          <w:sz w:val="17"/>
          <w:szCs w:val="17"/>
          <w:color w:val="FF0000"/>
          <w:strike w:val="1"/>
        </w:rPr>
        <w:t>30</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25</w:t>
      </w:r>
      <w:r>
        <w:rPr>
          <w:rFonts w:ascii="Arial" w:cs="Arial" w:eastAsia="Arial" w:hAnsi="Arial"/>
          <w:sz w:val="17"/>
          <w:szCs w:val="17"/>
          <w:color w:val="auto"/>
        </w:rPr>
        <w:t>%) of the Loan Cap [</w:t>
      </w:r>
      <w:r>
        <w:rPr>
          <w:rFonts w:ascii="Arial" w:cs="Arial" w:eastAsia="Arial" w:hAnsi="Arial"/>
          <w:sz w:val="17"/>
          <w:szCs w:val="17"/>
          <w:color w:val="FF0000"/>
          <w:strike w:val="1"/>
        </w:rPr>
        <w:t>as of the date of such Restricted Payment and as of the end of each Fiscal Month during the subsequent projected</w:t>
      </w:r>
      <w:r>
        <w:rPr>
          <w:rFonts w:ascii="Arial" w:cs="Arial" w:eastAsia="Arial" w:hAnsi="Arial"/>
          <w:sz w:val="17"/>
          <w:szCs w:val="17"/>
          <w:color w:val="auto"/>
        </w:rPr>
        <w:t xml:space="preserve"> </w:t>
      </w:r>
      <w:r>
        <w:rPr>
          <w:rFonts w:ascii="Arial" w:cs="Arial" w:eastAsia="Arial" w:hAnsi="Arial"/>
          <w:sz w:val="17"/>
          <w:szCs w:val="17"/>
          <w:color w:val="FF0000"/>
          <w:strike w:val="1"/>
        </w:rPr>
        <w:t>twelve</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and</w:t>
      </w:r>
      <w:r>
        <w:rPr>
          <w:rFonts w:ascii="Arial" w:cs="Arial" w:eastAsia="Arial" w:hAnsi="Arial"/>
          <w:sz w:val="17"/>
          <w:szCs w:val="17"/>
          <w:color w:val="FF0000"/>
        </w:rPr>
        <w:t xml:space="preserve"> </w:t>
      </w:r>
      <w:r>
        <w:rPr>
          <w:rFonts w:ascii="Arial" w:cs="Arial" w:eastAsia="Arial" w:hAnsi="Arial"/>
          <w:sz w:val="17"/>
          <w:szCs w:val="17"/>
          <w:color w:val="000000"/>
        </w:rPr>
        <w:t>([</w:t>
      </w:r>
      <w:r>
        <w:rPr>
          <w:rFonts w:ascii="Arial" w:cs="Arial" w:eastAsia="Arial" w:hAnsi="Arial"/>
          <w:sz w:val="17"/>
          <w:szCs w:val="17"/>
          <w:color w:val="FF0000"/>
          <w:strike w:val="1"/>
        </w:rPr>
        <w:t>12</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ii</w:t>
      </w:r>
      <w:r>
        <w:rPr>
          <w:rFonts w:ascii="Arial" w:cs="Arial" w:eastAsia="Arial" w:hAnsi="Arial"/>
          <w:sz w:val="17"/>
          <w:szCs w:val="17"/>
          <w:color w:val="000000"/>
        </w:rPr>
        <w:t>) [</w:t>
      </w:r>
      <w:r>
        <w:rPr>
          <w:rFonts w:ascii="Arial" w:cs="Arial" w:eastAsia="Arial" w:hAnsi="Arial"/>
          <w:sz w:val="17"/>
          <w:szCs w:val="17"/>
          <w:color w:val="FF0000"/>
          <w:strike w:val="1"/>
        </w:rPr>
        <w:t>Fiscal Months</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$15,000,000</w:t>
      </w:r>
      <w:r>
        <w:rPr>
          <w:rFonts w:ascii="Arial" w:cs="Arial" w:eastAsia="Arial" w:hAnsi="Arial"/>
          <w:sz w:val="17"/>
          <w:szCs w:val="17"/>
          <w:color w:val="FF0000"/>
        </w:rPr>
        <w:t xml:space="preserve"> </w:t>
      </w:r>
      <w:r>
        <w:rPr>
          <w:rFonts w:ascii="Arial" w:cs="Arial" w:eastAsia="Arial" w:hAnsi="Arial"/>
          <w:sz w:val="17"/>
          <w:szCs w:val="17"/>
          <w:color w:val="000000"/>
        </w:rPr>
        <w:t>(and prior to making any such Restricted Payment, the Loan Parties shall deliver to the Lender</w:t>
      </w:r>
      <w:r>
        <w:rPr>
          <w:rFonts w:ascii="Arial" w:cs="Arial" w:eastAsia="Arial" w:hAnsi="Arial"/>
          <w:sz w:val="17"/>
          <w:szCs w:val="17"/>
          <w:color w:val="FF0000"/>
        </w:rPr>
        <w:t xml:space="preserve"> </w:t>
      </w:r>
      <w:r>
        <w:rPr>
          <w:rFonts w:ascii="Arial" w:cs="Arial" w:eastAsia="Arial" w:hAnsi="Arial"/>
          <w:sz w:val="17"/>
          <w:szCs w:val="17"/>
          <w:color w:val="000000"/>
        </w:rPr>
        <w:t xml:space="preserve">evidence of satisfaction of the conditions contained in this proviso on a basis (including, without limitation, giving due consideration to results for prior periods) reasonably satisfactory to the Lender), and (b) no[ </w:t>
      </w:r>
      <w:r>
        <w:rPr>
          <w:rFonts w:ascii="Arial" w:cs="Arial" w:eastAsia="Arial" w:hAnsi="Arial"/>
          <w:sz w:val="17"/>
          <w:szCs w:val="17"/>
          <w:color w:val="FF0000"/>
          <w:strike w:val="1"/>
        </w:rPr>
        <w:t>Default or</w:t>
      </w:r>
      <w:r>
        <w:rPr>
          <w:rFonts w:ascii="Arial" w:cs="Arial" w:eastAsia="Arial" w:hAnsi="Arial"/>
          <w:sz w:val="17"/>
          <w:szCs w:val="17"/>
          <w:color w:val="000000"/>
        </w:rPr>
        <w:t xml:space="preserve">] Event of Default shall have occurred and be continuing </w:t>
      </w:r>
      <w:r>
        <w:rPr>
          <w:rFonts w:ascii="Arial" w:cs="Arial" w:eastAsia="Arial" w:hAnsi="Arial"/>
          <w:sz w:val="17"/>
          <w:szCs w:val="17"/>
          <w:b w:val="1"/>
          <w:bCs w:val="1"/>
          <w:u w:val="single" w:color="auto"/>
          <w:color w:val="0000FF"/>
        </w:rPr>
        <w:t>immediately</w:t>
      </w:r>
      <w:r>
        <w:rPr>
          <w:rFonts w:ascii="Arial" w:cs="Arial" w:eastAsia="Arial" w:hAnsi="Arial"/>
          <w:sz w:val="17"/>
          <w:szCs w:val="17"/>
          <w:color w:val="000000"/>
        </w:rPr>
        <w:t xml:space="preserve"> prior to, or immediately after giving effect[</w:t>
      </w:r>
      <w:r>
        <w:rPr>
          <w:rFonts w:ascii="Arial" w:cs="Arial" w:eastAsia="Arial" w:hAnsi="Arial"/>
          <w:sz w:val="17"/>
          <w:szCs w:val="17"/>
          <w:color w:val="FF0000"/>
          <w:strike w:val="1"/>
        </w:rPr>
        <w:t>,</w:t>
      </w:r>
      <w:r>
        <w:rPr>
          <w:rFonts w:ascii="Arial" w:cs="Arial" w:eastAsia="Arial" w:hAnsi="Arial"/>
          <w:sz w:val="17"/>
          <w:szCs w:val="17"/>
          <w:color w:val="000000"/>
        </w:rPr>
        <w:t>] to</w:t>
      </w:r>
      <w:r>
        <w:rPr>
          <w:rFonts w:ascii="Arial" w:cs="Arial" w:eastAsia="Arial" w:hAnsi="Arial"/>
          <w:sz w:val="17"/>
          <w:szCs w:val="17"/>
          <w:b w:val="1"/>
          <w:bCs w:val="1"/>
          <w:u w:val="single" w:color="auto"/>
          <w:color w:val="0000FF"/>
        </w:rPr>
        <w:t>,</w:t>
      </w:r>
      <w:r>
        <w:rPr>
          <w:rFonts w:ascii="Arial" w:cs="Arial" w:eastAsia="Arial" w:hAnsi="Arial"/>
          <w:sz w:val="17"/>
          <w:szCs w:val="17"/>
          <w:color w:val="000000"/>
        </w:rPr>
        <w:t xml:space="preserve"> such Restricted Payment, or would result therefrom.</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0000FF"/>
        </w:rPr>
        <w:t>Notwithstanding anything to the contrary, the foregoing provisions of this Section 7.06 shall not prohibit the payment of any Restricted Payment within 60 days after the date of declaration thereof if at the date of declaration such payment would have been permitted by the applicable terms of this Section 7.06.</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Notwithstanding anything to the contrary contained in the foregoing, to the extent any Restricted Payment includes Intellectual Property material and necessary for the operation of the assets of the Loan Parties and their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taken as a whole, which constitutes Collateral, such Intellectual Property shall be subject to a royalty-free, non-exclusive license in favor of the Lender for the purpose of the Lender’s exercise of rights and remedies under the Loan Documents in connection with the Collateral.</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7.07 Prepayments of Indebtedness. </w:t>
      </w:r>
      <w:r>
        <w:rPr>
          <w:rFonts w:ascii="Arial" w:cs="Arial" w:eastAsia="Arial" w:hAnsi="Arial"/>
          <w:sz w:val="16"/>
          <w:szCs w:val="16"/>
          <w:color w:val="auto"/>
        </w:rPr>
        <w:t>Prepay, redeem, purchase, defease or otherwise satisfy prior to the scheduled maturity thereof in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manner any Indebtedness, or make any payment in violation of any subordination terms of any Subordinated Indebtedness, except (a)[ </w:t>
      </w:r>
      <w:r>
        <w:rPr>
          <w:rFonts w:ascii="Arial" w:cs="Arial" w:eastAsia="Arial" w:hAnsi="Arial"/>
          <w:sz w:val="16"/>
          <w:szCs w:val="16"/>
          <w:color w:val="FF0000"/>
          <w:strike w:val="1"/>
        </w:rPr>
        <w:t>as long as no</w:t>
      </w:r>
      <w:r>
        <w:rPr>
          <w:rFonts w:ascii="Arial" w:cs="Arial" w:eastAsia="Arial" w:hAnsi="Arial"/>
          <w:sz w:val="16"/>
          <w:szCs w:val="16"/>
          <w:color w:val="auto"/>
        </w:rPr>
        <w:t xml:space="preserve"> </w:t>
      </w:r>
      <w:r>
        <w:rPr>
          <w:rFonts w:ascii="Arial" w:cs="Arial" w:eastAsia="Arial" w:hAnsi="Arial"/>
          <w:sz w:val="16"/>
          <w:szCs w:val="16"/>
          <w:color w:val="FF0000"/>
          <w:strike w:val="1"/>
        </w:rPr>
        <w:t>Default or Event of Default then exists,</w:t>
      </w:r>
      <w:r>
        <w:rPr>
          <w:rFonts w:ascii="Arial" w:cs="Arial" w:eastAsia="Arial" w:hAnsi="Arial"/>
          <w:sz w:val="16"/>
          <w:szCs w:val="16"/>
          <w:color w:val="000000"/>
        </w:rPr>
        <w:t>] regularly scheduled or mandatory repayments, repurchases, redemptions or defeasances of (i) Permitted</w:t>
      </w:r>
      <w:r>
        <w:rPr>
          <w:rFonts w:ascii="Arial" w:cs="Arial" w:eastAsia="Arial" w:hAnsi="Arial"/>
          <w:sz w:val="16"/>
          <w:szCs w:val="16"/>
          <w:color w:val="FF0000"/>
        </w:rPr>
        <w:t xml:space="preserve"> </w:t>
      </w:r>
      <w:r>
        <w:rPr>
          <w:rFonts w:ascii="Arial" w:cs="Arial" w:eastAsia="Arial" w:hAnsi="Arial"/>
          <w:sz w:val="16"/>
          <w:szCs w:val="16"/>
          <w:color w:val="000000"/>
        </w:rPr>
        <w:t xml:space="preserve">Indebtedness (other than Subordinated Indebtedness)[ </w:t>
      </w:r>
      <w:r>
        <w:rPr>
          <w:rFonts w:ascii="Arial" w:cs="Arial" w:eastAsia="Arial" w:hAnsi="Arial"/>
          <w:sz w:val="16"/>
          <w:szCs w:val="16"/>
          <w:color w:val="FF0000"/>
          <w:strike w:val="1"/>
        </w:rPr>
        <w:t>and</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w:t>
      </w:r>
      <w:r>
        <w:rPr>
          <w:rFonts w:ascii="Arial" w:cs="Arial" w:eastAsia="Arial" w:hAnsi="Arial"/>
          <w:sz w:val="16"/>
          <w:szCs w:val="16"/>
          <w:color w:val="000000"/>
        </w:rPr>
        <w:t xml:space="preserve"> (ii) Subordinated Indebtedness in accordance with the subordination terms thereof, </w:t>
      </w:r>
      <w:r>
        <w:rPr>
          <w:rFonts w:ascii="Arial" w:cs="Arial" w:eastAsia="Arial" w:hAnsi="Arial"/>
          <w:sz w:val="16"/>
          <w:szCs w:val="16"/>
          <w:b w:val="1"/>
          <w:bCs w:val="1"/>
          <w:u w:val="single" w:color="auto"/>
          <w:color w:val="0000FF"/>
        </w:rPr>
        <w:t>and (iii)</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Permitted Real Estate Indebtedness</w:t>
      </w:r>
      <w:r>
        <w:rPr>
          <w:rFonts w:ascii="Arial" w:cs="Arial" w:eastAsia="Arial" w:hAnsi="Arial"/>
          <w:sz w:val="16"/>
          <w:szCs w:val="16"/>
          <w:b w:val="1"/>
          <w:bCs w:val="1"/>
          <w:color w:val="0000FF"/>
        </w:rPr>
        <w:t xml:space="preserve"> </w:t>
      </w:r>
      <w:r>
        <w:rPr>
          <w:rFonts w:ascii="Arial" w:cs="Arial" w:eastAsia="Arial" w:hAnsi="Arial"/>
          <w:sz w:val="16"/>
          <w:szCs w:val="16"/>
          <w:color w:val="000000"/>
        </w:rPr>
        <w:t>(b) voluntary prepayments, repurchases, redemptions or defeasances of (i) Permitted Indebtedness (but excluding on</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account of any Subordinated Indebtedness) as long as the Payment Conditions are satisfied[ </w:t>
      </w:r>
      <w:r>
        <w:rPr>
          <w:rFonts w:ascii="Arial" w:cs="Arial" w:eastAsia="Arial" w:hAnsi="Arial"/>
          <w:sz w:val="16"/>
          <w:szCs w:val="16"/>
          <w:color w:val="FF0000"/>
          <w:strike w:val="1"/>
        </w:rPr>
        <w:t>and</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w:t>
      </w:r>
      <w:r>
        <w:rPr>
          <w:rFonts w:ascii="Arial" w:cs="Arial" w:eastAsia="Arial" w:hAnsi="Arial"/>
          <w:sz w:val="16"/>
          <w:szCs w:val="16"/>
          <w:color w:val="000000"/>
        </w:rPr>
        <w:t xml:space="preserve"> (ii) Subordinated Indebtedness in accordance with the subordination terms thereof and as long as the Payment Conditions are satisfied, </w:t>
      </w:r>
      <w:r>
        <w:rPr>
          <w:rFonts w:ascii="Arial" w:cs="Arial" w:eastAsia="Arial" w:hAnsi="Arial"/>
          <w:sz w:val="16"/>
          <w:szCs w:val="16"/>
          <w:b w:val="1"/>
          <w:bCs w:val="1"/>
          <w:u w:val="single" w:color="auto"/>
          <w:color w:val="0000FF"/>
        </w:rPr>
        <w:t>(iii) Permitted Real Estate Indebtedness as long as the Payment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u w:val="single" w:color="auto"/>
          <w:color w:val="0000FF"/>
        </w:rPr>
        <w:t>Conditions are satisfied and (iv) any Indebtedness (other than Subordinated Indebtedness in violation of any subordination terms with respect thereto) so long Unrestricted Cash Payment Conditions are satisfied on the date such payment is paid and such payment is paid solely from Unrestricted Cash</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(c) Permitted Refinancings of any such Indebtedness. Nothing herein shall preclude the Borrower from prepaying or otherwise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satisfying the Obligations hereunder pursuant to </w:t>
      </w:r>
      <w:r>
        <w:rPr>
          <w:rFonts w:ascii="Arial" w:cs="Arial" w:eastAsia="Arial" w:hAnsi="Arial"/>
          <w:sz w:val="18"/>
          <w:szCs w:val="18"/>
          <w:u w:val="single" w:color="auto"/>
          <w:color w:val="000000"/>
        </w:rPr>
        <w:t>Section 2.04</w:t>
      </w:r>
      <w:r>
        <w:rPr>
          <w:rFonts w:ascii="Arial" w:cs="Arial" w:eastAsia="Arial" w:hAnsi="Arial"/>
          <w:sz w:val="18"/>
          <w:szCs w:val="18"/>
          <w:color w:val="000000"/>
        </w:rPr>
        <w:t xml:space="preserve"> hereof, or from terminating or reducing Commitments hereunder pursuant to </w:t>
      </w:r>
      <w:r>
        <w:rPr>
          <w:rFonts w:ascii="Arial" w:cs="Arial" w:eastAsia="Arial" w:hAnsi="Arial"/>
          <w:sz w:val="18"/>
          <w:szCs w:val="18"/>
          <w:u w:val="single" w:color="auto"/>
          <w:color w:val="000000"/>
        </w:rPr>
        <w:t>Section 2.05</w:t>
      </w:r>
      <w:r>
        <w:rPr>
          <w:rFonts w:ascii="Arial" w:cs="Arial" w:eastAsia="Arial" w:hAnsi="Arial"/>
          <w:sz w:val="18"/>
          <w:szCs w:val="18"/>
          <w:color w:val="000000"/>
        </w:rPr>
        <w:t xml:space="preserve"> hereof.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109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7.08 Change in Nature of Business</w:t>
      </w:r>
      <w:r>
        <w:rPr>
          <w:rFonts w:ascii="Arial" w:cs="Arial" w:eastAsia="Arial" w:hAnsi="Arial"/>
          <w:sz w:val="18"/>
          <w:szCs w:val="18"/>
          <w:color w:val="auto"/>
        </w:rPr>
        <w:t>. Engage in any line of business substantially different from the Business conducted by the Loan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their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on the Closing Date or any business substantially related or incidental thereto.</w:t>
      </w:r>
    </w:p>
    <w:p>
      <w:pPr>
        <w:spacing w:after="0" w:line="162" w:lineRule="exact"/>
        <w:rPr>
          <w:sz w:val="20"/>
          <w:szCs w:val="20"/>
          <w:color w:val="auto"/>
        </w:rPr>
      </w:pPr>
    </w:p>
    <w:p>
      <w:pPr>
        <w:jc w:val="both"/>
        <w:ind w:right="60" w:firstLine="648"/>
        <w:spacing w:after="0" w:line="268" w:lineRule="auto"/>
        <w:rPr>
          <w:sz w:val="20"/>
          <w:szCs w:val="20"/>
          <w:color w:val="auto"/>
        </w:rPr>
      </w:pPr>
      <w:r>
        <w:rPr>
          <w:rFonts w:ascii="Arial" w:cs="Arial" w:eastAsia="Arial" w:hAnsi="Arial"/>
          <w:sz w:val="17"/>
          <w:szCs w:val="17"/>
          <w:b w:val="1"/>
          <w:bCs w:val="1"/>
          <w:color w:val="auto"/>
        </w:rPr>
        <w:t xml:space="preserve">7.09 Transactions with Affiliates. </w:t>
      </w:r>
      <w:r>
        <w:rPr>
          <w:rFonts w:ascii="Arial" w:cs="Arial" w:eastAsia="Arial" w:hAnsi="Arial"/>
          <w:sz w:val="17"/>
          <w:szCs w:val="17"/>
          <w:color w:val="auto"/>
        </w:rPr>
        <w:t>Enter into, renew, extend or be a party to any transaction of any kind with any Affiliate of any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Party, whether or not in the ordinary course of business, other than on fair and reasonable terms substantially as favorable to the Loan Parties or such </w:t>
      </w:r>
      <w:r>
        <w:rPr>
          <w:rFonts w:ascii="Arial" w:cs="Arial" w:eastAsia="Arial" w:hAnsi="Arial"/>
          <w:sz w:val="17"/>
          <w:szCs w:val="17"/>
          <w:b w:val="1"/>
          <w:bCs w:val="1"/>
          <w:u w:val="single" w:color="auto"/>
          <w:color w:val="0000FF"/>
        </w:rPr>
        <w:t>Restricted</w:t>
      </w:r>
      <w:r>
        <w:rPr>
          <w:rFonts w:ascii="Arial" w:cs="Arial" w:eastAsia="Arial" w:hAnsi="Arial"/>
          <w:sz w:val="17"/>
          <w:szCs w:val="17"/>
          <w:b w:val="1"/>
          <w:bCs w:val="1"/>
          <w:color w:val="0000FF"/>
        </w:rPr>
        <w:t xml:space="preserve"> </w:t>
      </w:r>
      <w:r>
        <w:rPr>
          <w:rFonts w:ascii="Arial" w:cs="Arial" w:eastAsia="Arial" w:hAnsi="Arial"/>
          <w:sz w:val="17"/>
          <w:szCs w:val="17"/>
          <w:color w:val="000000"/>
        </w:rPr>
        <w:t>Subsidiary as would be obtainable by the Loan Parties or such</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Restricted</w:t>
      </w:r>
      <w:r>
        <w:rPr>
          <w:rFonts w:ascii="Arial" w:cs="Arial" w:eastAsia="Arial" w:hAnsi="Arial"/>
          <w:sz w:val="17"/>
          <w:szCs w:val="17"/>
          <w:b w:val="1"/>
          <w:bCs w:val="1"/>
          <w:color w:val="0000FF"/>
        </w:rPr>
        <w:t xml:space="preserve"> </w:t>
      </w:r>
      <w:r>
        <w:rPr>
          <w:rFonts w:ascii="Arial" w:cs="Arial" w:eastAsia="Arial" w:hAnsi="Arial"/>
          <w:sz w:val="17"/>
          <w:szCs w:val="17"/>
          <w:color w:val="000000"/>
        </w:rPr>
        <w:t>Subsidiary at the time in a comparable arm’s length transaction with</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a Person other than an Affiliate,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the foregoing restriction shall not apply to (a) a transaction between or among the Loan Parties, (b) transactions described on Schedule 7.09 to the Disclosure Schedule, (c) advances for commissions, travel and other similar purposes in the ordinary course of business to directors, officers and employees, (d) the payment of reasonable fees and out-of-pocket costs to directors, and compensation and employee benefit arrangements paid to, and indemnities provided for the benefit of, directors, officers or employees of the Borrower 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000000"/>
        </w:rPr>
        <w:t xml:space="preserve"> Subsidiaries, [</w:t>
      </w:r>
      <w:r>
        <w:rPr>
          <w:rFonts w:ascii="Arial" w:cs="Arial" w:eastAsia="Arial" w:hAnsi="Arial"/>
          <w:sz w:val="17"/>
          <w:szCs w:val="17"/>
          <w:color w:val="FF0000"/>
          <w:strike w:val="1"/>
        </w:rPr>
        <w:t>and</w:t>
      </w:r>
      <w:r>
        <w:rPr>
          <w:rFonts w:ascii="Arial" w:cs="Arial" w:eastAsia="Arial" w:hAnsi="Arial"/>
          <w:sz w:val="17"/>
          <w:szCs w:val="17"/>
          <w:color w:val="000000"/>
        </w:rPr>
        <w:t xml:space="preserve"> ](e</w:t>
      </w:r>
      <w:r>
        <w:rPr>
          <w:rFonts w:ascii="Arial" w:cs="Arial" w:eastAsia="Arial" w:hAnsi="Arial"/>
          <w:sz w:val="17"/>
          <w:szCs w:val="17"/>
          <w:b w:val="1"/>
          <w:bCs w:val="1"/>
          <w:u w:val="single" w:color="auto"/>
          <w:color w:val="0000FF"/>
        </w:rPr>
        <w:t>) transactions with joint ventures for the purchase or sale of goods, equipment and services entered into in the ordinary</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course of business, (f) Restricted Payments permitted by Section 7.06, (g) transactions entered into by an Unrestricted Subsidiary with the Borrower or a Restricted Subsidiary prior to the designation of any such Unrestricted Subsidiary as a Restricted Subsidiary pursuant to the definition of “Unrestricted Subsidiary”; and (h</w:t>
      </w:r>
      <w:r>
        <w:rPr>
          <w:rFonts w:ascii="Arial" w:cs="Arial" w:eastAsia="Arial" w:hAnsi="Arial"/>
          <w:sz w:val="17"/>
          <w:szCs w:val="17"/>
          <w:color w:val="000000"/>
        </w:rPr>
        <w:t>) as long as no Change of Control results therefrom, any issuances of securities of the Borrower (other</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than Disqualified Stock and other Equity Interests not permitted hereunder) or other payments, awards or grants in cash, securities or otherwise pursuant to, or the funding of, employment agreements, stock options and stock ownership plans (in each case in respect of Equity Interests in the Borrower) of the Borrower 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000000"/>
        </w:rPr>
        <w:t xml:space="preserve"> Subsidiaries.</w:t>
      </w:r>
    </w:p>
    <w:p>
      <w:pPr>
        <w:spacing w:after="0" w:line="184" w:lineRule="exact"/>
        <w:rPr>
          <w:sz w:val="20"/>
          <w:szCs w:val="20"/>
          <w:color w:val="auto"/>
        </w:rPr>
      </w:pPr>
    </w:p>
    <w:p>
      <w:pPr>
        <w:jc w:val="both"/>
        <w:ind w:right="60" w:firstLine="648"/>
        <w:spacing w:after="0" w:line="284" w:lineRule="auto"/>
        <w:rPr>
          <w:sz w:val="20"/>
          <w:szCs w:val="20"/>
          <w:color w:val="auto"/>
        </w:rPr>
      </w:pPr>
      <w:r>
        <w:rPr>
          <w:rFonts w:ascii="Arial" w:cs="Arial" w:eastAsia="Arial" w:hAnsi="Arial"/>
          <w:sz w:val="16"/>
          <w:szCs w:val="16"/>
          <w:b w:val="1"/>
          <w:bCs w:val="1"/>
          <w:color w:val="auto"/>
        </w:rPr>
        <w:t xml:space="preserve">7.10 Burdensome Agreements. </w:t>
      </w:r>
      <w:r>
        <w:rPr>
          <w:rFonts w:ascii="Arial" w:cs="Arial" w:eastAsia="Arial" w:hAnsi="Arial"/>
          <w:sz w:val="16"/>
          <w:szCs w:val="16"/>
          <w:color w:val="auto"/>
        </w:rPr>
        <w:t>Enter into or permit to exist any Contractual Obligation (other than this Agreement or any other Loan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 that (a) limits the ability (i) of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to make Restricted Payments or other distributions to any Loan Party or to otherwise transfer property to or invest in a Loan Party, (ii) of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to Guarantee the Obligations, (iii) of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to make or repay loans to a Loan Party, or (iv) of the Loan Parties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to create, incur, assume or suffer to exist Liens on property of such Person in favor of the Lender</w:t>
      </w:r>
      <w:r>
        <w:rPr>
          <w:rFonts w:ascii="Arial" w:cs="Arial" w:eastAsia="Arial" w:hAnsi="Arial"/>
          <w:sz w:val="16"/>
          <w:szCs w:val="16"/>
          <w:u w:val="single" w:color="auto"/>
          <w:color w:val="00C000"/>
        </w:rPr>
        <w:t>; or (b) requires the grant of a Lien to secure an obligation of such Person if a Lien is granted to secure another obligation of</w:t>
      </w:r>
      <w:r>
        <w:rPr>
          <w:rFonts w:ascii="Arial" w:cs="Arial" w:eastAsia="Arial" w:hAnsi="Arial"/>
          <w:sz w:val="16"/>
          <w:szCs w:val="16"/>
          <w:color w:val="auto"/>
        </w:rPr>
        <w:t xml:space="preserve"> </w:t>
      </w:r>
      <w:r>
        <w:rPr>
          <w:rFonts w:ascii="Arial" w:cs="Arial" w:eastAsia="Arial" w:hAnsi="Arial"/>
          <w:sz w:val="16"/>
          <w:szCs w:val="16"/>
          <w:u w:val="single" w:color="auto"/>
          <w:color w:val="00C000"/>
        </w:rPr>
        <w:t>such Person</w:t>
      </w:r>
      <w:r>
        <w:rPr>
          <w:rFonts w:ascii="Arial" w:cs="Arial" w:eastAsia="Arial" w:hAnsi="Arial"/>
          <w:sz w:val="16"/>
          <w:szCs w:val="16"/>
          <w:color w:val="000000"/>
        </w:rPr>
        <w:t>;</w:t>
      </w:r>
      <w:r>
        <w:rPr>
          <w:rFonts w:ascii="Arial" w:cs="Arial" w:eastAsia="Arial" w:hAnsi="Arial"/>
          <w:sz w:val="16"/>
          <w:szCs w:val="16"/>
          <w:color w:val="00C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w:t>
      </w:r>
      <w:r>
        <w:rPr>
          <w:rFonts w:ascii="Arial" w:cs="Arial" w:eastAsia="Arial" w:hAnsi="Arial"/>
          <w:sz w:val="16"/>
          <w:szCs w:val="16"/>
          <w:color w:val="00C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w:t>
      </w:r>
      <w:r>
        <w:rPr>
          <w:rFonts w:ascii="Arial" w:cs="Arial" w:eastAsia="Arial" w:hAnsi="Arial"/>
          <w:sz w:val="16"/>
          <w:szCs w:val="16"/>
          <w:color w:val="FF0000"/>
          <w:strike w:val="1"/>
        </w:rPr>
        <w:t>that</w:t>
      </w:r>
      <w:r>
        <w:rPr>
          <w:rFonts w:ascii="Arial" w:cs="Arial" w:eastAsia="Arial" w:hAnsi="Arial"/>
          <w:sz w:val="16"/>
          <w:szCs w:val="16"/>
          <w:color w:val="00C000"/>
        </w:rPr>
        <w:t xml:space="preserve"> </w:t>
      </w:r>
      <w:r>
        <w:rPr>
          <w:rFonts w:ascii="Arial" w:cs="Arial" w:eastAsia="Arial" w:hAnsi="Arial"/>
          <w:sz w:val="16"/>
          <w:szCs w:val="16"/>
          <w:color w:val="000000"/>
        </w:rPr>
        <w:t>]this [</w:t>
      </w:r>
      <w:r>
        <w:rPr>
          <w:rFonts w:ascii="Arial" w:cs="Arial" w:eastAsia="Arial" w:hAnsi="Arial"/>
          <w:sz w:val="16"/>
          <w:szCs w:val="16"/>
          <w:color w:val="FF0000"/>
          <w:strike w:val="1"/>
        </w:rPr>
        <w:t>clause (iv)</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Section 7.10</w:t>
      </w:r>
      <w:r>
        <w:rPr>
          <w:rFonts w:ascii="Arial" w:cs="Arial" w:eastAsia="Arial" w:hAnsi="Arial"/>
          <w:sz w:val="16"/>
          <w:szCs w:val="16"/>
          <w:color w:val="00C000"/>
        </w:rPr>
        <w:t xml:space="preserve"> </w:t>
      </w:r>
      <w:r>
        <w:rPr>
          <w:rFonts w:ascii="Arial" w:cs="Arial" w:eastAsia="Arial" w:hAnsi="Arial"/>
          <w:sz w:val="16"/>
          <w:szCs w:val="16"/>
          <w:color w:val="000000"/>
        </w:rPr>
        <w:t>shall not prohibit</w:t>
      </w:r>
      <w:r>
        <w:rPr>
          <w:rFonts w:ascii="Arial" w:cs="Arial" w:eastAsia="Arial" w:hAnsi="Arial"/>
          <w:sz w:val="16"/>
          <w:szCs w:val="16"/>
          <w:color w:val="00C000"/>
        </w:rPr>
        <w:t xml:space="preserve"> </w:t>
      </w:r>
      <w:r>
        <w:rPr>
          <w:rFonts w:ascii="Arial" w:cs="Arial" w:eastAsia="Arial" w:hAnsi="Arial"/>
          <w:sz w:val="16"/>
          <w:szCs w:val="16"/>
          <w:b w:val="1"/>
          <w:bCs w:val="1"/>
          <w:u w:val="single" w:color="auto"/>
          <w:color w:val="0000FF"/>
        </w:rPr>
        <w:t>(x)</w:t>
      </w:r>
      <w:r>
        <w:rPr>
          <w:rFonts w:ascii="Arial" w:cs="Arial" w:eastAsia="Arial" w:hAnsi="Arial"/>
          <w:sz w:val="16"/>
          <w:szCs w:val="16"/>
          <w:color w:val="00C000"/>
        </w:rPr>
        <w:t xml:space="preserve"> </w:t>
      </w:r>
      <w:r>
        <w:rPr>
          <w:rFonts w:ascii="Arial" w:cs="Arial" w:eastAsia="Arial" w:hAnsi="Arial"/>
          <w:sz w:val="16"/>
          <w:szCs w:val="16"/>
          <w:color w:val="000000"/>
        </w:rPr>
        <w:t>any negative pledge incurred or provided in favor of any holder</w:t>
      </w:r>
      <w:r>
        <w:rPr>
          <w:rFonts w:ascii="Arial" w:cs="Arial" w:eastAsia="Arial" w:hAnsi="Arial"/>
          <w:sz w:val="16"/>
          <w:szCs w:val="16"/>
          <w:color w:val="00C000"/>
        </w:rPr>
        <w:t xml:space="preserve"> </w:t>
      </w:r>
      <w:r>
        <w:rPr>
          <w:rFonts w:ascii="Arial" w:cs="Arial" w:eastAsia="Arial" w:hAnsi="Arial"/>
          <w:sz w:val="16"/>
          <w:szCs w:val="16"/>
          <w:color w:val="000000"/>
        </w:rPr>
        <w:t>of Indebtedness permitted under [</w:t>
      </w:r>
      <w:r>
        <w:rPr>
          <w:rFonts w:ascii="Arial" w:cs="Arial" w:eastAsia="Arial" w:hAnsi="Arial"/>
          <w:sz w:val="16"/>
          <w:szCs w:val="16"/>
          <w:color w:val="FF0000"/>
          <w:strike w:val="1"/>
        </w:rPr>
        <w:t>clauses (c) or (d) of</w:t>
      </w:r>
      <w:r>
        <w:rPr>
          <w:rFonts w:ascii="Arial" w:cs="Arial" w:eastAsia="Arial" w:hAnsi="Arial"/>
          <w:sz w:val="16"/>
          <w:szCs w:val="16"/>
          <w:color w:val="000000"/>
        </w:rPr>
        <w:t xml:space="preserve"> ]the definition of Permitted Indebtedness </w:t>
      </w:r>
      <w:r>
        <w:rPr>
          <w:rFonts w:ascii="Arial" w:cs="Arial" w:eastAsia="Arial" w:hAnsi="Arial"/>
          <w:sz w:val="16"/>
          <w:szCs w:val="16"/>
          <w:b w:val="1"/>
          <w:bCs w:val="1"/>
          <w:u w:val="single" w:color="auto"/>
          <w:color w:val="0000FF"/>
        </w:rPr>
        <w:t>(including Permitted Real Estate Indebtedness)</w:t>
      </w:r>
      <w:r>
        <w:rPr>
          <w:rFonts w:ascii="Arial" w:cs="Arial" w:eastAsia="Arial" w:hAnsi="Arial"/>
          <w:sz w:val="16"/>
          <w:szCs w:val="16"/>
          <w:color w:val="000000"/>
        </w:rPr>
        <w:t xml:space="preserve"> solely to the extent any such negative pledge [</w:t>
      </w:r>
      <w:r>
        <w:rPr>
          <w:rFonts w:ascii="Arial" w:cs="Arial" w:eastAsia="Arial" w:hAnsi="Arial"/>
          <w:sz w:val="16"/>
          <w:szCs w:val="16"/>
          <w:color w:val="FF0000"/>
          <w:strike w:val="1"/>
        </w:rPr>
        <w:t>relates to the property financed by or the subject of such Indebtedness</w:t>
      </w:r>
      <w:r>
        <w:rPr>
          <w:rFonts w:ascii="Arial" w:cs="Arial" w:eastAsia="Arial" w:hAnsi="Arial"/>
          <w:sz w:val="16"/>
          <w:szCs w:val="16"/>
          <w:color w:val="000000"/>
        </w:rPr>
        <w:t>]</w:t>
      </w:r>
      <w:r>
        <w:rPr>
          <w:rFonts w:ascii="Arial" w:cs="Arial" w:eastAsia="Arial" w:hAnsi="Arial"/>
          <w:sz w:val="16"/>
          <w:szCs w:val="16"/>
          <w:color w:val="00C000"/>
          <w:strike w:val="1"/>
        </w:rPr>
        <w:t>; or (b) requires the grant of a Lien to secure an</w:t>
      </w:r>
      <w:r>
        <w:rPr>
          <w:rFonts w:ascii="Arial" w:cs="Arial" w:eastAsia="Arial" w:hAnsi="Arial"/>
          <w:sz w:val="16"/>
          <w:szCs w:val="16"/>
          <w:color w:val="000000"/>
        </w:rPr>
        <w:t xml:space="preserve"> </w:t>
      </w:r>
      <w:r>
        <w:rPr>
          <w:rFonts w:ascii="Arial" w:cs="Arial" w:eastAsia="Arial" w:hAnsi="Arial"/>
          <w:sz w:val="16"/>
          <w:szCs w:val="16"/>
          <w:color w:val="00C000"/>
          <w:strike w:val="1"/>
        </w:rPr>
        <w:t>obligation of such Person if a Lien is granted to secure another obligation of such Person</w:t>
      </w:r>
      <w:r>
        <w:rPr>
          <w:rFonts w:ascii="Arial" w:cs="Arial" w:eastAsia="Arial" w:hAnsi="Arial"/>
          <w:sz w:val="16"/>
          <w:szCs w:val="16"/>
          <w:b w:val="1"/>
          <w:bCs w:val="1"/>
          <w:u w:val="single" w:color="auto"/>
          <w:color w:val="0000FF"/>
          <w:strike w:val="1"/>
        </w:rPr>
        <w:t>does not relate to property in which the Lender has a</w:t>
      </w:r>
      <w:r>
        <w:rPr>
          <w:rFonts w:ascii="Arial" w:cs="Arial" w:eastAsia="Arial" w:hAnsi="Arial"/>
          <w:sz w:val="16"/>
          <w:szCs w:val="16"/>
          <w:color w:val="00C000"/>
          <w:strike w:val="1"/>
        </w:rPr>
        <w:t xml:space="preserve"> </w:t>
      </w:r>
      <w:r>
        <w:rPr>
          <w:rFonts w:ascii="Arial" w:cs="Arial" w:eastAsia="Arial" w:hAnsi="Arial"/>
          <w:sz w:val="16"/>
          <w:szCs w:val="16"/>
          <w:b w:val="1"/>
          <w:bCs w:val="1"/>
          <w:u w:val="single" w:color="auto"/>
          <w:color w:val="0000FF"/>
          <w:strike w:val="1"/>
        </w:rPr>
        <w:t>perfected Lien, including property of the type included in the calculation of the Borrowing Base or proceeds thereof and (y) any agreement entered into by a Permitted Real Estate Subsidiary that governs or evidences Permitted Real Estate Indebtedness solely with respect to limitations on restrictions binding on such Permitted Real Estate Subsidiary and no other Restricted Subsidiary or Loan Party, provided, further however, that clause (a)(i), clause (a)(iii) and clause (b) of this Section 7.10 shall not prohibit (A) customary provisions in joint venture agreements and other similar agreements applicable to joint ventures solely to joint ventures and entered into in the ordinary course of business, (B) restrictions and conditions imposed by applicable Law, (C) restrictions and conditions contained in agreements relating to the sale of a Subsidiary or any assets pending such sale; provided that such restrictions and conditions apply only to the Subsidiary or assets that is or are to be sold and such sale is not prohibited under this Agreement, (D) customary provisions in leases, licenses and other contracts restricting the assignment thereof, (E) any restrictions or conditions set forth in any agreement in effect at any time any Person becomes a Restricted Subsidiary (but not any modification or amendment expanding the scope of any such restriction or condition); provided that such agreement was not entered into in contemplation of such Person becoming a Restricted Subsidiary and the restriction or condition set forth in such agreement does not apply to the Borrower or any other Restricted Subsidiary or any of their assets; (F) restrictions on cash or other deposits imposed by agreements with customers entered into in the ordinary course of business (or other restrictions constituting Liens not prohibited under this Agreement), or (G) customary net worth provisions contained in real property leases entered into by Subsidiaries of the Borrower, so long as the Borrower has determined in good faith that such net worth provisions could not reasonably be expected to impair the ability of the Borrower and its Subsidiaries to meet their ongoing obligation</w:t>
      </w:r>
      <w:r>
        <w:rPr>
          <w:rFonts w:ascii="Arial" w:cs="Arial" w:eastAsia="Arial" w:hAnsi="Arial"/>
          <w:sz w:val="16"/>
          <w:szCs w:val="16"/>
          <w:color w:val="000000"/>
          <w:strike w:val="1"/>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110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7.11 Use of Proceeds. </w:t>
      </w:r>
      <w:r>
        <w:rPr>
          <w:rFonts w:ascii="Arial" w:cs="Arial" w:eastAsia="Arial" w:hAnsi="Arial"/>
          <w:sz w:val="18"/>
          <w:szCs w:val="18"/>
          <w:color w:val="auto"/>
        </w:rPr>
        <w:t>Use the proceeds of any Credit Extension, whether directly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0000FF"/>
        </w:rPr>
        <w:t>knowingly</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and whether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incidentally or ultimately, (a) (i) to purchase or carry margin stock (within the meaning of Regulation U of the FRB) or to extend credit to others for the purpose of purchasing or carrying margin stock or to refund Indebtedness originally incurred for such purpose or (ii) in any manner that would result in a violation of any applicable Sanctions or [</w:t>
      </w:r>
      <w:r>
        <w:rPr>
          <w:rFonts w:ascii="Arial" w:cs="Arial" w:eastAsia="Arial" w:hAnsi="Arial"/>
          <w:sz w:val="18"/>
          <w:szCs w:val="18"/>
          <w:color w:val="FF0000"/>
          <w:strike w:val="1"/>
        </w:rPr>
        <w:t>anti-corruption laws</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Anti-Corruption Laws</w:t>
      </w:r>
      <w:r>
        <w:rPr>
          <w:rFonts w:ascii="Arial" w:cs="Arial" w:eastAsia="Arial" w:hAnsi="Arial"/>
          <w:sz w:val="18"/>
          <w:szCs w:val="18"/>
          <w:color w:val="auto"/>
        </w:rPr>
        <w:t>, or (b) for any purposes other than (i) the acquisition of working capital assets in the ordinary course of business, (ii) to finance Capital Expenditures of the Loan Parties, and (iii) [</w:t>
      </w:r>
      <w:r>
        <w:rPr>
          <w:rFonts w:ascii="Arial" w:cs="Arial" w:eastAsia="Arial" w:hAnsi="Arial"/>
          <w:sz w:val="18"/>
          <w:szCs w:val="18"/>
          <w:color w:val="FF0000"/>
          <w:strike w:val="1"/>
        </w:rPr>
        <w:t>for</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to fund working capital needs 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other</w:t>
      </w:r>
      <w:r>
        <w:rPr>
          <w:rFonts w:ascii="Arial" w:cs="Arial" w:eastAsia="Arial" w:hAnsi="Arial"/>
          <w:sz w:val="18"/>
          <w:szCs w:val="18"/>
          <w:b w:val="1"/>
          <w:bCs w:val="1"/>
          <w:color w:val="0000FF"/>
        </w:rPr>
        <w:t xml:space="preserve"> </w:t>
      </w:r>
      <w:r>
        <w:rPr>
          <w:rFonts w:ascii="Arial" w:cs="Arial" w:eastAsia="Arial" w:hAnsi="Arial"/>
          <w:sz w:val="18"/>
          <w:szCs w:val="18"/>
          <w:color w:val="000000"/>
        </w:rPr>
        <w:t>general corporate purposes[</w:t>
      </w:r>
      <w:r>
        <w:rPr>
          <w:rFonts w:ascii="Arial" w:cs="Arial" w:eastAsia="Arial" w:hAnsi="Arial"/>
          <w:sz w:val="18"/>
          <w:szCs w:val="18"/>
          <w:color w:val="FF0000"/>
          <w:strike w:val="1"/>
        </w:rPr>
        <w:t>, in each case to the extent expressly permitted under Law and</w:t>
      </w:r>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of Borrower and its Subsidiaries, including the</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financing of Permitted Acquisitions, other Permitted Investments, Restricted Payments and any other purpose not prohibited by</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Loan</w:t>
      </w:r>
      <w:r>
        <w:rPr>
          <w:rFonts w:ascii="Arial" w:cs="Arial" w:eastAsia="Arial" w:hAnsi="Arial"/>
          <w:sz w:val="18"/>
          <w:szCs w:val="18"/>
          <w:b w:val="1"/>
          <w:bCs w:val="1"/>
          <w:color w:val="0000FF"/>
        </w:rPr>
        <w:t xml:space="preserve"> </w:t>
      </w:r>
      <w:r>
        <w:rPr>
          <w:rFonts w:ascii="Arial" w:cs="Arial" w:eastAsia="Arial" w:hAnsi="Arial"/>
          <w:sz w:val="18"/>
          <w:szCs w:val="18"/>
          <w:color w:val="000000"/>
        </w:rPr>
        <w:t>Documents.</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7.12 Amendment of Material Documents</w:t>
      </w:r>
      <w:r>
        <w:rPr>
          <w:rFonts w:ascii="Arial" w:cs="Arial" w:eastAsia="Arial" w:hAnsi="Arial"/>
          <w:sz w:val="18"/>
          <w:szCs w:val="18"/>
          <w:color w:val="auto"/>
        </w:rPr>
        <w:t>. Amend, modify or waive any of a Loan Party’s rights under (a) its Organization Documents[</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in</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a manner materially adverse to the Credit Parties</w:t>
      </w:r>
      <w:r>
        <w:rPr>
          <w:rFonts w:ascii="Arial" w:cs="Arial" w:eastAsia="Arial" w:hAnsi="Arial"/>
          <w:sz w:val="18"/>
          <w:szCs w:val="18"/>
          <w:color w:val="000000"/>
        </w:rPr>
        <w:t>], or (b)</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rPr>
        <w:t>the terms of</w:t>
      </w:r>
      <w:r>
        <w:rPr>
          <w:rFonts w:ascii="Arial" w:cs="Arial" w:eastAsia="Arial" w:hAnsi="Arial"/>
          <w:sz w:val="18"/>
          <w:szCs w:val="18"/>
          <w:color w:val="FF0000"/>
        </w:rPr>
        <w:t xml:space="preserve"> </w:t>
      </w:r>
      <w:r>
        <w:rPr>
          <w:rFonts w:ascii="Arial" w:cs="Arial" w:eastAsia="Arial" w:hAnsi="Arial"/>
          <w:sz w:val="18"/>
          <w:szCs w:val="18"/>
          <w:color w:val="000000"/>
        </w:rPr>
        <w:t>any [</w:t>
      </w:r>
      <w:r>
        <w:rPr>
          <w:rFonts w:ascii="Arial" w:cs="Arial" w:eastAsia="Arial" w:hAnsi="Arial"/>
          <w:sz w:val="18"/>
          <w:szCs w:val="18"/>
          <w:color w:val="FF0000"/>
          <w:strike w:val="1"/>
        </w:rPr>
        <w:t>Material Contract or</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agreement governing</w:t>
      </w:r>
      <w:r>
        <w:rPr>
          <w:rFonts w:ascii="Arial" w:cs="Arial" w:eastAsia="Arial" w:hAnsi="Arial"/>
          <w:sz w:val="18"/>
          <w:szCs w:val="18"/>
          <w:color w:val="FF0000"/>
        </w:rPr>
        <w:t xml:space="preserve"> </w:t>
      </w:r>
      <w:r>
        <w:rPr>
          <w:rFonts w:ascii="Arial" w:cs="Arial" w:eastAsia="Arial" w:hAnsi="Arial"/>
          <w:sz w:val="18"/>
          <w:szCs w:val="18"/>
          <w:color w:val="000000"/>
        </w:rPr>
        <w:t>Material Indebtedness (other than</w:t>
      </w:r>
      <w:r>
        <w:rPr>
          <w:rFonts w:ascii="Arial" w:cs="Arial" w:eastAsia="Arial" w:hAnsi="Arial"/>
          <w:sz w:val="18"/>
          <w:szCs w:val="18"/>
          <w:color w:val="FF0000"/>
        </w:rPr>
        <w:t xml:space="preserve"> </w:t>
      </w:r>
      <w:r>
        <w:rPr>
          <w:rFonts w:ascii="Arial" w:cs="Arial" w:eastAsia="Arial" w:hAnsi="Arial"/>
          <w:sz w:val="18"/>
          <w:szCs w:val="18"/>
          <w:color w:val="000000"/>
        </w:rPr>
        <w:t>on account of any Permitted Refinancing thereof), in the case of either (a) or (b) above, to the extent that such amendment, modification or waiver would result in a Default or Event of Default under any of the Loan Documents, [</w:t>
      </w:r>
      <w:r>
        <w:rPr>
          <w:rFonts w:ascii="Arial" w:cs="Arial" w:eastAsia="Arial" w:hAnsi="Arial"/>
          <w:sz w:val="18"/>
          <w:szCs w:val="18"/>
          <w:color w:val="FF0000"/>
          <w:strike w:val="1"/>
        </w:rPr>
        <w:t>would be materially adverse to the Credit Parties,</w:t>
      </w:r>
      <w:r>
        <w:rPr>
          <w:rFonts w:ascii="Arial" w:cs="Arial" w:eastAsia="Arial" w:hAnsi="Arial"/>
          <w:sz w:val="18"/>
          <w:szCs w:val="18"/>
          <w:color w:val="000000"/>
        </w:rPr>
        <w:t xml:space="preserve"> ]or [</w:t>
      </w:r>
      <w:r>
        <w:rPr>
          <w:rFonts w:ascii="Arial" w:cs="Arial" w:eastAsia="Arial" w:hAnsi="Arial"/>
          <w:sz w:val="18"/>
          <w:szCs w:val="18"/>
          <w:color w:val="FF0000"/>
          <w:strike w:val="1"/>
        </w:rPr>
        <w:t>otherwise</w:t>
      </w:r>
      <w:r>
        <w:rPr>
          <w:rFonts w:ascii="Arial" w:cs="Arial" w:eastAsia="Arial" w:hAnsi="Arial"/>
          <w:sz w:val="18"/>
          <w:szCs w:val="18"/>
          <w:color w:val="000000"/>
        </w:rPr>
        <w:t xml:space="preserve"> ]would[ </w:t>
      </w:r>
      <w:r>
        <w:rPr>
          <w:rFonts w:ascii="Arial" w:cs="Arial" w:eastAsia="Arial" w:hAnsi="Arial"/>
          <w:sz w:val="18"/>
          <w:szCs w:val="18"/>
          <w:color w:val="FF0000"/>
          <w:strike w:val="1"/>
        </w:rPr>
        <w:t>be</w:t>
      </w:r>
      <w:r>
        <w:rPr>
          <w:rFonts w:ascii="Arial" w:cs="Arial" w:eastAsia="Arial" w:hAnsi="Arial"/>
          <w:sz w:val="18"/>
          <w:szCs w:val="18"/>
          <w:color w:val="000000"/>
        </w:rPr>
        <w:t>] reasonably [</w:t>
      </w:r>
      <w:r>
        <w:rPr>
          <w:rFonts w:ascii="Arial" w:cs="Arial" w:eastAsia="Arial" w:hAnsi="Arial"/>
          <w:sz w:val="18"/>
          <w:szCs w:val="18"/>
          <w:color w:val="FF0000"/>
          <w:strike w:val="1"/>
        </w:rPr>
        <w:t>likely</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expected</w:t>
      </w:r>
      <w:r>
        <w:rPr>
          <w:rFonts w:ascii="Arial" w:cs="Arial" w:eastAsia="Arial" w:hAnsi="Arial"/>
          <w:sz w:val="18"/>
          <w:szCs w:val="18"/>
          <w:color w:val="000000"/>
        </w:rPr>
        <w:t xml:space="preserve"> to have a Material Adverse Effect.</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7.13 Fiscal Year</w:t>
      </w:r>
      <w:r>
        <w:rPr>
          <w:rFonts w:ascii="Arial" w:cs="Arial" w:eastAsia="Arial" w:hAnsi="Arial"/>
          <w:sz w:val="18"/>
          <w:szCs w:val="18"/>
          <w:color w:val="auto"/>
        </w:rPr>
        <w:t>. Change the Fiscal Year of any Loan Party, or the accounting policies or reporting practices of the Loan Parties,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GAAP.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7.14 Deposit Accounts; Credit Card Processors</w:t>
      </w:r>
      <w:r>
        <w:rPr>
          <w:rFonts w:ascii="Arial" w:cs="Arial" w:eastAsia="Arial" w:hAnsi="Arial"/>
          <w:sz w:val="17"/>
          <w:szCs w:val="17"/>
          <w:color w:val="auto"/>
        </w:rPr>
        <w:t>. Open new DDAs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0000FF"/>
        </w:rPr>
        <w:t>(other than Excluded Accounts) following the Third Amendment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0000FF"/>
        </w:rPr>
        <w:t>Effective Date</w:t>
      </w:r>
      <w:r>
        <w:rPr>
          <w:rFonts w:ascii="Arial" w:cs="Arial" w:eastAsia="Arial" w:hAnsi="Arial"/>
          <w:sz w:val="17"/>
          <w:szCs w:val="17"/>
          <w:b w:val="1"/>
          <w:bCs w:val="1"/>
          <w:color w:val="0000FF"/>
        </w:rPr>
        <w:t xml:space="preserve"> </w:t>
      </w:r>
      <w:r>
        <w:rPr>
          <w:rFonts w:ascii="Arial" w:cs="Arial" w:eastAsia="Arial" w:hAnsi="Arial"/>
          <w:sz w:val="17"/>
          <w:szCs w:val="17"/>
          <w:color w:val="000000"/>
        </w:rPr>
        <w:t>unless the Loan Parties shall have delivered to the Lender [</w:t>
      </w:r>
      <w:r>
        <w:rPr>
          <w:rFonts w:ascii="Arial" w:cs="Arial" w:eastAsia="Arial" w:hAnsi="Arial"/>
          <w:sz w:val="17"/>
          <w:szCs w:val="17"/>
          <w:color w:val="FF0000"/>
          <w:strike w:val="1"/>
        </w:rPr>
        <w:t>Appropriate</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a</w:t>
      </w:r>
      <w:r>
        <w:rPr>
          <w:rFonts w:ascii="Arial" w:cs="Arial" w:eastAsia="Arial" w:hAnsi="Arial"/>
          <w:sz w:val="17"/>
          <w:szCs w:val="17"/>
          <w:b w:val="1"/>
          <w:bCs w:val="1"/>
          <w:color w:val="0000FF"/>
        </w:rPr>
        <w:t xml:space="preserve"> </w:t>
      </w:r>
      <w:r>
        <w:rPr>
          <w:rFonts w:ascii="Arial" w:cs="Arial" w:eastAsia="Arial" w:hAnsi="Arial"/>
          <w:sz w:val="17"/>
          <w:szCs w:val="17"/>
          <w:color w:val="000000"/>
        </w:rPr>
        <w:t>Blocked Account [</w:t>
      </w:r>
      <w:r>
        <w:rPr>
          <w:rFonts w:ascii="Arial" w:cs="Arial" w:eastAsia="Arial" w:hAnsi="Arial"/>
          <w:sz w:val="17"/>
          <w:szCs w:val="17"/>
          <w:color w:val="FF0000"/>
          <w:strike w:val="1"/>
        </w:rPr>
        <w:t>Agreements consistent with the provisions of</w:t>
      </w:r>
      <w:r>
        <w:rPr>
          <w:rFonts w:ascii="Arial" w:cs="Arial" w:eastAsia="Arial" w:hAnsi="Arial"/>
          <w:sz w:val="17"/>
          <w:szCs w:val="17"/>
          <w:b w:val="1"/>
          <w:bCs w:val="1"/>
          <w:color w:val="0000FF"/>
        </w:rPr>
        <w:t xml:space="preserve"> </w:t>
      </w:r>
      <w:r>
        <w:rPr>
          <w:rFonts w:ascii="Arial" w:cs="Arial" w:eastAsia="Arial" w:hAnsi="Arial"/>
          <w:sz w:val="17"/>
          <w:szCs w:val="17"/>
          <w:u w:val="single" w:color="auto"/>
          <w:color w:val="FF0000"/>
          <w:strike w:val="1"/>
        </w:rPr>
        <w:t>Section 6.12</w:t>
      </w:r>
      <w:r>
        <w:rPr>
          <w:rFonts w:ascii="Arial" w:cs="Arial" w:eastAsia="Arial" w:hAnsi="Arial"/>
          <w:sz w:val="17"/>
          <w:szCs w:val="17"/>
          <w:color w:val="FF0000"/>
        </w:rPr>
        <w:t xml:space="preserve"> </w:t>
      </w:r>
      <w:r>
        <w:rPr>
          <w:rFonts w:ascii="Arial" w:cs="Arial" w:eastAsia="Arial" w:hAnsi="Arial"/>
          <w:sz w:val="17"/>
          <w:szCs w:val="17"/>
          <w:color w:val="FF0000"/>
          <w:strike w:val="1"/>
        </w:rPr>
        <w:t>and otherwise</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color w:val="00C000"/>
          <w:strike w:val="1"/>
        </w:rPr>
        <w:t>satisfactory to the Lender</w:t>
      </w:r>
      <w:r>
        <w:rPr>
          <w:rFonts w:ascii="Arial" w:cs="Arial" w:eastAsia="Arial" w:hAnsi="Arial"/>
          <w:sz w:val="17"/>
          <w:szCs w:val="17"/>
          <w:b w:val="1"/>
          <w:bCs w:val="1"/>
          <w:u w:val="single" w:color="auto"/>
          <w:color w:val="0000FF"/>
        </w:rPr>
        <w:t>Agreement; provided that such delivery shall not be required until thirty (30) days following</w:t>
      </w:r>
      <w:r>
        <w:rPr>
          <w:rFonts w:ascii="Arial" w:cs="Arial" w:eastAsia="Arial" w:hAnsi="Arial"/>
          <w:sz w:val="17"/>
          <w:szCs w:val="17"/>
          <w:color w:val="FF0000"/>
        </w:rPr>
        <w:t xml:space="preserve"> </w:t>
      </w:r>
      <w:r>
        <w:rPr>
          <w:rFonts w:ascii="Arial" w:cs="Arial" w:eastAsia="Arial" w:hAnsi="Arial"/>
          <w:sz w:val="17"/>
          <w:szCs w:val="17"/>
          <w:b w:val="1"/>
          <w:bCs w:val="1"/>
          <w:u w:val="single" w:color="auto"/>
          <w:color w:val="0000FF"/>
        </w:rPr>
        <w:t>the opening thereof with respect to any individual DDA with a balance of less than $100,000</w:t>
      </w:r>
      <w:r>
        <w:rPr>
          <w:rFonts w:ascii="Arial" w:cs="Arial" w:eastAsia="Arial" w:hAnsi="Arial"/>
          <w:sz w:val="17"/>
          <w:szCs w:val="17"/>
          <w:color w:val="000000"/>
        </w:rPr>
        <w:t>. No Loan Party shall [</w:t>
      </w:r>
      <w:r>
        <w:rPr>
          <w:rFonts w:ascii="Arial" w:cs="Arial" w:eastAsia="Arial" w:hAnsi="Arial"/>
          <w:sz w:val="17"/>
          <w:szCs w:val="17"/>
          <w:color w:val="FF0000"/>
          <w:strike w:val="1"/>
        </w:rPr>
        <w:t>maintain any bank accounts or</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]enter into any </w:t>
      </w:r>
      <w:r>
        <w:rPr>
          <w:rFonts w:ascii="Arial" w:cs="Arial" w:eastAsia="Arial" w:hAnsi="Arial"/>
          <w:sz w:val="17"/>
          <w:szCs w:val="17"/>
          <w:b w:val="1"/>
          <w:bCs w:val="1"/>
          <w:u w:val="single" w:color="auto"/>
          <w:color w:val="0000FF"/>
        </w:rPr>
        <w:t>new</w:t>
      </w:r>
      <w:r>
        <w:rPr>
          <w:rFonts w:ascii="Arial" w:cs="Arial" w:eastAsia="Arial" w:hAnsi="Arial"/>
          <w:sz w:val="17"/>
          <w:szCs w:val="17"/>
          <w:color w:val="000000"/>
        </w:rPr>
        <w:t xml:space="preserve"> agreements with credit card processors or credit card issuers </w:t>
      </w:r>
      <w:r>
        <w:rPr>
          <w:rFonts w:ascii="Arial" w:cs="Arial" w:eastAsia="Arial" w:hAnsi="Arial"/>
          <w:sz w:val="17"/>
          <w:szCs w:val="17"/>
          <w:b w:val="1"/>
          <w:bCs w:val="1"/>
          <w:u w:val="single" w:color="auto"/>
          <w:color w:val="0000FF"/>
        </w:rPr>
        <w:t>following the Third Amendment Effective Date</w:t>
      </w:r>
      <w:r>
        <w:rPr>
          <w:rFonts w:ascii="Arial" w:cs="Arial" w:eastAsia="Arial" w:hAnsi="Arial"/>
          <w:sz w:val="17"/>
          <w:szCs w:val="17"/>
          <w:color w:val="000000"/>
        </w:rPr>
        <w:t xml:space="preserve"> other than [</w:t>
      </w:r>
      <w:r>
        <w:rPr>
          <w:rFonts w:ascii="Arial" w:cs="Arial" w:eastAsia="Arial" w:hAnsi="Arial"/>
          <w:sz w:val="17"/>
          <w:szCs w:val="17"/>
          <w:color w:val="FF0000"/>
          <w:strike w:val="1"/>
        </w:rPr>
        <w:t>the ones</w:t>
      </w:r>
      <w:r>
        <w:rPr>
          <w:rFonts w:ascii="Arial" w:cs="Arial" w:eastAsia="Arial" w:hAnsi="Arial"/>
          <w:sz w:val="17"/>
          <w:szCs w:val="17"/>
          <w:color w:val="000000"/>
        </w:rPr>
        <w:t xml:space="preserve"> </w:t>
      </w:r>
      <w:r>
        <w:rPr>
          <w:rFonts w:ascii="Arial" w:cs="Arial" w:eastAsia="Arial" w:hAnsi="Arial"/>
          <w:sz w:val="17"/>
          <w:szCs w:val="17"/>
          <w:color w:val="FF0000"/>
          <w:strike w:val="1"/>
        </w:rPr>
        <w:t>expressly contemplated herein or in</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Section 6.12</w:t>
      </w:r>
      <w:r>
        <w:rPr>
          <w:rFonts w:ascii="Arial" w:cs="Arial" w:eastAsia="Arial" w:hAnsi="Arial"/>
          <w:sz w:val="17"/>
          <w:szCs w:val="17"/>
          <w:color w:val="FF0000"/>
        </w:rPr>
        <w:t xml:space="preserve"> </w:t>
      </w:r>
      <w:r>
        <w:rPr>
          <w:rFonts w:ascii="Arial" w:cs="Arial" w:eastAsia="Arial" w:hAnsi="Arial"/>
          <w:sz w:val="17"/>
          <w:szCs w:val="17"/>
          <w:color w:val="FF0000"/>
          <w:strike w:val="1"/>
        </w:rPr>
        <w:t>hereof</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(a) renewals or extensions of existing agreements with existing credit card processors or</w:t>
      </w:r>
      <w:r>
        <w:rPr>
          <w:rFonts w:ascii="Arial" w:cs="Arial" w:eastAsia="Arial" w:hAnsi="Arial"/>
          <w:sz w:val="17"/>
          <w:szCs w:val="17"/>
          <w:color w:val="FF0000"/>
        </w:rPr>
        <w:t xml:space="preserve"> </w:t>
      </w:r>
      <w:r>
        <w:rPr>
          <w:rFonts w:ascii="Arial" w:cs="Arial" w:eastAsia="Arial" w:hAnsi="Arial"/>
          <w:sz w:val="17"/>
          <w:szCs w:val="17"/>
          <w:b w:val="1"/>
          <w:bCs w:val="1"/>
          <w:u w:val="single" w:color="auto"/>
          <w:color w:val="0000FF"/>
        </w:rPr>
        <w:t>existing credit card issuers that are subject to existing Credit Card Notifications entered into prior to the Third Amendment Effective Date or (b) to the extent the Loan Parties shall have notified the Lender thereof and shall have delivered a Credit Card Notification in form and substance reasonably</w:t>
      </w:r>
      <w:r>
        <w:rPr>
          <w:rFonts w:ascii="Arial" w:cs="Arial" w:eastAsia="Arial" w:hAnsi="Arial"/>
          <w:sz w:val="17"/>
          <w:szCs w:val="17"/>
          <w:b w:val="1"/>
          <w:bCs w:val="1"/>
          <w:color w:val="0000FF"/>
        </w:rPr>
        <w:t xml:space="preserve"> </w:t>
      </w:r>
      <w:r>
        <w:rPr>
          <w:rFonts w:ascii="Arial" w:cs="Arial" w:eastAsia="Arial" w:hAnsi="Arial"/>
          <w:sz w:val="17"/>
          <w:szCs w:val="17"/>
          <w:u w:val="single" w:color="auto"/>
          <w:color w:val="00C000"/>
        </w:rPr>
        <w:t>satisfactory to the Lender</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-40640</wp:posOffset>
            </wp:positionV>
            <wp:extent cx="285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7.15 Financial Covenant</w:t>
      </w:r>
      <w:r>
        <w:rPr>
          <w:rFonts w:ascii="Arial" w:cs="Arial" w:eastAsia="Arial" w:hAnsi="Arial"/>
          <w:sz w:val="17"/>
          <w:szCs w:val="17"/>
          <w:color w:val="auto"/>
        </w:rPr>
        <w:t>. During the continuance of a Covenant Compliance Event, permit the Consolidated Fixed Charge Coverage Ratio,</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calculated for the Measurement Period ending immediately prior to the Fiscal Month in which the Covenant Compliance Event occurs and for each Fiscal Month ending thereafter until the Covenant Compliance Event is no longer continuing, to be less than 1:00 to 1:00.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Any of the following events (each an “Event of Default”) shall occur:</w:t>
      </w:r>
    </w:p>
    <w:p>
      <w:pPr>
        <w:spacing w:after="0" w:line="229" w:lineRule="exact"/>
        <w:rPr>
          <w:sz w:val="20"/>
          <w:szCs w:val="20"/>
          <w:color w:val="auto"/>
        </w:rPr>
      </w:pPr>
    </w:p>
    <w:p>
      <w:pPr>
        <w:jc w:val="both"/>
        <w:ind w:left="660" w:firstLine="774"/>
        <w:spacing w:after="0" w:line="257" w:lineRule="auto"/>
        <w:tabs>
          <w:tab w:leader="none" w:pos="2168"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or any other Loan Party fails to pay when and as required to be paid herein, (i) any amount of principal of[</w:t>
      </w:r>
      <w:r>
        <w:rPr>
          <w:rFonts w:ascii="Arial" w:cs="Arial" w:eastAsia="Arial" w:hAnsi="Arial"/>
          <w:sz w:val="18"/>
          <w:szCs w:val="18"/>
          <w:color w:val="FF0000"/>
          <w:strike w:val="1"/>
        </w:rPr>
        <w:t>, or interest on,</w:t>
      </w:r>
      <w:r>
        <w:rPr>
          <w:rFonts w:ascii="Arial" w:cs="Arial" w:eastAsia="Arial" w:hAnsi="Arial"/>
          <w:sz w:val="18"/>
          <w:szCs w:val="18"/>
          <w:color w:val="auto"/>
        </w:rPr>
        <w:t>] any Loan or any L/C Obligation, or deposit any funds as Cash Collateral in respect of L/C Obligations, [</w:t>
      </w:r>
      <w:r>
        <w:rPr>
          <w:rFonts w:ascii="Arial" w:cs="Arial" w:eastAsia="Arial" w:hAnsi="Arial"/>
          <w:sz w:val="18"/>
          <w:szCs w:val="18"/>
          <w:color w:val="FF0000"/>
          <w:strike w:val="1"/>
        </w:rPr>
        <w:t>or</w:t>
      </w:r>
      <w:r>
        <w:rPr>
          <w:rFonts w:ascii="Arial" w:cs="Arial" w:eastAsia="Arial" w:hAnsi="Arial"/>
          <w:sz w:val="18"/>
          <w:szCs w:val="18"/>
          <w:color w:val="auto"/>
        </w:rPr>
        <w:t xml:space="preserve"> ](ii) </w:t>
      </w:r>
      <w:r>
        <w:rPr>
          <w:rFonts w:ascii="Arial" w:cs="Arial" w:eastAsia="Arial" w:hAnsi="Arial"/>
          <w:sz w:val="18"/>
          <w:szCs w:val="18"/>
          <w:b w:val="1"/>
          <w:bCs w:val="1"/>
          <w:u w:val="single" w:color="auto"/>
          <w:color w:val="0000FF"/>
        </w:rPr>
        <w:t>within three (3) Business Days after the same becomes due, any amount of interest on any Loan (iii) within three (3) Business Days after the same becomes due,</w:t>
      </w:r>
      <w:r>
        <w:rPr>
          <w:rFonts w:ascii="Arial" w:cs="Arial" w:eastAsia="Arial" w:hAnsi="Arial"/>
          <w:sz w:val="18"/>
          <w:szCs w:val="18"/>
          <w:b w:val="1"/>
          <w:bCs w:val="1"/>
          <w:color w:val="0000FF"/>
        </w:rPr>
        <w:t xml:space="preserve"> </w:t>
      </w:r>
      <w:r>
        <w:rPr>
          <w:rFonts w:ascii="Arial" w:cs="Arial" w:eastAsia="Arial" w:hAnsi="Arial"/>
          <w:sz w:val="18"/>
          <w:szCs w:val="18"/>
          <w:color w:val="000000"/>
        </w:rPr>
        <w:t>any fee due [</w:t>
      </w:r>
      <w:r>
        <w:rPr>
          <w:rFonts w:ascii="Arial" w:cs="Arial" w:eastAsia="Arial" w:hAnsi="Arial"/>
          <w:sz w:val="18"/>
          <w:szCs w:val="18"/>
          <w:color w:val="FF0000"/>
          <w:strike w:val="1"/>
        </w:rPr>
        <w:t>hereunder</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under the Loan Documents</w:t>
      </w:r>
      <w:r>
        <w:rPr>
          <w:rFonts w:ascii="Arial" w:cs="Arial" w:eastAsia="Arial" w:hAnsi="Arial"/>
          <w:sz w:val="18"/>
          <w:szCs w:val="18"/>
          <w:color w:val="000000"/>
        </w:rPr>
        <w:t>, or ([</w:t>
      </w:r>
      <w:r>
        <w:rPr>
          <w:rFonts w:ascii="Arial" w:cs="Arial" w:eastAsia="Arial" w:hAnsi="Arial"/>
          <w:sz w:val="18"/>
          <w:szCs w:val="18"/>
          <w:color w:val="FF0000"/>
          <w:strike w:val="1"/>
        </w:rPr>
        <w:t>iii</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iv</w:t>
      </w:r>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within 30 days after the same becomes due,</w:t>
      </w:r>
      <w:r>
        <w:rPr>
          <w:rFonts w:ascii="Arial" w:cs="Arial" w:eastAsia="Arial" w:hAnsi="Arial"/>
          <w:sz w:val="18"/>
          <w:szCs w:val="18"/>
          <w:b w:val="1"/>
          <w:bCs w:val="1"/>
          <w:color w:val="0000FF"/>
        </w:rPr>
        <w:t xml:space="preserve"> </w:t>
      </w:r>
      <w:r>
        <w:rPr>
          <w:rFonts w:ascii="Arial" w:cs="Arial" w:eastAsia="Arial" w:hAnsi="Arial"/>
          <w:sz w:val="18"/>
          <w:szCs w:val="18"/>
          <w:color w:val="000000"/>
        </w:rPr>
        <w:t>any other</w:t>
      </w:r>
      <w:r>
        <w:rPr>
          <w:rFonts w:ascii="Arial" w:cs="Arial" w:eastAsia="Arial" w:hAnsi="Arial"/>
          <w:sz w:val="18"/>
          <w:szCs w:val="18"/>
          <w:b w:val="1"/>
          <w:bCs w:val="1"/>
          <w:color w:val="0000FF"/>
        </w:rPr>
        <w:t xml:space="preserve"> </w:t>
      </w:r>
      <w:r>
        <w:rPr>
          <w:rFonts w:ascii="Arial" w:cs="Arial" w:eastAsia="Arial" w:hAnsi="Arial"/>
          <w:sz w:val="18"/>
          <w:szCs w:val="18"/>
          <w:color w:val="000000"/>
        </w:rPr>
        <w:t>amount payable hereunder or under any other Loan Document; or</w:t>
      </w:r>
    </w:p>
    <w:p>
      <w:pPr>
        <w:spacing w:after="0" w:line="187" w:lineRule="exact"/>
        <w:rPr>
          <w:rFonts w:ascii="Arial" w:cs="Arial" w:eastAsia="Arial" w:hAnsi="Arial"/>
          <w:sz w:val="18"/>
          <w:szCs w:val="18"/>
          <w:color w:val="auto"/>
        </w:rPr>
      </w:pPr>
    </w:p>
    <w:p>
      <w:pPr>
        <w:jc w:val="both"/>
        <w:ind w:left="660" w:firstLine="774"/>
        <w:spacing w:after="0" w:line="254" w:lineRule="auto"/>
        <w:tabs>
          <w:tab w:leader="none" w:pos="2259"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(i) Any Loan Party fails to perform or observe any term, covenant or agreement contained in any of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b w:val="1"/>
          <w:bCs w:val="1"/>
          <w:u w:val="single" w:color="auto"/>
          <w:color w:val="0000FF"/>
        </w:rPr>
        <w:t>(a), (b), and (e)</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u w:val="single" w:color="auto"/>
          <w:color w:val="FF0000"/>
          <w:strike w:val="1"/>
        </w:rPr>
        <w:t>6.</w:t>
      </w:r>
      <w:r>
        <w:rPr>
          <w:rFonts w:ascii="Arial" w:cs="Arial" w:eastAsia="Arial" w:hAnsi="Arial"/>
          <w:sz w:val="18"/>
          <w:szCs w:val="18"/>
          <w:u w:val="single" w:color="auto"/>
          <w:color w:val="FF0000"/>
        </w:rPr>
        <w:t>07</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u w:val="single" w:color="auto"/>
          <w:color w:val="FF0000"/>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(e)</w:t>
      </w:r>
      <w:r>
        <w:rPr>
          <w:rFonts w:ascii="Arial" w:cs="Arial" w:eastAsia="Arial" w:hAnsi="Arial"/>
          <w:sz w:val="18"/>
          <w:szCs w:val="18"/>
          <w:color w:val="FF0000"/>
          <w:strike w:val="1"/>
        </w:rPr>
        <w:t>, or</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6.13</w:t>
      </w:r>
      <w:r>
        <w:rPr>
          <w:rFonts w:ascii="Arial" w:cs="Arial" w:eastAsia="Arial" w:hAnsi="Arial"/>
          <w:sz w:val="18"/>
          <w:szCs w:val="18"/>
          <w:u w:val="single" w:color="auto"/>
          <w:color w:val="auto"/>
        </w:rPr>
        <w:t>]</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(ii) any Loan Party fails to perform or observe any term, covenant or agreement contained in </w:t>
      </w:r>
      <w:r>
        <w:rPr>
          <w:rFonts w:ascii="Arial" w:cs="Arial" w:eastAsia="Arial" w:hAnsi="Arial"/>
          <w:sz w:val="18"/>
          <w:szCs w:val="18"/>
          <w:u w:val="single" w:color="auto"/>
          <w:color w:val="auto"/>
        </w:rPr>
        <w:t>Section 6.03(b</w:t>
      </w:r>
      <w:r>
        <w:rPr>
          <w:rFonts w:ascii="Arial" w:cs="Arial" w:eastAsia="Arial" w:hAnsi="Arial"/>
          <w:sz w:val="18"/>
          <w:szCs w:val="18"/>
          <w:color w:val="auto"/>
        </w:rPr>
        <w:t xml:space="preserve">) through (l) and such failure continues for five (5) days or such later date as the Lender may agree; (iii) any Loan Party fails to perform or observe any term, covenant or agreement contained in </w:t>
      </w:r>
      <w:r>
        <w:rPr>
          <w:rFonts w:ascii="Arial" w:cs="Arial" w:eastAsia="Arial" w:hAnsi="Arial"/>
          <w:sz w:val="18"/>
          <w:szCs w:val="18"/>
          <w:u w:val="single" w:color="auto"/>
          <w:color w:val="auto"/>
        </w:rPr>
        <w:t>Section 6.12 (b</w:t>
      </w:r>
      <w:r>
        <w:rPr>
          <w:rFonts w:ascii="Arial" w:cs="Arial" w:eastAsia="Arial" w:hAnsi="Arial"/>
          <w:sz w:val="18"/>
          <w:szCs w:val="18"/>
          <w:color w:val="auto"/>
        </w:rPr>
        <w:t xml:space="preserve">) and such failure continues for three (3) Business Days, or (iv) any Loan Party fails to perform or observe any term, covenant or agreement contained in </w:t>
      </w:r>
      <w:r>
        <w:rPr>
          <w:rFonts w:ascii="Arial" w:cs="Arial" w:eastAsia="Arial" w:hAnsi="Arial"/>
          <w:sz w:val="18"/>
          <w:szCs w:val="18"/>
          <w:u w:val="single" w:color="auto"/>
          <w:color w:val="auto"/>
        </w:rPr>
        <w:t>[</w:t>
      </w:r>
      <w:r>
        <w:rPr>
          <w:rFonts w:ascii="Arial" w:cs="Arial" w:eastAsia="Arial" w:hAnsi="Arial"/>
          <w:sz w:val="18"/>
          <w:szCs w:val="18"/>
          <w:u w:val="single" w:color="auto"/>
          <w:color w:val="FF0000"/>
          <w:strike w:val="1"/>
        </w:rPr>
        <w:t>Section</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0000FF"/>
        </w:rPr>
        <w:t>Sections 6.02(d), (f), (g), (h), (i), (j), or (k),</w:t>
      </w:r>
      <w:r>
        <w:rPr>
          <w:rFonts w:ascii="Arial" w:cs="Arial" w:eastAsia="Arial" w:hAnsi="Arial"/>
          <w:sz w:val="18"/>
          <w:szCs w:val="18"/>
          <w:color w:val="auto"/>
        </w:rPr>
        <w:t xml:space="preserve"> 6.11</w:t>
      </w:r>
      <w:r>
        <w:rPr>
          <w:rFonts w:ascii="Arial" w:cs="Arial" w:eastAsia="Arial" w:hAnsi="Arial"/>
          <w:sz w:val="18"/>
          <w:szCs w:val="18"/>
          <w:b w:val="1"/>
          <w:bCs w:val="1"/>
          <w:u w:val="single" w:color="auto"/>
          <w:color w:val="0000FF"/>
        </w:rPr>
        <w:t>, 6.12(e) or 6.13,</w:t>
      </w:r>
      <w:r>
        <w:rPr>
          <w:rFonts w:ascii="Arial" w:cs="Arial" w:eastAsia="Arial" w:hAnsi="Arial"/>
          <w:sz w:val="18"/>
          <w:szCs w:val="18"/>
          <w:color w:val="auto"/>
        </w:rPr>
        <w:t xml:space="preserve"> and such failure continues for fifteen (15) days or such later date as the Lender may agree;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-167005</wp:posOffset>
            </wp:positionV>
            <wp:extent cx="2241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24155"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112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firstLine="644"/>
        <w:spacing w:after="0" w:line="342" w:lineRule="auto"/>
        <w:tabs>
          <w:tab w:leader="none" w:pos="1576"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Other Defaults</w:t>
      </w:r>
      <w:r>
        <w:rPr>
          <w:rFonts w:ascii="Arial" w:cs="Arial" w:eastAsia="Arial" w:hAnsi="Arial"/>
          <w:sz w:val="16"/>
          <w:szCs w:val="16"/>
          <w:color w:val="auto"/>
        </w:rPr>
        <w:t>. Any Loan Party fails to perform or observe any other covenant or agreement (not specified in subsection (a) or (b) above) contained in any Loan Document on its part to be performed or observed and such failure continues for thirty (30) days; or</w:t>
      </w:r>
    </w:p>
    <w:p>
      <w:pPr>
        <w:spacing w:after="0" w:line="123" w:lineRule="exact"/>
        <w:rPr>
          <w:rFonts w:ascii="Arial" w:cs="Arial" w:eastAsia="Arial" w:hAnsi="Arial"/>
          <w:sz w:val="16"/>
          <w:szCs w:val="16"/>
          <w:color w:val="auto"/>
        </w:rPr>
      </w:pPr>
    </w:p>
    <w:p>
      <w:pPr>
        <w:jc w:val="both"/>
        <w:ind w:firstLine="644"/>
        <w:spacing w:after="0" w:line="311" w:lineRule="auto"/>
        <w:tabs>
          <w:tab w:leader="none" w:pos="1348"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Any representation, warranty, certification or statement of fact made or deemed made by or on behalf of any Loan Party herein, in any other Loan Document, or in any document delivered in connection herewith or therewith (including, without limitation, any Borrowing Base Certificate) shall be incorrect or misleading in any material respect when made or deemed made; or</w:t>
      </w:r>
    </w:p>
    <w:p>
      <w:pPr>
        <w:spacing w:after="0" w:line="144" w:lineRule="exact"/>
        <w:rPr>
          <w:rFonts w:ascii="Arial" w:cs="Arial" w:eastAsia="Arial" w:hAnsi="Arial"/>
          <w:sz w:val="16"/>
          <w:szCs w:val="16"/>
          <w:color w:val="auto"/>
        </w:rPr>
      </w:pPr>
    </w:p>
    <w:p>
      <w:pPr>
        <w:ind w:firstLine="644"/>
        <w:spacing w:after="0" w:line="284" w:lineRule="auto"/>
        <w:tabs>
          <w:tab w:leader="none" w:pos="1297"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xml:space="preserve">. (i) Any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thereof (A) fails to make any payment[ </w:t>
      </w:r>
      <w:r>
        <w:rPr>
          <w:rFonts w:ascii="Arial" w:cs="Arial" w:eastAsia="Arial" w:hAnsi="Arial"/>
          <w:sz w:val="16"/>
          <w:szCs w:val="16"/>
          <w:color w:val="FF0000"/>
          <w:strike w:val="1"/>
        </w:rPr>
        <w:t>when due</w:t>
      </w:r>
      <w:r>
        <w:rPr>
          <w:rFonts w:ascii="Arial" w:cs="Arial" w:eastAsia="Arial" w:hAnsi="Arial"/>
          <w:sz w:val="16"/>
          <w:szCs w:val="16"/>
          <w:color w:val="auto"/>
        </w:rPr>
        <w:t xml:space="preserve">] (whether by scheduled maturity, required prepayment, acceleration, demand, or otherwise) in respect of any Material Indebtedness </w:t>
      </w:r>
      <w:r>
        <w:rPr>
          <w:rFonts w:ascii="Arial" w:cs="Arial" w:eastAsia="Arial" w:hAnsi="Arial"/>
          <w:sz w:val="16"/>
          <w:szCs w:val="16"/>
          <w:b w:val="1"/>
          <w:bCs w:val="1"/>
          <w:u w:val="single" w:color="auto"/>
          <w:color w:val="0000FF"/>
        </w:rPr>
        <w:t>(other than Permitted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 xml:space="preserve">Real Estate Indebtedness) beyond the applicable period of grace, if any, provided in the </w:t>
      </w:r>
      <w:r>
        <w:rPr>
          <w:rFonts w:ascii="Arial" w:cs="Arial" w:eastAsia="Arial" w:hAnsi="Arial"/>
          <w:sz w:val="16"/>
          <w:szCs w:val="16"/>
          <w:u w:val="single" w:color="auto"/>
          <w:color w:val="00C000"/>
        </w:rPr>
        <w:t>instrument or agreement</w:t>
      </w:r>
      <w:r>
        <w:rPr>
          <w:rFonts w:ascii="Arial" w:cs="Arial" w:eastAsia="Arial" w:hAnsi="Arial"/>
          <w:sz w:val="16"/>
          <w:szCs w:val="16"/>
          <w:b w:val="1"/>
          <w:bCs w:val="1"/>
          <w:u w:val="single" w:color="auto"/>
          <w:color w:val="0000FF"/>
        </w:rPr>
        <w:t xml:space="preserve"> under which such Material Indebtedness (other than Permitted Real Estate Indebtedness) was created</w:t>
      </w:r>
      <w:r>
        <w:rPr>
          <w:rFonts w:ascii="Arial" w:cs="Arial" w:eastAsia="Arial" w:hAnsi="Arial"/>
          <w:sz w:val="16"/>
          <w:szCs w:val="16"/>
          <w:color w:val="000000"/>
        </w:rPr>
        <w:t>, or (B)</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 xml:space="preserve"> </w:t>
      </w:r>
      <w:r>
        <w:rPr>
          <w:rFonts w:ascii="Arial" w:cs="Arial" w:eastAsia="Arial" w:hAnsi="Arial"/>
          <w:sz w:val="16"/>
          <w:szCs w:val="16"/>
          <w:color w:val="000000"/>
        </w:rPr>
        <w:t>fails to observe or perform any other</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agreement or condition relating to any such Material Indebtedness </w:t>
      </w:r>
      <w:r>
        <w:rPr>
          <w:rFonts w:ascii="Arial" w:cs="Arial" w:eastAsia="Arial" w:hAnsi="Arial"/>
          <w:sz w:val="16"/>
          <w:szCs w:val="16"/>
          <w:b w:val="1"/>
          <w:bCs w:val="1"/>
          <w:u w:val="single" w:color="auto"/>
          <w:color w:val="0000FF"/>
        </w:rPr>
        <w:t>(other than with respect to Indebtedness consisting of Swap Contracts,</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termination events or equivalent events pursuant to the terms of such Swap Contracts or Permitted Real Estate Indebtedness)</w:t>
      </w:r>
      <w:r>
        <w:rPr>
          <w:rFonts w:ascii="Arial" w:cs="Arial" w:eastAsia="Arial" w:hAnsi="Arial"/>
          <w:sz w:val="16"/>
          <w:szCs w:val="16"/>
          <w:b w:val="1"/>
          <w:bCs w:val="1"/>
          <w:color w:val="0000FF"/>
        </w:rPr>
        <w:t xml:space="preserve"> </w:t>
      </w:r>
      <w:r>
        <w:rPr>
          <w:rFonts w:ascii="Arial" w:cs="Arial" w:eastAsia="Arial" w:hAnsi="Arial"/>
          <w:sz w:val="16"/>
          <w:szCs w:val="16"/>
          <w:color w:val="000000"/>
        </w:rPr>
        <w:t>or</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contained in any instrument or agreement evidencing, securing or relating thereto, or </w:t>
      </w:r>
      <w:r>
        <w:rPr>
          <w:rFonts w:ascii="Arial" w:cs="Arial" w:eastAsia="Arial" w:hAnsi="Arial"/>
          <w:sz w:val="16"/>
          <w:szCs w:val="16"/>
          <w:b w:val="1"/>
          <w:bCs w:val="1"/>
          <w:u w:val="single" w:color="auto"/>
          <w:color w:val="0000FF"/>
        </w:rPr>
        <w:t>(II)</w:t>
      </w:r>
      <w:r>
        <w:rPr>
          <w:rFonts w:ascii="Arial" w:cs="Arial" w:eastAsia="Arial" w:hAnsi="Arial"/>
          <w:sz w:val="16"/>
          <w:szCs w:val="16"/>
          <w:color w:val="000000"/>
        </w:rPr>
        <w:t xml:space="preserve"> any other event occurs, the effect of which default or other event is to cause, or to permit the holder or holders of such Material Indebtedness </w:t>
      </w:r>
      <w:r>
        <w:rPr>
          <w:rFonts w:ascii="Arial" w:cs="Arial" w:eastAsia="Arial" w:hAnsi="Arial"/>
          <w:sz w:val="16"/>
          <w:szCs w:val="16"/>
          <w:b w:val="1"/>
          <w:bCs w:val="1"/>
          <w:u w:val="single" w:color="auto"/>
          <w:color w:val="0000FF"/>
        </w:rPr>
        <w:t>(other than Permitted Real Estate Indebtedness)</w:t>
      </w:r>
      <w:r>
        <w:rPr>
          <w:rFonts w:ascii="Arial" w:cs="Arial" w:eastAsia="Arial" w:hAnsi="Arial"/>
          <w:sz w:val="16"/>
          <w:szCs w:val="16"/>
          <w:color w:val="000000"/>
        </w:rPr>
        <w:t xml:space="preserve"> or the beneficiary or beneficiaries of any Guarantee thereof </w:t>
      </w:r>
      <w:r>
        <w:rPr>
          <w:rFonts w:ascii="Arial" w:cs="Arial" w:eastAsia="Arial" w:hAnsi="Arial"/>
          <w:sz w:val="16"/>
          <w:szCs w:val="16"/>
          <w:b w:val="1"/>
          <w:bCs w:val="1"/>
          <w:u w:val="single" w:color="auto"/>
          <w:color w:val="0000FF"/>
        </w:rPr>
        <w:t>(other than a Guarantee of Permitted Real Estate Indebtedness)</w:t>
      </w:r>
      <w:r>
        <w:rPr>
          <w:rFonts w:ascii="Arial" w:cs="Arial" w:eastAsia="Arial" w:hAnsi="Arial"/>
          <w:sz w:val="16"/>
          <w:szCs w:val="16"/>
          <w:color w:val="000000"/>
        </w:rPr>
        <w:t xml:space="preserve">(or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Arial" w:cs="Arial" w:eastAsia="Arial" w:hAnsi="Arial"/>
          <w:sz w:val="16"/>
          <w:szCs w:val="16"/>
          <w:b w:val="1"/>
          <w:bCs w:val="1"/>
          <w:u w:val="single" w:color="auto"/>
          <w:color w:val="0000FF"/>
        </w:rPr>
        <w:t>provided that that this clause (d)(B)(II) shall not apply to (x) secured Indebtedness (that becomes due or as to which an offer to</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prepay is required to be made as a result of the voluntary sale or transfer of the property or assets securing such Indebtedness, if such sale or transfer is permitted hereunder and under the documents providing for such Indebtedness or (y) any Indebtedness permitted to exist or be incurred under the terms of this Agreement that is required to be repurchased, prepaid, defeased or redeemed (or as to which an offer to repurchase, prepay, defease or redeem is required to be made) in connection with any asset sale event, casualty or condemnation event, change of control, excess cash flow or other customary provision in such Indebtedness giving rise to such requirement to offer or prepay in the absence of any default thereunder;</w:t>
      </w:r>
      <w:r>
        <w:rPr>
          <w:rFonts w:ascii="Arial" w:cs="Arial" w:eastAsia="Arial" w:hAnsi="Arial"/>
          <w:sz w:val="16"/>
          <w:szCs w:val="16"/>
          <w:b w:val="1"/>
          <w:bCs w:val="1"/>
          <w:color w:val="0000FF"/>
        </w:rPr>
        <w:t xml:space="preserve"> </w:t>
      </w:r>
      <w:r>
        <w:rPr>
          <w:rFonts w:ascii="Arial" w:cs="Arial" w:eastAsia="Arial" w:hAnsi="Arial"/>
          <w:sz w:val="16"/>
          <w:szCs w:val="16"/>
          <w:color w:val="000000"/>
        </w:rPr>
        <w:t>or (ii) there occurs under any Swap Contract an Early Termination Date (as defined in such</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Swap Contract) resulting from (A) any event of default under such Swap Contract as to which a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000000"/>
        </w:rPr>
        <w:t xml:space="preserve"> Subsidiary thereof is the Defaulting Party (as defined in such Swap Contract) or (B) any Termination Event (as so defined) under such Swap Contract as to which a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000000"/>
        </w:rPr>
        <w:t xml:space="preserve"> Subsidiary thereof is an Affected Party (as so defined) and, in either event, the Swap Termination Value owed by the Loan Party or such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000000"/>
        </w:rPr>
        <w:t xml:space="preserve"> Subsidiary as a result thereof is greater than $[</w:t>
      </w:r>
      <w:r>
        <w:rPr>
          <w:rFonts w:ascii="Arial" w:cs="Arial" w:eastAsia="Arial" w:hAnsi="Arial"/>
          <w:sz w:val="16"/>
          <w:szCs w:val="16"/>
          <w:color w:val="FF0000"/>
          <w:strike w:val="1"/>
        </w:rPr>
        <w:t>5,000,000</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20,000,000</w:t>
      </w:r>
      <w:r>
        <w:rPr>
          <w:rFonts w:ascii="Arial" w:cs="Arial" w:eastAsia="Arial" w:hAnsi="Arial"/>
          <w:sz w:val="16"/>
          <w:szCs w:val="16"/>
          <w:color w:val="000000"/>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-2781935</wp:posOffset>
            </wp:positionV>
            <wp:extent cx="285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113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3" w:name="page134"/>
    <w:bookmarkEnd w:id="133"/>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4"/>
        <w:spacing w:after="0" w:line="271" w:lineRule="auto"/>
        <w:tabs>
          <w:tab w:leader="none" w:pos="1291"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Insolvency Proceedings, Etc.</w:t>
      </w:r>
      <w:r>
        <w:rPr>
          <w:rFonts w:ascii="Arial" w:cs="Arial" w:eastAsia="Arial" w:hAnsi="Arial"/>
          <w:sz w:val="17"/>
          <w:szCs w:val="17"/>
          <w:color w:val="auto"/>
        </w:rPr>
        <w:t xml:space="preserve"> Any Loan Party 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 proceeding shall be commenced or a petition filed, without the application or consent of such Person, seeking or requesting the appointment of any receiver, trustee, custodian, conservator, liquidator, rehabilitator or similar officer and such officer is appointed and the appointment continues undischarged, undismissed or unstayed for [</w:t>
      </w:r>
      <w:r>
        <w:rPr>
          <w:rFonts w:ascii="Arial" w:cs="Arial" w:eastAsia="Arial" w:hAnsi="Arial"/>
          <w:sz w:val="17"/>
          <w:szCs w:val="17"/>
          <w:color w:val="FF0000"/>
          <w:strike w:val="1"/>
        </w:rPr>
        <w:t>forty-five</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sixty</w:t>
      </w:r>
      <w:r>
        <w:rPr>
          <w:rFonts w:ascii="Arial" w:cs="Arial" w:eastAsia="Arial" w:hAnsi="Arial"/>
          <w:sz w:val="17"/>
          <w:szCs w:val="17"/>
          <w:color w:val="auto"/>
        </w:rPr>
        <w:t xml:space="preserve"> ([</w:t>
      </w:r>
      <w:r>
        <w:rPr>
          <w:rFonts w:ascii="Arial" w:cs="Arial" w:eastAsia="Arial" w:hAnsi="Arial"/>
          <w:sz w:val="17"/>
          <w:szCs w:val="17"/>
          <w:color w:val="FF0000"/>
          <w:strike w:val="1"/>
        </w:rPr>
        <w:t>45</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60</w:t>
      </w:r>
      <w:r>
        <w:rPr>
          <w:rFonts w:ascii="Arial" w:cs="Arial" w:eastAsia="Arial" w:hAnsi="Arial"/>
          <w:sz w:val="17"/>
          <w:szCs w:val="17"/>
          <w:color w:val="auto"/>
        </w:rPr>
        <w:t>) calendar days or an order or decree approving or ordering any of the foregoing shall be entered; or any proceeding under any Debtor Relief Law relating to any such Person or to all or any material part of its property is instituted without the consent of such Person and continues undismissed or unstayed for [</w:t>
      </w:r>
      <w:r>
        <w:rPr>
          <w:rFonts w:ascii="Arial" w:cs="Arial" w:eastAsia="Arial" w:hAnsi="Arial"/>
          <w:sz w:val="17"/>
          <w:szCs w:val="17"/>
          <w:color w:val="FF0000"/>
          <w:strike w:val="1"/>
        </w:rPr>
        <w:t>forty-five</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sixty</w:t>
      </w:r>
      <w:r>
        <w:rPr>
          <w:rFonts w:ascii="Arial" w:cs="Arial" w:eastAsia="Arial" w:hAnsi="Arial"/>
          <w:sz w:val="17"/>
          <w:szCs w:val="17"/>
          <w:color w:val="auto"/>
        </w:rPr>
        <w:t xml:space="preserve"> ([</w:t>
      </w:r>
      <w:r>
        <w:rPr>
          <w:rFonts w:ascii="Arial" w:cs="Arial" w:eastAsia="Arial" w:hAnsi="Arial"/>
          <w:sz w:val="17"/>
          <w:szCs w:val="17"/>
          <w:color w:val="FF0000"/>
          <w:strike w:val="1"/>
        </w:rPr>
        <w:t>45</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60</w:t>
      </w:r>
      <w:r>
        <w:rPr>
          <w:rFonts w:ascii="Arial" w:cs="Arial" w:eastAsia="Arial" w:hAnsi="Arial"/>
          <w:sz w:val="17"/>
          <w:szCs w:val="17"/>
          <w:color w:val="auto"/>
        </w:rPr>
        <w:t>) calendar days, or an order for relief is entered in any such proceeding; or</w:t>
      </w:r>
    </w:p>
    <w:p>
      <w:pPr>
        <w:spacing w:after="0" w:line="173" w:lineRule="exact"/>
        <w:rPr>
          <w:rFonts w:ascii="Arial" w:cs="Arial" w:eastAsia="Arial" w:hAnsi="Arial"/>
          <w:sz w:val="17"/>
          <w:szCs w:val="17"/>
          <w:color w:val="auto"/>
        </w:rPr>
      </w:pPr>
    </w:p>
    <w:p>
      <w:pPr>
        <w:jc w:val="both"/>
        <w:ind w:firstLine="644"/>
        <w:spacing w:after="0" w:line="289" w:lineRule="auto"/>
        <w:tabs>
          <w:tab w:leader="none" w:pos="1483"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Inability to Pay Debts; Attachment</w:t>
      </w:r>
      <w:r>
        <w:rPr>
          <w:rFonts w:ascii="Arial" w:cs="Arial" w:eastAsia="Arial" w:hAnsi="Arial"/>
          <w:sz w:val="17"/>
          <w:szCs w:val="17"/>
          <w:color w:val="auto"/>
        </w:rPr>
        <w:t xml:space="preserve">. (i) Any Loan Party or any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Subsidiary thereof becomes unable or admits in writing its inability or fails generally to pay its debts as they become due in the ordinary course of business, or (ii) any writ or warrant of attachment or execution or similar process is issued or levied against all or any material part of the property of any such Person; or</w:t>
      </w:r>
    </w:p>
    <w:p>
      <w:pPr>
        <w:spacing w:after="0" w:line="157" w:lineRule="exact"/>
        <w:rPr>
          <w:rFonts w:ascii="Arial" w:cs="Arial" w:eastAsia="Arial" w:hAnsi="Arial"/>
          <w:sz w:val="17"/>
          <w:szCs w:val="17"/>
          <w:color w:val="auto"/>
        </w:rPr>
      </w:pPr>
    </w:p>
    <w:p>
      <w:pPr>
        <w:jc w:val="both"/>
        <w:ind w:firstLine="644"/>
        <w:spacing w:after="0" w:line="292" w:lineRule="auto"/>
        <w:tabs>
          <w:tab w:leader="none" w:pos="1334"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xml:space="preserve">. There is </w:t>
      </w:r>
      <w:r>
        <w:rPr>
          <w:rFonts w:ascii="Arial" w:cs="Arial" w:eastAsia="Arial" w:hAnsi="Arial"/>
          <w:sz w:val="16"/>
          <w:szCs w:val="16"/>
          <w:b w:val="1"/>
          <w:bCs w:val="1"/>
          <w:u w:val="single" w:color="auto"/>
          <w:color w:val="0000FF"/>
        </w:rPr>
        <w:t>(x)</w:t>
      </w:r>
      <w:r>
        <w:rPr>
          <w:rFonts w:ascii="Arial" w:cs="Arial" w:eastAsia="Arial" w:hAnsi="Arial"/>
          <w:sz w:val="16"/>
          <w:szCs w:val="16"/>
          <w:color w:val="auto"/>
        </w:rPr>
        <w:t xml:space="preserve"> entered against any Loan Party or any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Subsidiary thereof (i) one or more </w:t>
      </w:r>
      <w:r>
        <w:rPr>
          <w:rFonts w:ascii="Arial" w:cs="Arial" w:eastAsia="Arial" w:hAnsi="Arial"/>
          <w:sz w:val="16"/>
          <w:szCs w:val="16"/>
          <w:b w:val="1"/>
          <w:bCs w:val="1"/>
          <w:u w:val="single" w:color="auto"/>
          <w:color w:val="0000FF"/>
        </w:rPr>
        <w:t>final</w:t>
      </w:r>
      <w:r>
        <w:rPr>
          <w:rFonts w:ascii="Arial" w:cs="Arial" w:eastAsia="Arial" w:hAnsi="Arial"/>
          <w:sz w:val="16"/>
          <w:szCs w:val="16"/>
          <w:color w:val="auto"/>
        </w:rPr>
        <w:t xml:space="preserve"> judgments or orders for the payment of money in an aggregate amount (as to all such judgments and orders) exceeding $[</w:t>
      </w:r>
      <w:r>
        <w:rPr>
          <w:rFonts w:ascii="Arial" w:cs="Arial" w:eastAsia="Arial" w:hAnsi="Arial"/>
          <w:sz w:val="16"/>
          <w:szCs w:val="16"/>
          <w:color w:val="FF0000"/>
          <w:strike w:val="1"/>
        </w:rPr>
        <w:t>5,000,000</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20,000,000</w:t>
      </w:r>
      <w:r>
        <w:rPr>
          <w:rFonts w:ascii="Arial" w:cs="Arial" w:eastAsia="Arial" w:hAnsi="Arial"/>
          <w:sz w:val="16"/>
          <w:szCs w:val="16"/>
          <w:color w:val="auto"/>
        </w:rPr>
        <w:t xml:space="preserve"> (to the extent not covered by independent third-party insurance as to which the insurer [</w:t>
      </w:r>
      <w:r>
        <w:rPr>
          <w:rFonts w:ascii="Arial" w:cs="Arial" w:eastAsia="Arial" w:hAnsi="Arial"/>
          <w:sz w:val="16"/>
          <w:szCs w:val="16"/>
          <w:color w:val="FF0000"/>
          <w:strike w:val="1"/>
        </w:rPr>
        <w:t>is rated at least “A” by A.M. Best Company,</w:t>
      </w:r>
      <w:r>
        <w:rPr>
          <w:rFonts w:ascii="Arial" w:cs="Arial" w:eastAsia="Arial" w:hAnsi="Arial"/>
          <w:sz w:val="16"/>
          <w:szCs w:val="16"/>
          <w:color w:val="auto"/>
        </w:rPr>
        <w:t xml:space="preserve"> ]has been notified of [</w:t>
      </w:r>
      <w:r>
        <w:rPr>
          <w:rFonts w:ascii="Arial" w:cs="Arial" w:eastAsia="Arial" w:hAnsi="Arial"/>
          <w:sz w:val="16"/>
          <w:szCs w:val="16"/>
          <w:color w:val="FF0000"/>
          <w:strike w:val="1"/>
        </w:rPr>
        <w:t>the</w:t>
      </w:r>
      <w:r>
        <w:rPr>
          <w:rFonts w:ascii="Arial" w:cs="Arial" w:eastAsia="Arial" w:hAnsi="Arial"/>
          <w:sz w:val="16"/>
          <w:szCs w:val="16"/>
          <w:color w:val="auto"/>
        </w:rPr>
        <w:t xml:space="preserve"> </w:t>
      </w:r>
      <w:r>
        <w:rPr>
          <w:rFonts w:ascii="Arial" w:cs="Arial" w:eastAsia="Arial" w:hAnsi="Arial"/>
          <w:sz w:val="16"/>
          <w:szCs w:val="16"/>
          <w:color w:val="FF0000"/>
          <w:strike w:val="1"/>
        </w:rPr>
        <w:t>potential claim</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such judgment or order</w:t>
      </w:r>
      <w:r>
        <w:rPr>
          <w:rFonts w:ascii="Arial" w:cs="Arial" w:eastAsia="Arial" w:hAnsi="Arial"/>
          <w:sz w:val="16"/>
          <w:szCs w:val="16"/>
          <w:color w:val="FF0000"/>
        </w:rPr>
        <w:t xml:space="preserve"> </w:t>
      </w:r>
      <w:r>
        <w:rPr>
          <w:rFonts w:ascii="Arial" w:cs="Arial" w:eastAsia="Arial" w:hAnsi="Arial"/>
          <w:sz w:val="16"/>
          <w:szCs w:val="16"/>
          <w:color w:val="000000"/>
        </w:rPr>
        <w:t>and [</w:t>
      </w:r>
      <w:r>
        <w:rPr>
          <w:rFonts w:ascii="Arial" w:cs="Arial" w:eastAsia="Arial" w:hAnsi="Arial"/>
          <w:sz w:val="16"/>
          <w:szCs w:val="16"/>
          <w:color w:val="FF0000"/>
          <w:strike w:val="1"/>
        </w:rPr>
        <w:t>does</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has</w:t>
      </w:r>
      <w:r>
        <w:rPr>
          <w:rFonts w:ascii="Arial" w:cs="Arial" w:eastAsia="Arial" w:hAnsi="Arial"/>
          <w:sz w:val="16"/>
          <w:szCs w:val="16"/>
          <w:color w:val="FF0000"/>
        </w:rPr>
        <w:t xml:space="preserve"> </w:t>
      </w:r>
      <w:r>
        <w:rPr>
          <w:rFonts w:ascii="Arial" w:cs="Arial" w:eastAsia="Arial" w:hAnsi="Arial"/>
          <w:sz w:val="16"/>
          <w:szCs w:val="16"/>
          <w:color w:val="000000"/>
        </w:rPr>
        <w:t>not [</w:t>
      </w:r>
      <w:r>
        <w:rPr>
          <w:rFonts w:ascii="Arial" w:cs="Arial" w:eastAsia="Arial" w:hAnsi="Arial"/>
          <w:sz w:val="16"/>
          <w:szCs w:val="16"/>
          <w:color w:val="FF0000"/>
          <w:strike w:val="1"/>
        </w:rPr>
        <w:t>dispute</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denied</w:t>
      </w:r>
      <w:r>
        <w:rPr>
          <w:rFonts w:ascii="Arial" w:cs="Arial" w:eastAsia="Arial" w:hAnsi="Arial"/>
          <w:sz w:val="16"/>
          <w:szCs w:val="16"/>
          <w:color w:val="FF0000"/>
        </w:rPr>
        <w:t xml:space="preserve"> </w:t>
      </w:r>
      <w:r>
        <w:rPr>
          <w:rFonts w:ascii="Arial" w:cs="Arial" w:eastAsia="Arial" w:hAnsi="Arial"/>
          <w:sz w:val="16"/>
          <w:szCs w:val="16"/>
          <w:color w:val="000000"/>
        </w:rPr>
        <w:t>coverage</w:t>
      </w:r>
      <w:r>
        <w:rPr>
          <w:rFonts w:ascii="Arial" w:cs="Arial" w:eastAsia="Arial" w:hAnsi="Arial"/>
          <w:sz w:val="16"/>
          <w:szCs w:val="16"/>
          <w:color w:val="FF0000"/>
        </w:rPr>
        <w:t xml:space="preserve"> </w:t>
      </w:r>
      <w:r>
        <w:rPr>
          <w:rFonts w:ascii="Arial" w:cs="Arial" w:eastAsia="Arial" w:hAnsi="Arial"/>
          <w:sz w:val="16"/>
          <w:szCs w:val="16"/>
          <w:b w:val="1"/>
          <w:bCs w:val="1"/>
          <w:u w:val="single" w:color="auto"/>
          <w:color w:val="0000FF"/>
        </w:rPr>
        <w:t>thereof</w:t>
      </w:r>
      <w:r>
        <w:rPr>
          <w:rFonts w:ascii="Arial" w:cs="Arial" w:eastAsia="Arial" w:hAnsi="Arial"/>
          <w:sz w:val="16"/>
          <w:szCs w:val="16"/>
          <w:color w:val="000000"/>
        </w:rPr>
        <w:t>), or (ii) any one or more non-monetary judgments</w:t>
      </w:r>
      <w:r>
        <w:rPr>
          <w:rFonts w:ascii="Arial" w:cs="Arial" w:eastAsia="Arial" w:hAnsi="Arial"/>
          <w:sz w:val="16"/>
          <w:szCs w:val="16"/>
          <w:color w:val="FF0000"/>
        </w:rPr>
        <w:t xml:space="preserve"> </w:t>
      </w:r>
      <w:r>
        <w:rPr>
          <w:rFonts w:ascii="Arial" w:cs="Arial" w:eastAsia="Arial" w:hAnsi="Arial"/>
          <w:sz w:val="16"/>
          <w:szCs w:val="16"/>
          <w:color w:val="000000"/>
        </w:rPr>
        <w:t>that have, or could reasonably be expected to have, individually or in the aggregate, a Material Adverse Effect and[</w:t>
      </w:r>
      <w:r>
        <w:rPr>
          <w:rFonts w:ascii="Arial" w:cs="Arial" w:eastAsia="Arial" w:hAnsi="Arial"/>
          <w:sz w:val="16"/>
          <w:szCs w:val="16"/>
          <w:color w:val="FF0000"/>
          <w:strike w:val="1"/>
        </w:rPr>
        <w:t>, in either case, (A)</w:t>
      </w:r>
      <w:r>
        <w:rPr>
          <w:rFonts w:ascii="Arial" w:cs="Arial" w:eastAsia="Arial" w:hAnsi="Arial"/>
          <w:sz w:val="16"/>
          <w:szCs w:val="16"/>
          <w:color w:val="000000"/>
        </w:rPr>
        <w:t xml:space="preserve"> </w:t>
      </w:r>
      <w:r>
        <w:rPr>
          <w:rFonts w:ascii="Arial" w:cs="Arial" w:eastAsia="Arial" w:hAnsi="Arial"/>
          <w:sz w:val="16"/>
          <w:szCs w:val="16"/>
          <w:color w:val="FF0000"/>
          <w:strike w:val="1"/>
        </w:rPr>
        <w:t>enforcement proceedings are commenced by any creditor upon such judgment or order, or</w:t>
      </w:r>
      <w:r>
        <w:rPr>
          <w:rFonts w:ascii="Arial" w:cs="Arial" w:eastAsia="Arial" w:hAnsi="Arial"/>
          <w:sz w:val="16"/>
          <w:szCs w:val="16"/>
          <w:color w:val="000000"/>
        </w:rPr>
        <w:t>] ([</w:t>
      </w:r>
      <w:r>
        <w:rPr>
          <w:rFonts w:ascii="Arial" w:cs="Arial" w:eastAsia="Arial" w:hAnsi="Arial"/>
          <w:sz w:val="16"/>
          <w:szCs w:val="16"/>
          <w:color w:val="FF0000"/>
          <w:strike w:val="1"/>
        </w:rPr>
        <w:t>B</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y</w:t>
      </w:r>
      <w:r>
        <w:rPr>
          <w:rFonts w:ascii="Arial" w:cs="Arial" w:eastAsia="Arial" w:hAnsi="Arial"/>
          <w:sz w:val="16"/>
          <w:szCs w:val="16"/>
          <w:color w:val="000000"/>
        </w:rPr>
        <w:t>) there is a period of [</w:t>
      </w:r>
      <w:r>
        <w:rPr>
          <w:rFonts w:ascii="Arial" w:cs="Arial" w:eastAsia="Arial" w:hAnsi="Arial"/>
          <w:sz w:val="16"/>
          <w:szCs w:val="16"/>
          <w:color w:val="FF0000"/>
          <w:strike w:val="1"/>
        </w:rPr>
        <w:t>ten</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sixty</w:t>
      </w:r>
      <w:r>
        <w:rPr>
          <w:rFonts w:ascii="Arial" w:cs="Arial" w:eastAsia="Arial" w:hAnsi="Arial"/>
          <w:sz w:val="16"/>
          <w:szCs w:val="16"/>
          <w:color w:val="FF0000"/>
        </w:rPr>
        <w:t xml:space="preserve"> </w:t>
      </w:r>
      <w:r>
        <w:rPr>
          <w:rFonts w:ascii="Arial" w:cs="Arial" w:eastAsia="Arial" w:hAnsi="Arial"/>
          <w:sz w:val="16"/>
          <w:szCs w:val="16"/>
          <w:color w:val="000000"/>
        </w:rPr>
        <w:t>([</w:t>
      </w:r>
      <w:r>
        <w:rPr>
          <w:rFonts w:ascii="Arial" w:cs="Arial" w:eastAsia="Arial" w:hAnsi="Arial"/>
          <w:sz w:val="16"/>
          <w:szCs w:val="16"/>
          <w:color w:val="FF0000"/>
          <w:strike w:val="1"/>
        </w:rPr>
        <w:t>10</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60</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color w:val="000000"/>
        </w:rPr>
        <w:t>consecutive days during which a stay of enforcement of such judgment or order, by reason of a pending appeal or otherwise, is not in effect; or</w:t>
      </w:r>
    </w:p>
    <w:p>
      <w:pPr>
        <w:spacing w:after="0" w:line="165" w:lineRule="exact"/>
        <w:rPr>
          <w:rFonts w:ascii="Arial" w:cs="Arial" w:eastAsia="Arial" w:hAnsi="Arial"/>
          <w:sz w:val="16"/>
          <w:szCs w:val="16"/>
          <w:color w:val="auto"/>
        </w:rPr>
      </w:pPr>
    </w:p>
    <w:p>
      <w:pPr>
        <w:jc w:val="both"/>
        <w:ind w:firstLine="644"/>
        <w:spacing w:after="0" w:line="255" w:lineRule="auto"/>
        <w:tabs>
          <w:tab w:leader="none" w:pos="153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w:t>
      </w:r>
      <w:r>
        <w:rPr>
          <w:rFonts w:ascii="Arial" w:cs="Arial" w:eastAsia="Arial" w:hAnsi="Arial"/>
          <w:sz w:val="18"/>
          <w:szCs w:val="18"/>
          <w:color w:val="FF0000"/>
          <w:strike w:val="1"/>
        </w:rPr>
        <w:t>5,000,000</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20,000,000</w:t>
      </w:r>
      <w:r>
        <w:rPr>
          <w:rFonts w:ascii="Arial" w:cs="Arial" w:eastAsia="Arial" w:hAnsi="Arial"/>
          <w:sz w:val="18"/>
          <w:szCs w:val="18"/>
          <w:color w:val="auto"/>
        </w:rPr>
        <w:t xml:space="preserve"> or which would reasonably likely result in a Material Adverse Effect, or (ii) a Loan Party or any ERISA Affiliate fails to pay when due, after the expiration of any applicable grace period, any installment payment with respect to its withdrawal liability under Section 4201 of ERISAunder a Multiemployer Plan in an aggregate amount in excess of $[</w:t>
      </w:r>
      <w:r>
        <w:rPr>
          <w:rFonts w:ascii="Arial" w:cs="Arial" w:eastAsia="Arial" w:hAnsi="Arial"/>
          <w:sz w:val="18"/>
          <w:szCs w:val="18"/>
          <w:color w:val="FF0000"/>
          <w:strike w:val="1"/>
        </w:rPr>
        <w:t>5,000,000</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20,000,000</w:t>
      </w:r>
      <w:r>
        <w:rPr>
          <w:rFonts w:ascii="Arial" w:cs="Arial" w:eastAsia="Arial" w:hAnsi="Arial"/>
          <w:sz w:val="18"/>
          <w:szCs w:val="18"/>
          <w:color w:val="auto"/>
        </w:rPr>
        <w:t xml:space="preserve"> or which would reasonably likely result in a Material Adverse Effect; or</w:t>
      </w:r>
    </w:p>
    <w:p>
      <w:pPr>
        <w:spacing w:after="0" w:line="19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4" w:name="page135"/>
    <w:bookmarkEnd w:id="134"/>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4"/>
        <w:spacing w:after="0" w:line="288" w:lineRule="auto"/>
        <w:tabs>
          <w:tab w:leader="none" w:pos="1335"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Invalidity of Loan Documents</w:t>
      </w:r>
      <w:r>
        <w:rPr>
          <w:rFonts w:ascii="Arial" w:cs="Arial" w:eastAsia="Arial" w:hAnsi="Arial"/>
          <w:sz w:val="16"/>
          <w:szCs w:val="16"/>
          <w:color w:val="auto"/>
        </w:rPr>
        <w:t xml:space="preserve">. (i) Any </w:t>
      </w:r>
      <w:r>
        <w:rPr>
          <w:rFonts w:ascii="Arial" w:cs="Arial" w:eastAsia="Arial" w:hAnsi="Arial"/>
          <w:sz w:val="16"/>
          <w:szCs w:val="16"/>
          <w:b w:val="1"/>
          <w:bCs w:val="1"/>
          <w:u w:val="single" w:color="auto"/>
          <w:color w:val="0000FF"/>
        </w:rPr>
        <w:t>material</w:t>
      </w:r>
      <w:r>
        <w:rPr>
          <w:rFonts w:ascii="Arial" w:cs="Arial" w:eastAsia="Arial" w:hAnsi="Arial"/>
          <w:sz w:val="16"/>
          <w:szCs w:val="16"/>
          <w:color w:val="auto"/>
        </w:rPr>
        <w:t xml:space="preserve"> provision of [</w:t>
      </w:r>
      <w:r>
        <w:rPr>
          <w:rFonts w:ascii="Arial" w:cs="Arial" w:eastAsia="Arial" w:hAnsi="Arial"/>
          <w:sz w:val="16"/>
          <w:szCs w:val="16"/>
          <w:color w:val="FF0000"/>
          <w:strike w:val="1"/>
        </w:rPr>
        <w:t>any</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the</w:t>
      </w:r>
      <w:r>
        <w:rPr>
          <w:rFonts w:ascii="Arial" w:cs="Arial" w:eastAsia="Arial" w:hAnsi="Arial"/>
          <w:sz w:val="16"/>
          <w:szCs w:val="16"/>
          <w:color w:val="auto"/>
        </w:rPr>
        <w:t xml:space="preserve"> Loan [</w:t>
      </w:r>
      <w:r>
        <w:rPr>
          <w:rFonts w:ascii="Arial" w:cs="Arial" w:eastAsia="Arial" w:hAnsi="Arial"/>
          <w:sz w:val="16"/>
          <w:szCs w:val="16"/>
          <w:color w:val="FF0000"/>
          <w:strike w:val="1"/>
        </w:rPr>
        <w:t>Document</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Documents, taken as a whole</w:t>
      </w:r>
      <w:r>
        <w:rPr>
          <w:rFonts w:ascii="Arial" w:cs="Arial" w:eastAsia="Arial" w:hAnsi="Arial"/>
          <w:sz w:val="16"/>
          <w:szCs w:val="16"/>
          <w:color w:val="auto"/>
        </w:rPr>
        <w:t xml:space="preserve">, at any time after its execution and delivery and for any reason </w:t>
      </w:r>
      <w:r>
        <w:rPr>
          <w:rFonts w:ascii="Arial" w:cs="Arial" w:eastAsia="Arial" w:hAnsi="Arial"/>
          <w:sz w:val="16"/>
          <w:szCs w:val="16"/>
          <w:b w:val="1"/>
          <w:bCs w:val="1"/>
          <w:u w:val="single" w:color="auto"/>
          <w:color w:val="0000FF"/>
        </w:rPr>
        <w:t>other than as expressly permitted hereunder or thereunder or as a result of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satisfaction in full of all of the Obligations in cash</w:t>
      </w:r>
      <w:r>
        <w:rPr>
          <w:rFonts w:ascii="Arial" w:cs="Arial" w:eastAsia="Arial" w:hAnsi="Arial"/>
          <w:sz w:val="16"/>
          <w:szCs w:val="16"/>
          <w:color w:val="000000"/>
        </w:rPr>
        <w:t>, ceases to be in full force and effect; or any Loan Party or any other Person contests in any</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manner the validity or enforceability of any provision of any Loan Document; or any Loan Party denies that it has any or further liability or obligation under any provision of any Loan Document, or purports to revoke, terminate or rescind any provision of any Loan Document or seeks to avoid, limit or otherwise adversely affect any Lien purported to be created under any Security Document; or (ii) any Lien </w:t>
      </w:r>
      <w:r>
        <w:rPr>
          <w:rFonts w:ascii="Arial" w:cs="Arial" w:eastAsia="Arial" w:hAnsi="Arial"/>
          <w:sz w:val="16"/>
          <w:szCs w:val="16"/>
          <w:b w:val="1"/>
          <w:bCs w:val="1"/>
          <w:u w:val="single" w:color="auto"/>
          <w:color w:val="0000FF"/>
        </w:rPr>
        <w:t>on any material</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portion of the Collateral</w:t>
      </w:r>
      <w:r>
        <w:rPr>
          <w:rFonts w:ascii="Arial" w:cs="Arial" w:eastAsia="Arial" w:hAnsi="Arial"/>
          <w:sz w:val="16"/>
          <w:szCs w:val="16"/>
          <w:b w:val="1"/>
          <w:bCs w:val="1"/>
          <w:color w:val="0000FF"/>
        </w:rPr>
        <w:t xml:space="preserve"> </w:t>
      </w:r>
      <w:r>
        <w:rPr>
          <w:rFonts w:ascii="Arial" w:cs="Arial" w:eastAsia="Arial" w:hAnsi="Arial"/>
          <w:sz w:val="16"/>
          <w:szCs w:val="16"/>
          <w:color w:val="000000"/>
        </w:rPr>
        <w:t>purported to be created under any Security Document shall cease to be, or shall be asserted by any Loan Party or any</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other Person not to be, a valid and perfected Lien on any Collateral, with the priority required by the applicable Security Document </w:t>
      </w:r>
      <w:r>
        <w:rPr>
          <w:rFonts w:ascii="Arial" w:cs="Arial" w:eastAsia="Arial" w:hAnsi="Arial"/>
          <w:sz w:val="16"/>
          <w:szCs w:val="16"/>
          <w:b w:val="1"/>
          <w:bCs w:val="1"/>
          <w:u w:val="single" w:color="auto"/>
          <w:color w:val="0000FF"/>
        </w:rPr>
        <w:t>other than as</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a result of (i) a release of Collateral permitted by the Loon Documents or (ii) Lender’s failure to (1) maintain possession of any stock certificates, promissory notes or other instruments delivered to it under the Loan Documents or (2) file and maintain proper Uniform Commercial Code statements or similar filings (including continuation statements)</w:t>
      </w:r>
      <w:r>
        <w:rPr>
          <w:rFonts w:ascii="Arial" w:cs="Arial" w:eastAsia="Arial" w:hAnsi="Arial"/>
          <w:sz w:val="16"/>
          <w:szCs w:val="16"/>
          <w:color w:val="000000"/>
        </w:rPr>
        <w:t>; or</w:t>
      </w:r>
    </w:p>
    <w:p>
      <w:pPr>
        <w:spacing w:after="0" w:line="167" w:lineRule="exact"/>
        <w:rPr>
          <w:rFonts w:ascii="Arial" w:cs="Arial" w:eastAsia="Arial" w:hAnsi="Arial"/>
          <w:sz w:val="16"/>
          <w:szCs w:val="16"/>
          <w:color w:val="auto"/>
        </w:rPr>
      </w:pPr>
    </w:p>
    <w:p>
      <w:pPr>
        <w:ind w:left="1300" w:hanging="656"/>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jc w:val="both"/>
        <w:ind w:firstLine="644"/>
        <w:spacing w:after="0" w:line="259" w:lineRule="auto"/>
        <w:tabs>
          <w:tab w:leader="none" w:pos="1389"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Cessation of Business</w:t>
      </w:r>
      <w:r>
        <w:rPr>
          <w:rFonts w:ascii="Arial" w:cs="Arial" w:eastAsia="Arial" w:hAnsi="Arial"/>
          <w:sz w:val="18"/>
          <w:szCs w:val="18"/>
          <w:color w:val="auto"/>
        </w:rPr>
        <w:t>. Except as otherwise expressly permitted hereunder, the Loan Parties, taken as a whole, shall take any action to suspend the operation of their business in the ordinary course, liquidate all or a material portion of their assets or Store locations, or employ an agent or other third party to conduct a program of closings, liquidations or “Going-Out-Of-Business” sales of any material portion of their business; or</w:t>
      </w:r>
    </w:p>
    <w:p>
      <w:pPr>
        <w:spacing w:after="0" w:line="182" w:lineRule="exact"/>
        <w:rPr>
          <w:rFonts w:ascii="Arial" w:cs="Arial" w:eastAsia="Arial" w:hAnsi="Arial"/>
          <w:sz w:val="18"/>
          <w:szCs w:val="18"/>
          <w:color w:val="auto"/>
        </w:rPr>
      </w:pPr>
    </w:p>
    <w:p>
      <w:pPr>
        <w:ind w:left="1560" w:hanging="916"/>
        <w:spacing w:after="0"/>
        <w:tabs>
          <w:tab w:leader="none" w:pos="1560"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w:t>
      </w:r>
      <w:r>
        <w:rPr>
          <w:rFonts w:ascii="Arial" w:cs="Arial" w:eastAsia="Arial" w:hAnsi="Arial"/>
          <w:sz w:val="17"/>
          <w:szCs w:val="17"/>
          <w:u w:val="single" w:color="auto"/>
          <w:color w:val="FF0000"/>
          <w:strike w:val="1"/>
        </w:rPr>
        <w:t>Loss of Collateral</w:t>
      </w:r>
      <w:r>
        <w:rPr>
          <w:rFonts w:ascii="Arial" w:cs="Arial" w:eastAsia="Arial" w:hAnsi="Arial"/>
          <w:sz w:val="17"/>
          <w:szCs w:val="17"/>
          <w:color w:val="FF0000"/>
          <w:strike w:val="1"/>
        </w:rPr>
        <w:t>. There occurs any uninsured loss to any material portion of the Collateral; or</w:t>
      </w: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0000FF"/>
        </w:rPr>
        <w:t>Permitted Real Estate</w:t>
      </w:r>
    </w:p>
    <w:p>
      <w:pPr>
        <w:spacing w:after="0" w:line="38" w:lineRule="exact"/>
        <w:rPr>
          <w:rFonts w:ascii="Arial" w:cs="Arial" w:eastAsia="Arial" w:hAnsi="Arial"/>
          <w:sz w:val="17"/>
          <w:szCs w:val="17"/>
          <w:color w:val="auto"/>
        </w:rPr>
      </w:pPr>
    </w:p>
    <w:p>
      <w:pPr>
        <w:jc w:val="both"/>
        <w:spacing w:after="0" w:line="273" w:lineRule="auto"/>
        <w:rPr>
          <w:rFonts w:ascii="Arial" w:cs="Arial" w:eastAsia="Arial" w:hAnsi="Arial"/>
          <w:sz w:val="17"/>
          <w:szCs w:val="17"/>
          <w:color w:val="auto"/>
        </w:rPr>
      </w:pPr>
      <w:r>
        <w:rPr>
          <w:rFonts w:ascii="Arial" w:cs="Arial" w:eastAsia="Arial" w:hAnsi="Arial"/>
          <w:sz w:val="17"/>
          <w:szCs w:val="17"/>
          <w:b w:val="1"/>
          <w:bCs w:val="1"/>
          <w:u w:val="single" w:color="auto"/>
          <w:color w:val="0000FF"/>
        </w:rPr>
        <w:t>Indebtedness. Borrower or any of its Restricted Subsidiaries fails to (i) make a principal or interest payment on any Permitted Real Estate Indebtedness when due and payable (after giving effect to any applicable grace periods) or (ii) perform or observe any covenant, term, condition or agreement relating to any Permitted Real Estate Indebtedness, and, in the case of clause (ii), as a result of such failure such Permitted Real Estate Indebtedness is declared to be due and payable prior to its stated maturity.</w:t>
      </w:r>
    </w:p>
    <w:p>
      <w:pPr>
        <w:spacing w:after="0" w:line="176" w:lineRule="exact"/>
        <w:rPr>
          <w:rFonts w:ascii="Arial" w:cs="Arial" w:eastAsia="Arial" w:hAnsi="Arial"/>
          <w:sz w:val="17"/>
          <w:szCs w:val="17"/>
          <w:color w:val="auto"/>
        </w:rPr>
      </w:pPr>
    </w:p>
    <w:p>
      <w:pPr>
        <w:jc w:val="both"/>
        <w:ind w:firstLine="644"/>
        <w:spacing w:after="0" w:line="257" w:lineRule="auto"/>
        <w:tabs>
          <w:tab w:leader="none" w:pos="1334" w:val="left"/>
        </w:tabs>
        <w:numPr>
          <w:ilvl w:val="0"/>
          <w:numId w:val="150"/>
        </w:numPr>
        <w:rPr>
          <w:rFonts w:ascii="Arial" w:cs="Arial" w:eastAsia="Arial" w:hAnsi="Arial"/>
          <w:sz w:val="18"/>
          <w:szCs w:val="18"/>
          <w:color w:val="FF0000"/>
        </w:rPr>
      </w:pPr>
      <w:r>
        <w:rPr>
          <w:rFonts w:ascii="Arial" w:cs="Arial" w:eastAsia="Arial" w:hAnsi="Arial"/>
          <w:sz w:val="18"/>
          <w:szCs w:val="18"/>
          <w:u w:val="single" w:color="auto"/>
          <w:color w:val="FF0000"/>
        </w:rPr>
        <w:t>[Breach of Contractual Obligation</w:t>
      </w:r>
      <w:r>
        <w:rPr>
          <w:rFonts w:ascii="Arial" w:cs="Arial" w:eastAsia="Arial" w:hAnsi="Arial"/>
          <w:sz w:val="18"/>
          <w:szCs w:val="18"/>
          <w:color w:val="FF0000"/>
        </w:rPr>
        <w:t xml:space="preserve">. Any Loan Party or any Subsidiary thereof fails to make any payment when due (whether by </w:t>
      </w:r>
      <w:r>
        <w:rPr>
          <w:rFonts w:ascii="Arial" w:cs="Arial" w:eastAsia="Arial" w:hAnsi="Arial"/>
          <w:sz w:val="18"/>
          <w:szCs w:val="18"/>
          <w:color w:val="FF0000"/>
          <w:strike w:val="1"/>
        </w:rPr>
        <w:t>scheduled maturity, required prepayment, acceleration, demand, or otherwise) in respect of any Material Contract or fails to observe or perform any other agreement or condition relating to any such Material Contract or contained in any</w:t>
      </w:r>
      <w:r>
        <w:rPr>
          <w:rFonts w:ascii="Arial" w:cs="Arial" w:eastAsia="Arial" w:hAnsi="Arial"/>
          <w:sz w:val="18"/>
          <w:szCs w:val="18"/>
          <w:u w:val="single" w:color="auto"/>
          <w:color w:val="FF0000"/>
          <w:strike w:val="1"/>
        </w:rPr>
        <w:t>]</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instrument or agreement</w:t>
      </w:r>
      <w:r>
        <w:rPr>
          <w:rFonts w:ascii="Arial" w:cs="Arial" w:eastAsia="Arial" w:hAnsi="Arial"/>
          <w:sz w:val="18"/>
          <w:szCs w:val="18"/>
          <w:color w:val="FF0000"/>
          <w:strike w:val="1"/>
        </w:rPr>
        <w:t xml:space="preserve"> [evidencing, securing or relating thereto, or any other event occurs, the effect of which default or other event is to cause, or to permit the counterparty to such Material Contract to terminate such Material Contract; or]</w:t>
      </w:r>
      <w:r>
        <w:rPr>
          <w:rFonts w:ascii="Arial" w:cs="Arial" w:eastAsia="Arial" w:hAnsi="Arial"/>
          <w:sz w:val="18"/>
          <w:szCs w:val="18"/>
          <w:b w:val="1"/>
          <w:bCs w:val="1"/>
          <w:u w:val="single" w:color="auto"/>
          <w:color w:val="0000FF"/>
          <w:strike w:val="1"/>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-625475</wp:posOffset>
            </wp:positionV>
            <wp:extent cx="63061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06185" cy="8890"/>
                    </a:xfrm>
                    <a:prstGeom prst="rect">
                      <a:avLst/>
                    </a:prstGeom>
                    <a:noFill/>
                  </pic:spPr>
                </pic:pic>
              </a:graphicData>
            </a:graphic>
          </wp:anchor>
        </w:drawing>
      </w:r>
    </w:p>
    <w:p>
      <w:pPr>
        <w:spacing w:after="0" w:line="16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115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660" w:firstLine="644"/>
        <w:spacing w:after="0" w:line="301" w:lineRule="auto"/>
        <w:tabs>
          <w:tab w:leader="none" w:pos="1860" w:val="left"/>
        </w:tabs>
        <w:numPr>
          <w:ilvl w:val="0"/>
          <w:numId w:val="151"/>
        </w:numPr>
        <w:rPr>
          <w:rFonts w:ascii="Arial" w:cs="Arial" w:eastAsia="Arial" w:hAnsi="Arial"/>
          <w:sz w:val="16"/>
          <w:szCs w:val="16"/>
          <w:color w:val="FF0000"/>
        </w:rPr>
      </w:pPr>
      <w:r>
        <w:rPr>
          <w:rFonts w:ascii="Arial" w:cs="Arial" w:eastAsia="Arial" w:hAnsi="Arial"/>
          <w:sz w:val="16"/>
          <w:szCs w:val="16"/>
          <w:u w:val="single" w:color="auto"/>
          <w:color w:val="auto"/>
        </w:rPr>
        <w:t>[</w:t>
      </w:r>
      <w:r>
        <w:rPr>
          <w:rFonts w:ascii="Arial" w:cs="Arial" w:eastAsia="Arial" w:hAnsi="Arial"/>
          <w:sz w:val="16"/>
          <w:szCs w:val="16"/>
          <w:u w:val="single" w:color="auto"/>
          <w:color w:val="FF0000"/>
          <w:strike w:val="1"/>
        </w:rPr>
        <w:t>Indictment</w:t>
      </w:r>
      <w:r>
        <w:rPr>
          <w:rFonts w:ascii="Arial" w:cs="Arial" w:eastAsia="Arial" w:hAnsi="Arial"/>
          <w:sz w:val="16"/>
          <w:szCs w:val="16"/>
          <w:color w:val="FF0000"/>
          <w:strike w:val="1"/>
        </w:rPr>
        <w:t>. (i) Any Loan Party is (A) criminally indicted or convicted of a felony for fraud or dishonesty in connection with the</w:t>
      </w:r>
      <w:r>
        <w:rPr>
          <w:rFonts w:ascii="Arial" w:cs="Arial" w:eastAsia="Arial" w:hAnsi="Arial"/>
          <w:sz w:val="16"/>
          <w:szCs w:val="16"/>
          <w:u w:val="single" w:color="auto"/>
          <w:color w:val="auto"/>
        </w:rPr>
        <w:t xml:space="preserve"> </w:t>
      </w:r>
      <w:r>
        <w:rPr>
          <w:rFonts w:ascii="Arial" w:cs="Arial" w:eastAsia="Arial" w:hAnsi="Arial"/>
          <w:sz w:val="16"/>
          <w:szCs w:val="16"/>
          <w:color w:val="FF0000"/>
          <w:strike w:val="1"/>
        </w:rPr>
        <w:t>Loan Parties’ business, or (B) charged by</w:t>
      </w:r>
      <w:r>
        <w:rPr>
          <w:rFonts w:ascii="Arial" w:cs="Arial" w:eastAsia="Arial" w:hAnsi="Arial"/>
          <w:sz w:val="16"/>
          <w:szCs w:val="16"/>
          <w:u w:val="single" w:color="auto"/>
          <w:color w:val="000000"/>
        </w:rPr>
        <w:t>]</w:t>
      </w:r>
      <w:r>
        <w:rPr>
          <w:rFonts w:ascii="Arial" w:cs="Arial" w:eastAsia="Arial" w:hAnsi="Arial"/>
          <w:sz w:val="16"/>
          <w:szCs w:val="16"/>
          <w:color w:val="FF0000"/>
        </w:rPr>
        <w:t xml:space="preserve"> </w:t>
      </w:r>
      <w:r>
        <w:rPr>
          <w:rFonts w:ascii="Arial" w:cs="Arial" w:eastAsia="Arial" w:hAnsi="Arial"/>
          <w:sz w:val="16"/>
          <w:szCs w:val="16"/>
          <w:color w:val="00C000"/>
          <w:strike w:val="1"/>
        </w:rPr>
        <w:t>a Governmental Authority</w:t>
      </w:r>
      <w:r>
        <w:rPr>
          <w:rFonts w:ascii="Arial" w:cs="Arial" w:eastAsia="Arial" w:hAnsi="Arial"/>
          <w:sz w:val="16"/>
          <w:szCs w:val="16"/>
          <w:color w:val="FF0000"/>
        </w:rPr>
        <w:t xml:space="preserve"> </w:t>
      </w:r>
      <w:r>
        <w:rPr>
          <w:rFonts w:ascii="Arial" w:cs="Arial" w:eastAsia="Arial" w:hAnsi="Arial"/>
          <w:sz w:val="16"/>
          <w:szCs w:val="16"/>
          <w:color w:val="000000"/>
        </w:rPr>
        <w:t>[</w:t>
      </w:r>
      <w:r>
        <w:rPr>
          <w:rFonts w:ascii="Arial" w:cs="Arial" w:eastAsia="Arial" w:hAnsi="Arial"/>
          <w:sz w:val="16"/>
          <w:szCs w:val="16"/>
          <w:color w:val="FF0000"/>
          <w:strike w:val="1"/>
        </w:rPr>
        <w:t>under any law that would reasonably be expected to lead to forfeiture of any</w:t>
      </w:r>
      <w:r>
        <w:rPr>
          <w:rFonts w:ascii="Arial" w:cs="Arial" w:eastAsia="Arial" w:hAnsi="Arial"/>
          <w:sz w:val="16"/>
          <w:szCs w:val="16"/>
          <w:color w:val="FF0000"/>
        </w:rPr>
        <w:t xml:space="preserve"> </w:t>
      </w:r>
      <w:r>
        <w:rPr>
          <w:rFonts w:ascii="Arial" w:cs="Arial" w:eastAsia="Arial" w:hAnsi="Arial"/>
          <w:sz w:val="16"/>
          <w:szCs w:val="16"/>
          <w:color w:val="FF0000"/>
          <w:strike w:val="1"/>
        </w:rPr>
        <w:t>material portion of Collateral, or (ii) the chief financial officer or chief executive officer of the Borrower is criminally indicted or convicted of a felony for fraud or dishonesty in connection with the Loan Parties’ business, unless such Person promptly resigns or is removed or replaced;</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-508000</wp:posOffset>
            </wp:positionV>
            <wp:extent cx="3505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spacing w:after="0" w:line="137" w:lineRule="exact"/>
        <w:rPr>
          <w:sz w:val="20"/>
          <w:szCs w:val="20"/>
          <w:color w:val="auto"/>
        </w:rPr>
      </w:pPr>
    </w:p>
    <w:p>
      <w:pPr>
        <w:ind w:left="660" w:firstLine="644"/>
        <w:spacing w:after="0" w:line="277" w:lineRule="auto"/>
        <w:tabs>
          <w:tab w:leader="none" w:pos="2021"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The termination or attempted termination of any Facility Guaranty except as expressly permitted hereunder or under any other Loan Document; </w:t>
      </w:r>
      <w:r>
        <w:rPr>
          <w:rFonts w:ascii="Arial" w:cs="Arial" w:eastAsia="Arial" w:hAnsi="Arial"/>
          <w:sz w:val="18"/>
          <w:szCs w:val="18"/>
          <w:b w:val="1"/>
          <w:bCs w:val="1"/>
          <w:u w:val="single" w:color="auto"/>
          <w:color w:val="0000FF"/>
        </w:rPr>
        <w:t>or</w:t>
      </w:r>
    </w:p>
    <w:p>
      <w:pPr>
        <w:spacing w:after="0" w:line="170" w:lineRule="exact"/>
        <w:rPr>
          <w:rFonts w:ascii="Arial" w:cs="Arial" w:eastAsia="Arial" w:hAnsi="Arial"/>
          <w:sz w:val="18"/>
          <w:szCs w:val="18"/>
          <w:color w:val="auto"/>
        </w:rPr>
      </w:pPr>
    </w:p>
    <w:p>
      <w:pPr>
        <w:jc w:val="both"/>
        <w:ind w:left="660" w:firstLine="644"/>
        <w:spacing w:after="0" w:line="254" w:lineRule="auto"/>
        <w:tabs>
          <w:tab w:leader="none" w:pos="2021"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(i) The subordination provisions of the documents evidencing or governing any Subordinated Indebtedness (the “</w:t>
      </w:r>
      <w:r>
        <w:rPr>
          <w:rFonts w:ascii="Arial" w:cs="Arial" w:eastAsia="Arial" w:hAnsi="Arial"/>
          <w:sz w:val="18"/>
          <w:szCs w:val="18"/>
          <w:u w:val="single" w:color="auto"/>
          <w:color w:val="auto"/>
        </w:rPr>
        <w:t>Subordination Provisions</w:t>
      </w:r>
      <w:r>
        <w:rPr>
          <w:rFonts w:ascii="Arial" w:cs="Arial" w:eastAsia="Arial" w:hAnsi="Arial"/>
          <w:sz w:val="18"/>
          <w:szCs w:val="18"/>
          <w:color w:val="auto"/>
        </w:rPr>
        <w:t>”) shall, in whole or in part, terminate, cease to be effective or cease to be legally valid, binding and enforceable against any holder of the applicable Subordinated Indebtedness; or (ii) the Borrower or any other Loan Party shall, directly or indirectly, disavow or contest in any manner (A) the effectiveness, validity or enforceability of any of the Subordination Provisions, (B) that the Subordination Provisions exist for the benefit of the Credit Parties, or (C) that all payments of principal of or premium and interest on the applicable Subordinated Indebtedness, or realized from the liquidation of any property of any Loan Party, shall be subject to any of the Subordination Provisions.</w:t>
      </w:r>
    </w:p>
    <w:p>
      <w:pPr>
        <w:spacing w:after="0" w:line="191"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b w:val="1"/>
          <w:bCs w:val="1"/>
          <w:color w:val="auto"/>
        </w:rPr>
        <w:t>8.02</w:t>
      </w:r>
      <w:r>
        <w:rPr>
          <w:sz w:val="20"/>
          <w:szCs w:val="20"/>
          <w:color w:val="auto"/>
        </w:rPr>
        <w:tab/>
      </w:r>
      <w:r>
        <w:rPr>
          <w:rFonts w:ascii="Arial" w:cs="Arial" w:eastAsia="Arial" w:hAnsi="Arial"/>
          <w:sz w:val="16"/>
          <w:szCs w:val="16"/>
          <w:b w:val="1"/>
          <w:bCs w:val="1"/>
          <w:color w:val="auto"/>
        </w:rPr>
        <w:t xml:space="preserve">Remedies Upon Event of Default. </w:t>
      </w:r>
      <w:r>
        <w:rPr>
          <w:rFonts w:ascii="Arial" w:cs="Arial" w:eastAsia="Arial" w:hAnsi="Arial"/>
          <w:sz w:val="16"/>
          <w:szCs w:val="16"/>
          <w:color w:val="auto"/>
        </w:rPr>
        <w:t>If any Event of Default occurs and is continuing, the Lender may take any or all of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actions:</w:t>
      </w:r>
    </w:p>
    <w:p>
      <w:pPr>
        <w:spacing w:after="0" w:line="211" w:lineRule="exact"/>
        <w:rPr>
          <w:sz w:val="20"/>
          <w:szCs w:val="20"/>
          <w:color w:val="auto"/>
        </w:rPr>
      </w:pPr>
    </w:p>
    <w:p>
      <w:pPr>
        <w:ind w:left="660" w:firstLine="644"/>
        <w:spacing w:after="0" w:line="277" w:lineRule="auto"/>
        <w:tabs>
          <w:tab w:leader="none" w:pos="197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declare the Commitment of the Lender to make Loans and any obligation of the L/C Issuer to make L/C Credit Extensions to be terminated, whereupon such Commitment and obligations shall be terminated;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02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Obligations to be immediately due and payable, without presentment, demand, protest or other notice of any kind, all of which are hereby expressly waived by the Loan Parties;</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require that the Loan Parties Cash Collateralize the L/C Obligations; and</w:t>
      </w:r>
    </w:p>
    <w:p>
      <w:pPr>
        <w:spacing w:after="0" w:line="225" w:lineRule="exact"/>
        <w:rPr>
          <w:rFonts w:ascii="Arial" w:cs="Arial" w:eastAsia="Arial" w:hAnsi="Arial"/>
          <w:sz w:val="18"/>
          <w:szCs w:val="18"/>
          <w:color w:val="auto"/>
        </w:rPr>
      </w:pPr>
    </w:p>
    <w:p>
      <w:pPr>
        <w:jc w:val="both"/>
        <w:ind w:left="660" w:firstLine="644"/>
        <w:spacing w:after="0" w:line="296" w:lineRule="auto"/>
        <w:tabs>
          <w:tab w:leader="none" w:pos="2129" w:val="left"/>
        </w:tabs>
        <w:numPr>
          <w:ilvl w:val="0"/>
          <w:numId w:val="153"/>
        </w:numPr>
        <w:rPr>
          <w:rFonts w:ascii="Arial" w:cs="Arial" w:eastAsia="Arial" w:hAnsi="Arial"/>
          <w:sz w:val="16"/>
          <w:szCs w:val="16"/>
          <w:color w:val="auto"/>
        </w:rPr>
      </w:pPr>
      <w:r>
        <w:rPr>
          <w:rFonts w:ascii="Arial" w:cs="Arial" w:eastAsia="Arial" w:hAnsi="Arial"/>
          <w:sz w:val="16"/>
          <w:szCs w:val="16"/>
          <w:color w:val="auto"/>
        </w:rPr>
        <w:t>whether or not the maturity of the Obligations shall have been accelerated pursuant hereto, proceed to protect, enforce and exercise all rights and remedies of the Credit Parties under this Agreement, any of the other Loan Documents or Law, including, but not limited to, by suit in equity, action at law or other appropriate proceeding, whether for the specific performance of any covenant or agreement contained in this Agreement and the other Loan Documents or any instrument pursuant to which the Obligations are evidenced, and, if the Obligations shall have become due, by declaration or otherwise, proceed to enforce the payment thereof or any other legal or equitable right of the Credit Parties;</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upon the occurrence of any Default or Event of Default with respect to any Loan Party or 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 thereof under </w:t>
      </w:r>
      <w:r>
        <w:rPr>
          <w:rFonts w:ascii="Arial" w:cs="Arial" w:eastAsia="Arial" w:hAnsi="Arial"/>
          <w:sz w:val="18"/>
          <w:szCs w:val="18"/>
          <w:u w:val="single" w:color="auto"/>
          <w:color w:val="auto"/>
        </w:rPr>
        <w:t>Section 8.01(f)</w:t>
      </w:r>
      <w:r>
        <w:rPr>
          <w:rFonts w:ascii="Arial" w:cs="Arial" w:eastAsia="Arial" w:hAnsi="Arial"/>
          <w:sz w:val="18"/>
          <w:szCs w:val="18"/>
          <w:color w:val="auto"/>
        </w:rPr>
        <w:t>, the obligation of the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Loan Parties to Cash Collateralize the L/C Obligations as aforesaid shall automatically become effective, in each case without further act of the Lender.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116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remedy herein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color w:val="auto"/>
        </w:rPr>
        <w:t xml:space="preserve">8.03 Application of Funds. </w:t>
      </w:r>
      <w:r>
        <w:rPr>
          <w:rFonts w:ascii="Arial" w:cs="Arial" w:eastAsia="Arial" w:hAnsi="Arial"/>
          <w:sz w:val="16"/>
          <w:szCs w:val="16"/>
          <w:color w:val="auto"/>
        </w:rPr>
        <w:t>After the exercise of remedies provided for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8.02</w:t>
      </w:r>
      <w:r>
        <w:rPr>
          <w:rFonts w:ascii="Arial" w:cs="Arial" w:eastAsia="Arial" w:hAnsi="Arial"/>
          <w:sz w:val="16"/>
          <w:szCs w:val="16"/>
          <w:b w:val="1"/>
          <w:bCs w:val="1"/>
          <w:color w:val="auto"/>
        </w:rPr>
        <w:t xml:space="preserve"> </w:t>
      </w:r>
      <w:r>
        <w:rPr>
          <w:rFonts w:ascii="Arial" w:cs="Arial" w:eastAsia="Arial" w:hAnsi="Arial"/>
          <w:sz w:val="16"/>
          <w:szCs w:val="16"/>
          <w:color w:val="auto"/>
        </w:rPr>
        <w:t>(or after the Loans have automatically become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immediately due and payable and the L/C Obligations have automatically been required to be Cash Collateralized as set forth in the proviso to </w:t>
      </w:r>
      <w:r>
        <w:rPr>
          <w:rFonts w:ascii="Arial" w:cs="Arial" w:eastAsia="Arial" w:hAnsi="Arial"/>
          <w:sz w:val="16"/>
          <w:szCs w:val="16"/>
          <w:u w:val="single" w:color="auto"/>
          <w:color w:val="auto"/>
        </w:rPr>
        <w:t>Section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8.02</w:t>
      </w:r>
      <w:r>
        <w:rPr>
          <w:rFonts w:ascii="Arial" w:cs="Arial" w:eastAsia="Arial" w:hAnsi="Arial"/>
          <w:sz w:val="18"/>
          <w:szCs w:val="18"/>
          <w:color w:val="auto"/>
        </w:rPr>
        <w:t>), any amounts received on account of the Obligations shall be applied by the Lender in the following order:</w:t>
      </w:r>
    </w:p>
    <w:p>
      <w:pPr>
        <w:spacing w:after="0" w:line="211"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(excluding the Other Liabilities) constituting fees, indemnities, Credit Party Expenses and other amounts (including fees, charges and disbursements of counsel to the Credit Parties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Lender;</w:t>
      </w:r>
    </w:p>
    <w:p>
      <w:pPr>
        <w:spacing w:after="0" w:line="184"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accrued and unpaid interest on the Committed Loans, L/C Borrowings and other Obligations, and fees (including Letter of Credit Fees), ratably among the Lender and the L/C Issuer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84"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unpaid principal of the Committed Loans and L/C Borrowings and Swap Contracts, ratably among the Lender and the L/C Issuer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held by them;</w:t>
      </w:r>
    </w:p>
    <w:p>
      <w:pPr>
        <w:spacing w:after="0" w:line="184"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the Lender for the account of the L/C Issuer, to Cash Collateralize that portion of L/C Obligations comprised of the aggregate undrawn amount of Letters of Credit;</w:t>
      </w:r>
    </w:p>
    <w:p>
      <w:pPr>
        <w:spacing w:after="0" w:line="170"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auto"/>
        </w:rPr>
        <w:t xml:space="preserve">Fifth, to payment of all other Obligations (including without limitation the cash collateralization of unliquidated indemnification obligations as provided in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but excluding any Other Liabilities), ratably among the Credit Parties in proportion to the respective amounts described in this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held by them;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117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left="1300" w:firstLine="648"/>
        <w:spacing w:after="0" w:line="277" w:lineRule="auto"/>
        <w:rPr>
          <w:sz w:val="20"/>
          <w:szCs w:val="20"/>
          <w:color w:val="auto"/>
        </w:rPr>
      </w:pPr>
      <w:r>
        <w:rPr>
          <w:rFonts w:ascii="Arial" w:cs="Arial" w:eastAsia="Arial" w:hAnsi="Arial"/>
          <w:sz w:val="18"/>
          <w:szCs w:val="18"/>
          <w:color w:val="auto"/>
        </w:rPr>
        <w:t xml:space="preserve">Sixth, to payment of that portion of the Obligations arising from Cash Management Services, ratably among the Credit Parties in proportion to the respective amounts described in this clause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held by them;</w:t>
      </w:r>
    </w:p>
    <w:p>
      <w:pPr>
        <w:spacing w:after="0" w:line="170" w:lineRule="exact"/>
        <w:rPr>
          <w:sz w:val="20"/>
          <w:szCs w:val="20"/>
          <w:color w:val="auto"/>
        </w:rPr>
      </w:pPr>
    </w:p>
    <w:p>
      <w:pPr>
        <w:ind w:left="1300" w:firstLine="648"/>
        <w:spacing w:after="0" w:line="277"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to payment of that portion of the Obligations arising from Bank Products, ratably among the Credit Parties in proportion to the respective amounts described in this clause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held by them; and</w:t>
      </w:r>
    </w:p>
    <w:p>
      <w:pPr>
        <w:spacing w:after="0" w:line="170" w:lineRule="exact"/>
        <w:rPr>
          <w:sz w:val="20"/>
          <w:szCs w:val="20"/>
          <w:color w:val="auto"/>
        </w:rPr>
      </w:pPr>
    </w:p>
    <w:p>
      <w:pPr>
        <w:ind w:left="1300" w:firstLine="648"/>
        <w:spacing w:after="0" w:line="277"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Loan Parties or as otherwise required by Law.</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amounts used to Cash Collateralize the aggregate undrawn amount of Letters of Credit pursuant to clause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Excluded Swap Obligations with respect to any Loan Party shall not be paid with amounts received from such Loan Party, but appropriate adjustments shall be made with respect to payments from other Loan Parties to preserve the allocation to the Obligations otherwise set forth above in this Section.</w:t>
      </w:r>
    </w:p>
    <w:p>
      <w:pPr>
        <w:spacing w:after="0" w:line="12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9.01 Amendments, Etc</w:t>
      </w:r>
      <w:r>
        <w:rPr>
          <w:rFonts w:ascii="Arial" w:cs="Arial" w:eastAsia="Arial" w:hAnsi="Arial"/>
          <w:sz w:val="17"/>
          <w:szCs w:val="17"/>
          <w:color w:val="auto"/>
        </w:rPr>
        <w:t>. No amendment or waiver of any provision of this Agreement or any other Loan Document, and no consent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departure by any Loan Party therefrom, shall be effective unless in writing signed by the Lender and the Borrower or the applicable Loan Party, as the case may be, and each such waiver or consent shall be effective only in the specific instance and for the specific purpose for which given, provided, that no amendment, waiver or consent shall, unless in writing and signed by the L/C Issuer in addition to the Lender, affect the rights or duties of the L/C Issuer under this Agreement or any Issuer Document relating to any Letter of Credit issued or to be issued by it.</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anything to the contrary in this Agreement or any other Loan Document, no provider or holder of any Bank Products or Cash Management Services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the Lender, to the extent applicable) for any matter hereunder or under any of the other Loan Documents, including as to any matter relating to the Collateral or the release of Collateral or any Loan 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118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9.02</w:t>
      </w:r>
      <w:r>
        <w:rPr>
          <w:sz w:val="20"/>
          <w:szCs w:val="20"/>
          <w:color w:val="auto"/>
        </w:rPr>
        <w:tab/>
      </w:r>
      <w:r>
        <w:rPr>
          <w:rFonts w:ascii="Arial" w:cs="Arial" w:eastAsia="Arial" w:hAnsi="Arial"/>
          <w:sz w:val="15"/>
          <w:szCs w:val="15"/>
          <w:b w:val="1"/>
          <w:bCs w:val="1"/>
          <w:color w:val="auto"/>
        </w:rPr>
        <w:t>Notices; Effectiveness; Electronic Communications</w:t>
      </w:r>
      <w:r>
        <w:rPr>
          <w:rFonts w:ascii="Arial" w:cs="Arial" w:eastAsia="Arial" w:hAnsi="Arial"/>
          <w:sz w:val="15"/>
          <w:szCs w:val="15"/>
          <w:color w:val="auto"/>
        </w:rPr>
        <w:t>.</w:t>
      </w:r>
    </w:p>
    <w:p>
      <w:pPr>
        <w:spacing w:after="0" w:line="229" w:lineRule="exact"/>
        <w:rPr>
          <w:sz w:val="20"/>
          <w:szCs w:val="20"/>
          <w:color w:val="auto"/>
        </w:rPr>
      </w:pPr>
    </w:p>
    <w:p>
      <w:pPr>
        <w:jc w:val="both"/>
        <w:ind w:left="660" w:firstLine="644"/>
        <w:spacing w:after="0" w:line="273" w:lineRule="auto"/>
        <w:tabs>
          <w:tab w:leader="none" w:pos="2182"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w:t>
      </w:r>
      <w:r>
        <w:rPr>
          <w:rFonts w:ascii="Arial" w:cs="Arial" w:eastAsia="Arial" w:hAnsi="Arial"/>
          <w:sz w:val="17"/>
          <w:szCs w:val="17"/>
          <w:b w:val="1"/>
          <w:bCs w:val="1"/>
          <w:u w:val="single" w:color="auto"/>
          <w:color w:val="0000FF"/>
        </w:rPr>
        <w:t>, furnished by electronic communication as provided in Section 9.02(b)</w:t>
      </w:r>
      <w:r>
        <w:rPr>
          <w:rFonts w:ascii="Arial" w:cs="Arial" w:eastAsia="Arial" w:hAnsi="Arial"/>
          <w:sz w:val="17"/>
          <w:szCs w:val="17"/>
          <w:color w:val="auto"/>
        </w:rPr>
        <w:t xml:space="preserve"> or sent by facsimile as follows, and all notices and other communications expressly permitted hereunder to be given by telephone shall be made to the applicable telephone number, if to the Loan Parties, the Lender, the L/C Issuer, to the address, facsimile number, electronic mail address or telephone number specified for such Person on Schedule 9.02 hereto.</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jc w:val="both"/>
        <w:ind w:left="660" w:firstLine="644"/>
        <w:spacing w:after="0" w:line="293" w:lineRule="auto"/>
        <w:tabs>
          <w:tab w:leader="none" w:pos="2194" w:val="left"/>
        </w:tabs>
        <w:numPr>
          <w:ilvl w:val="0"/>
          <w:numId w:val="155"/>
        </w:numPr>
        <w:rPr>
          <w:rFonts w:ascii="Arial" w:cs="Arial" w:eastAsia="Arial" w:hAnsi="Arial"/>
          <w:sz w:val="16"/>
          <w:szCs w:val="16"/>
          <w:b w:val="1"/>
          <w:bCs w:val="1"/>
          <w:color w:val="0000FF"/>
        </w:rPr>
      </w:pPr>
      <w:r>
        <w:rPr>
          <w:rFonts w:ascii="Arial" w:cs="Arial" w:eastAsia="Arial" w:hAnsi="Arial"/>
          <w:sz w:val="16"/>
          <w:szCs w:val="16"/>
          <w:color w:val="auto"/>
        </w:rPr>
        <w:t>[</w:t>
      </w:r>
      <w:r>
        <w:rPr>
          <w:rFonts w:ascii="Arial" w:cs="Arial" w:eastAsia="Arial" w:hAnsi="Arial"/>
          <w:sz w:val="16"/>
          <w:szCs w:val="16"/>
          <w:color w:val="FF0000"/>
          <w:strike w:val="1"/>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 and the L/C Issuer hereunder may be delivered or furnished by electronic communication (including e-mail, FpML messaging, and Internet or intranet websites) pursuant to procedures approved by the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the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the L/C Issuer has notified the Lender that it is incapable of receiving notices under such Article by electronic communication. The Lender, the L/C Issuer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Unless the Lender otherwise prescribes, (i) notices and other communications sent to an e-mail address shall be deemed received [</w:t>
      </w:r>
      <w:r>
        <w:rPr>
          <w:rFonts w:ascii="Arial" w:cs="Arial" w:eastAsia="Arial" w:hAnsi="Arial"/>
          <w:sz w:val="17"/>
          <w:szCs w:val="17"/>
          <w:color w:val="FF0000"/>
          <w:strike w:val="1"/>
        </w:rPr>
        <w:t>upon</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when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 xml:space="preserve">delivered; provided that notices and other communications </w:t>
      </w:r>
      <w:r>
        <w:rPr>
          <w:rFonts w:ascii="Arial" w:cs="Arial" w:eastAsia="Arial" w:hAnsi="Arial"/>
          <w:sz w:val="17"/>
          <w:szCs w:val="17"/>
          <w:u w:val="single" w:color="auto"/>
          <w:color w:val="00C000"/>
        </w:rPr>
        <w:t>to the Lender or the L/C Issuer</w:t>
      </w:r>
      <w:r>
        <w:rPr>
          <w:rFonts w:ascii="Arial" w:cs="Arial" w:eastAsia="Arial" w:hAnsi="Arial"/>
          <w:sz w:val="17"/>
          <w:szCs w:val="17"/>
          <w:b w:val="1"/>
          <w:bCs w:val="1"/>
          <w:u w:val="single" w:color="auto"/>
          <w:color w:val="0000FF"/>
        </w:rPr>
        <w:t xml:space="preserve"> pursuant to Article II shall not be effective until actually received by such Person during</w:t>
      </w:r>
      <w:r>
        <w:rPr>
          <w:rFonts w:ascii="Arial" w:cs="Arial" w:eastAsia="Arial" w:hAnsi="Arial"/>
          <w:sz w:val="17"/>
          <w:szCs w:val="17"/>
          <w:b w:val="1"/>
          <w:bCs w:val="1"/>
          <w:color w:val="0000FF"/>
        </w:rPr>
        <w:t xml:space="preserve"> </w:t>
      </w:r>
      <w:r>
        <w:rPr>
          <w:rFonts w:ascii="Arial" w:cs="Arial" w:eastAsia="Arial" w:hAnsi="Arial"/>
          <w:sz w:val="17"/>
          <w:szCs w:val="17"/>
          <w:color w:val="000000"/>
        </w:rPr>
        <w:t>the [</w:t>
      </w:r>
      <w:r>
        <w:rPr>
          <w:rFonts w:ascii="Arial" w:cs="Arial" w:eastAsia="Arial" w:hAnsi="Arial"/>
          <w:sz w:val="17"/>
          <w:szCs w:val="17"/>
          <w:color w:val="FF0000"/>
          <w:strike w:val="1"/>
        </w:rPr>
        <w:t>sender</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person</w:t>
      </w:r>
      <w:r>
        <w:rPr>
          <w:rFonts w:ascii="Arial" w:cs="Arial" w:eastAsia="Arial" w:hAnsi="Arial"/>
          <w:sz w:val="17"/>
          <w:szCs w:val="17"/>
          <w:color w:val="000000"/>
        </w:rPr>
        <w:t>’s [</w:t>
      </w:r>
      <w:r>
        <w:rPr>
          <w:rFonts w:ascii="Arial" w:cs="Arial" w:eastAsia="Arial" w:hAnsi="Arial"/>
          <w:sz w:val="17"/>
          <w:szCs w:val="17"/>
          <w:color w:val="FF0000"/>
          <w:strike w:val="1"/>
        </w:rPr>
        <w:t>receipt of an acknowledgement from the intended recipient (such as by the “return receipt</w:t>
      </w:r>
      <w:r>
        <w:rPr>
          <w:rFonts w:ascii="Arial" w:cs="Arial" w:eastAsia="Arial" w:hAnsi="Arial"/>
          <w:sz w:val="17"/>
          <w:szCs w:val="17"/>
          <w:b w:val="1"/>
          <w:bCs w:val="1"/>
          <w:color w:val="0000FF"/>
        </w:rPr>
        <w:t xml:space="preserve"> </w:t>
      </w:r>
      <w:r>
        <w:rPr>
          <w:rFonts w:ascii="Arial" w:cs="Arial" w:eastAsia="Arial" w:hAnsi="Arial"/>
          <w:sz w:val="17"/>
          <w:szCs w:val="17"/>
          <w:color w:val="FF0000"/>
          <w:strike w:val="1"/>
        </w:rPr>
        <w:t>requested” function, as available, return e-mail or other written acknowledgement)</w:t>
      </w:r>
      <w:r>
        <w:rPr>
          <w:rFonts w:ascii="Arial" w:cs="Arial" w:eastAsia="Arial" w:hAnsi="Arial"/>
          <w:sz w:val="17"/>
          <w:szCs w:val="17"/>
          <w:color w:val="000000"/>
        </w:rPr>
        <w:t>]</w:t>
      </w:r>
      <w:r>
        <w:rPr>
          <w:rFonts w:ascii="Arial" w:cs="Arial" w:eastAsia="Arial" w:hAnsi="Arial"/>
          <w:sz w:val="17"/>
          <w:szCs w:val="17"/>
          <w:b w:val="1"/>
          <w:bCs w:val="1"/>
          <w:u w:val="single" w:color="auto"/>
          <w:color w:val="0000FF"/>
        </w:rPr>
        <w:t>normal business hours</w:t>
      </w:r>
      <w:r>
        <w:rPr>
          <w:rFonts w:ascii="Arial" w:cs="Arial" w:eastAsia="Arial" w:hAnsi="Arial"/>
          <w:sz w:val="17"/>
          <w:szCs w:val="17"/>
          <w:color w:val="FF0000"/>
        </w:rPr>
        <w:t xml:space="preserve"> </w:t>
      </w:r>
      <w:r>
        <w:rPr>
          <w:rFonts w:ascii="Arial" w:cs="Arial" w:eastAsia="Arial" w:hAnsi="Arial"/>
          <w:sz w:val="17"/>
          <w:szCs w:val="17"/>
          <w:color w:val="000000"/>
        </w:rPr>
        <w:t>and (ii) notices or communications posted to an</w:t>
      </w:r>
      <w:r>
        <w:rPr>
          <w:rFonts w:ascii="Arial" w:cs="Arial" w:eastAsia="Arial" w:hAnsi="Arial"/>
          <w:sz w:val="17"/>
          <w:szCs w:val="17"/>
          <w:color w:val="FF0000"/>
        </w:rPr>
        <w:t xml:space="preserve"> </w:t>
      </w:r>
      <w:r>
        <w:rPr>
          <w:rFonts w:ascii="Arial" w:cs="Arial" w:eastAsia="Arial" w:hAnsi="Arial"/>
          <w:sz w:val="17"/>
          <w:szCs w:val="17"/>
          <w:color w:val="000000"/>
        </w:rPr>
        <w:t>Internet or intranet website shall be deemed received upon the deemed receipt by the intended recipient at its e-mail address as described in the foregoing clause (i) of notification that such notice or communication is available and identifying the website address therefor[</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000000"/>
        </w:rPr>
        <w:t xml:space="preserve"> </w:t>
      </w:r>
      <w:r>
        <w:rPr>
          <w:rFonts w:ascii="Arial" w:cs="Arial" w:eastAsia="Arial" w:hAnsi="Arial"/>
          <w:sz w:val="17"/>
          <w:szCs w:val="17"/>
          <w:color w:val="FF0000"/>
          <w:strike w:val="1"/>
        </w:rPr>
        <w:t>that, for both clauses (i) and</w:t>
      </w:r>
      <w:r>
        <w:rPr>
          <w:rFonts w:ascii="Arial" w:cs="Arial" w:eastAsia="Arial" w:hAnsi="Arial"/>
          <w:sz w:val="17"/>
          <w:szCs w:val="17"/>
          <w:color w:val="000000"/>
        </w:rPr>
        <w:t xml:space="preserve"> </w:t>
      </w:r>
      <w:r>
        <w:rPr>
          <w:rFonts w:ascii="Arial" w:cs="Arial" w:eastAsia="Arial" w:hAnsi="Arial"/>
          <w:sz w:val="17"/>
          <w:szCs w:val="17"/>
          <w:color w:val="FF0000"/>
          <w:strike w:val="1"/>
        </w:rPr>
        <w:t>(ii), if such notice or other communication is not sent during the normal business hours of the recipient, such notice or communication shall be deemed to have been sent at the opening of business on the next Business Day for the recipient</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-864235</wp:posOffset>
            </wp:positionV>
            <wp:extent cx="285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sz w:val="20"/>
          <w:szCs w:val="20"/>
          <w:color w:val="auto"/>
        </w:rPr>
      </w:pPr>
    </w:p>
    <w:p>
      <w:pPr>
        <w:ind w:left="660" w:firstLine="644"/>
        <w:spacing w:after="0" w:line="277" w:lineRule="auto"/>
        <w:tabs>
          <w:tab w:leader="none" w:pos="210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FF0000"/>
          <w:strike w:val="1"/>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Loan Parties, the Lender and the L/C Issuer may change its address, facsimile or telephone number for notices and other communications hereunder by notice to the other parties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119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660" w:firstLine="644"/>
        <w:spacing w:after="0" w:line="272" w:lineRule="auto"/>
        <w:tabs>
          <w:tab w:leader="none" w:pos="214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color w:val="FF0000"/>
          <w:strike w:val="1"/>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Reliance by Lender and L/C Issuer</w:t>
      </w:r>
      <w:r>
        <w:rPr>
          <w:rFonts w:ascii="Arial" w:cs="Arial" w:eastAsia="Arial" w:hAnsi="Arial"/>
          <w:sz w:val="17"/>
          <w:szCs w:val="17"/>
          <w:color w:val="auto"/>
        </w:rPr>
        <w:t>. The Lender and the L/C Issuer shall be entitled to rely and act upon any notices (including telephonic Committed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Lender, the L/C Issuer, and the Related Parties of each of them from all losses, costs, expenses and liabilities resulting from the reliance by such Person on each notice purportedly given by or on behalf of the Loan Parties. All telephonic notices to and other telephonic communications with the Lender may be recorded by the Lender, and each of the parties hereto hereby consents to such recording.</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9.03 No Waiver; Cumulative Remedies. </w:t>
      </w:r>
      <w:r>
        <w:rPr>
          <w:rFonts w:ascii="Arial" w:cs="Arial" w:eastAsia="Arial" w:hAnsi="Arial"/>
          <w:sz w:val="18"/>
          <w:szCs w:val="18"/>
          <w:color w:val="auto"/>
        </w:rPr>
        <w:t>No failure by any Credit Party to exercise, and no delay by any such Person in exercising,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remedy, power or privilege hereunder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provided herein and in the other Loan Documents are cumulative and not exclusive of any rights, remedies, powers and privileges provided by law. Without limiting the generality of the foregoing, the making of a Loan or issuance of a Letter of Credit shall not be construed as a waiver of any Default or Event of Default, regardless of whether any Credit Party may have had notice or knowledge of such Default or Event of Default at the time.</w:t>
      </w:r>
    </w:p>
    <w:p>
      <w:pPr>
        <w:spacing w:after="0" w:line="18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9.04</w:t>
      </w:r>
      <w:r>
        <w:rPr>
          <w:sz w:val="20"/>
          <w:szCs w:val="20"/>
          <w:color w:val="auto"/>
        </w:rPr>
        <w:tab/>
      </w:r>
      <w:r>
        <w:rPr>
          <w:rFonts w:ascii="Arial" w:cs="Arial" w:eastAsia="Arial" w:hAnsi="Arial"/>
          <w:sz w:val="16"/>
          <w:szCs w:val="16"/>
          <w:b w:val="1"/>
          <w:bCs w:val="1"/>
          <w:color w:val="auto"/>
        </w:rPr>
        <w:t>Expenses; Indemnity; Damage Waiver</w:t>
      </w:r>
      <w:r>
        <w:rPr>
          <w:rFonts w:ascii="Arial" w:cs="Arial" w:eastAsia="Arial" w:hAnsi="Arial"/>
          <w:sz w:val="16"/>
          <w:szCs w:val="16"/>
          <w:color w:val="auto"/>
        </w:rPr>
        <w:t>.</w:t>
      </w:r>
    </w:p>
    <w:p>
      <w:pPr>
        <w:spacing w:after="0" w:line="229" w:lineRule="exact"/>
        <w:rPr>
          <w:sz w:val="20"/>
          <w:szCs w:val="20"/>
          <w:color w:val="auto"/>
        </w:rPr>
      </w:pPr>
    </w:p>
    <w:p>
      <w:pPr>
        <w:ind w:left="1960" w:hanging="656"/>
        <w:spacing w:after="0"/>
        <w:tabs>
          <w:tab w:leader="none" w:pos="1960"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all Credit Party Expenses.</w:t>
      </w:r>
    </w:p>
    <w:p>
      <w:pPr>
        <w:spacing w:after="0" w:line="225" w:lineRule="exact"/>
        <w:rPr>
          <w:rFonts w:ascii="Arial" w:cs="Arial" w:eastAsia="Arial" w:hAnsi="Arial"/>
          <w:sz w:val="18"/>
          <w:szCs w:val="18"/>
          <w:color w:val="auto"/>
        </w:rPr>
      </w:pPr>
    </w:p>
    <w:p>
      <w:pPr>
        <w:jc w:val="both"/>
        <w:ind w:left="660" w:firstLine="644"/>
        <w:spacing w:after="0" w:line="282" w:lineRule="auto"/>
        <w:tabs>
          <w:tab w:leader="none" w:pos="1967"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Indemnification by the Loan Parties</w:t>
      </w:r>
      <w:r>
        <w:rPr>
          <w:rFonts w:ascii="Arial" w:cs="Arial" w:eastAsia="Arial" w:hAnsi="Arial"/>
          <w:sz w:val="16"/>
          <w:szCs w:val="16"/>
          <w:color w:val="auto"/>
        </w:rPr>
        <w:t>. The Loan Parties shall indemnify the Lender (and any sub-agent thereof), each other Credit Party,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w:t>
      </w:r>
      <w:r>
        <w:rPr>
          <w:rFonts w:ascii="Arial" w:cs="Arial" w:eastAsia="Arial" w:hAnsi="Arial"/>
          <w:sz w:val="16"/>
          <w:szCs w:val="16"/>
          <w:color w:val="FF0000"/>
          <w:strike w:val="1"/>
        </w:rPr>
        <w:t>(on an after tax basis)</w:t>
      </w:r>
      <w:r>
        <w:rPr>
          <w:rFonts w:ascii="Arial" w:cs="Arial" w:eastAsia="Arial" w:hAnsi="Arial"/>
          <w:sz w:val="16"/>
          <w:szCs w:val="16"/>
          <w:color w:val="auto"/>
        </w:rPr>
        <w:t xml:space="preserve">] from, any and all losses, claims, causes of action, damages, liabilities, settlement payments, costs, and related expenses (including the fees, charges and disbursements of any counsel for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any bank advising or confirming a Letter of Credit and any other Person seeking to enforce the rights of the Borrower, beneficiary, transferee, or assignee or Letter of Credit proceeds or the holder of an instrument or document related to any Letter of Credit), (iii) any actual or alleged presence or release of Hazardous Materials on or from any property owned or operated by any Loan Party or any of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or any Environmental Liability related in any way to any Loan Party or any of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(iv) any claims of, or amounts paid by any Credit Party to, a Blocked Account Bank or other Person which has entered into a control agreement with any Credit Party hereunder, or (v) any actual or prospective claim, litigation, investigation or proceeding relating to any of the foregoing, whether based on contract, tort or any other theory, whether brought by a third party or by the Borrower or any other Loan Party or any of the Loan Parties’ directors, shareholders or creditors, and regardless of whether any Indemnitee is a party thereto, in all cases, whether or not caused by or arising, in whole or in part, out of the comparative, contributory or sole negligence of the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w:t>
      </w:r>
      <w:r>
        <w:rPr>
          <w:rFonts w:ascii="Arial" w:cs="Arial" w:eastAsia="Arial" w:hAnsi="Arial"/>
          <w:sz w:val="16"/>
          <w:szCs w:val="16"/>
          <w:b w:val="1"/>
          <w:bCs w:val="1"/>
          <w:u w:val="single" w:color="auto"/>
          <w:color w:val="0000FF"/>
        </w:rPr>
        <w:t>Paragraph</w:t>
      </w:r>
    </w:p>
    <w:p>
      <w:pPr>
        <w:spacing w:after="0" w:line="10" w:lineRule="exact"/>
        <w:rPr>
          <w:rFonts w:ascii="Arial" w:cs="Arial" w:eastAsia="Arial" w:hAnsi="Arial"/>
          <w:sz w:val="16"/>
          <w:szCs w:val="16"/>
          <w:color w:val="auto"/>
        </w:rPr>
      </w:pPr>
    </w:p>
    <w:p>
      <w:pPr>
        <w:ind w:left="660" w:hanging="4"/>
        <w:spacing w:after="0" w:line="260" w:lineRule="auto"/>
        <w:tabs>
          <w:tab w:leader="none" w:pos="931" w:val="left"/>
        </w:tabs>
        <w:numPr>
          <w:ilvl w:val="0"/>
          <w:numId w:val="159"/>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of this Section shall not apply with respect to Taxes other than any Taxes that represent losses, claims, damages, etc. arising from any non-Tax claim.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120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left="660" w:firstLine="644"/>
        <w:spacing w:after="0" w:line="270" w:lineRule="auto"/>
        <w:tabs>
          <w:tab w:leader="none" w:pos="2236"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Law, the Loan Parties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0" w:lineRule="exact"/>
        <w:rPr>
          <w:rFonts w:ascii="Arial" w:cs="Arial" w:eastAsia="Arial" w:hAnsi="Arial"/>
          <w:sz w:val="17"/>
          <w:szCs w:val="17"/>
          <w:color w:val="auto"/>
        </w:rPr>
      </w:pPr>
    </w:p>
    <w:p>
      <w:pPr>
        <w:ind w:left="2180" w:hanging="876"/>
        <w:spacing w:after="0"/>
        <w:tabs>
          <w:tab w:leader="none" w:pos="218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on demand therefor.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19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Lender and the L/C Issuer, the assignment of any Commitment or Loan by the Lender, the replacement of the Lender, the termination of the Commitment and the repayment, satisfaction or discharge of all the other Obligations.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9.05 Payments Set Aside. </w:t>
      </w:r>
      <w:r>
        <w:rPr>
          <w:rFonts w:ascii="Arial" w:cs="Arial" w:eastAsia="Arial" w:hAnsi="Arial"/>
          <w:sz w:val="17"/>
          <w:szCs w:val="17"/>
          <w:color w:val="auto"/>
        </w:rPr>
        <w:t>To the extent that any payment by or on behalf of the Loan Parties is made to any Credit Party, or any Credit</w:t>
      </w:r>
      <w:r>
        <w:rPr>
          <w:rFonts w:ascii="Arial" w:cs="Arial" w:eastAsia="Arial" w:hAnsi="Arial"/>
          <w:sz w:val="17"/>
          <w:szCs w:val="17"/>
          <w:b w:val="1"/>
          <w:bCs w:val="1"/>
          <w:color w:val="auto"/>
        </w:rPr>
        <w:t xml:space="preserve"> </w:t>
      </w:r>
      <w:r>
        <w:rPr>
          <w:rFonts w:ascii="Arial" w:cs="Arial" w:eastAsia="Arial" w:hAnsi="Arial"/>
          <w:sz w:val="17"/>
          <w:szCs w:val="17"/>
          <w:color w:val="auto"/>
        </w:rPr>
        <w:t>Party exercises its right of setoff, and such payment or the proceeds of such setoff or any part thereof is subsequently invalidated, declared to be fraudulent or preferential, set aside or required (including pursuant to any settlement entered into by such Credit Party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the L/C Issuer agrees to pay to the Lender upon demand (without duplication) of any amount so recovered from or repaid by the Lender, plus interest thereon from the date of such demand to the date such payment is made at a rate per annum equal to the Federal Funds Rate from time to time in effect. The obligations of the L/C Issuer under clause (b) of the preceding sentence shall survive the payment in full of the Obligations and the termination of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121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1" w:name="page142"/>
    <w:bookmarkEnd w:id="141"/>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9.06</w:t>
      </w:r>
      <w:r>
        <w:rPr>
          <w:sz w:val="20"/>
          <w:szCs w:val="20"/>
          <w:color w:val="auto"/>
        </w:rPr>
        <w:tab/>
      </w:r>
      <w:r>
        <w:rPr>
          <w:rFonts w:ascii="Arial" w:cs="Arial" w:eastAsia="Arial" w:hAnsi="Arial"/>
          <w:sz w:val="15"/>
          <w:szCs w:val="15"/>
          <w:b w:val="1"/>
          <w:bCs w:val="1"/>
          <w:color w:val="auto"/>
        </w:rPr>
        <w:t>Successors and Assigns</w:t>
      </w:r>
      <w:r>
        <w:rPr>
          <w:rFonts w:ascii="Arial" w:cs="Arial" w:eastAsia="Arial" w:hAnsi="Arial"/>
          <w:sz w:val="15"/>
          <w:szCs w:val="15"/>
          <w:color w:val="auto"/>
        </w:rPr>
        <w:t>.</w:t>
      </w:r>
    </w:p>
    <w:p>
      <w:pPr>
        <w:spacing w:after="0" w:line="229" w:lineRule="exact"/>
        <w:rPr>
          <w:sz w:val="20"/>
          <w:szCs w:val="20"/>
          <w:color w:val="auto"/>
        </w:rPr>
      </w:pPr>
    </w:p>
    <w:p>
      <w:pPr>
        <w:jc w:val="both"/>
        <w:ind w:firstLine="644"/>
        <w:spacing w:after="0" w:line="289" w:lineRule="auto"/>
        <w:tabs>
          <w:tab w:leader="none" w:pos="161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color w:val="FF0000"/>
          <w:strike w:val="1"/>
        </w:rPr>
        <w:t>(a)</w:t>
      </w:r>
      <w:r>
        <w:rPr>
          <w:rFonts w:ascii="Arial" w:cs="Arial" w:eastAsia="Arial" w:hAnsi="Arial"/>
          <w:sz w:val="16"/>
          <w:szCs w:val="16"/>
          <w:color w:val="auto"/>
        </w:rPr>
        <w:t xml:space="preserve"> ]</w:t>
      </w: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or under any other Loan Document without the prior written consent of the Lender and no Lender may assign or otherwise transfer any of its rights or obligations hereunder except (i) to an Eligible Assignee, (ii) by way of participation in accordance with the provisions of subsection </w:t>
      </w:r>
      <w:r>
        <w:rPr>
          <w:rFonts w:ascii="Arial" w:cs="Arial" w:eastAsia="Arial" w:hAnsi="Arial"/>
          <w:sz w:val="16"/>
          <w:szCs w:val="16"/>
          <w:u w:val="single" w:color="auto"/>
          <w:color w:val="auto"/>
        </w:rPr>
        <w:t>Section 9.06(c)</w:t>
      </w:r>
      <w:r>
        <w:rPr>
          <w:rFonts w:ascii="Arial" w:cs="Arial" w:eastAsia="Arial" w:hAnsi="Arial"/>
          <w:sz w:val="16"/>
          <w:szCs w:val="16"/>
          <w:color w:val="auto"/>
        </w:rPr>
        <w:t xml:space="preserve">, or (iii) by way of pledge or assignment of a security interest subject to the restrictions of </w:t>
      </w:r>
      <w:r>
        <w:rPr>
          <w:rFonts w:ascii="Arial" w:cs="Arial" w:eastAsia="Arial" w:hAnsi="Arial"/>
          <w:sz w:val="16"/>
          <w:szCs w:val="16"/>
          <w:u w:val="single" w:color="auto"/>
          <w:color w:val="auto"/>
        </w:rPr>
        <w:t>Section 9.06(e)</w:t>
      </w:r>
      <w:r>
        <w:rPr>
          <w:rFonts w:ascii="Arial" w:cs="Arial" w:eastAsia="Arial" w:hAnsi="Arial"/>
          <w:sz w:val="16"/>
          <w:szCs w:val="16"/>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(c) of this Section and, to the extent expressly contemplated hereby, the Related Parties of each of the Credit Parties) any legal or equitable right, remedy or claim under or by reason of this Agreement.</w:t>
      </w:r>
    </w:p>
    <w:p>
      <w:pPr>
        <w:spacing w:after="0" w:line="166" w:lineRule="exact"/>
        <w:rPr>
          <w:rFonts w:ascii="Arial" w:cs="Arial" w:eastAsia="Arial" w:hAnsi="Arial"/>
          <w:sz w:val="16"/>
          <w:szCs w:val="16"/>
          <w:color w:val="auto"/>
        </w:rPr>
      </w:pPr>
    </w:p>
    <w:p>
      <w:pPr>
        <w:jc w:val="both"/>
        <w:ind w:firstLine="644"/>
        <w:spacing w:after="0" w:line="288" w:lineRule="auto"/>
        <w:tabs>
          <w:tab w:leader="none" w:pos="1640"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Assignments by Lender</w:t>
      </w:r>
      <w:r>
        <w:rPr>
          <w:rFonts w:ascii="Arial" w:cs="Arial" w:eastAsia="Arial" w:hAnsi="Arial"/>
          <w:sz w:val="16"/>
          <w:szCs w:val="16"/>
          <w:color w:val="auto"/>
        </w:rPr>
        <w:t xml:space="preserve">. The parties to any assignment by the Lender hereunder shall execute and deliver to the Lender an Assignment and Assumption.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the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9.04</w:t>
      </w:r>
      <w:r>
        <w:rPr>
          <w:rFonts w:ascii="Arial" w:cs="Arial" w:eastAsia="Arial" w:hAnsi="Arial"/>
          <w:sz w:val="16"/>
          <w:szCs w:val="16"/>
          <w:color w:val="auto"/>
        </w:rPr>
        <w:t xml:space="preserve"> with respect to facts and circumstances occurring prior to the effective date of such assignment. Upon request, the Borrower (at its expense) shall execute and deliver a Note to the assignee Lender. Any assignment or transfer by the Lender of rights or obligations under this Agreement that does not comply with this subsection shall be treated for purposes of this Agreement as a sale by the Lender of a participation in such rights and obligations in accordance with </w:t>
      </w:r>
      <w:r>
        <w:rPr>
          <w:rFonts w:ascii="Arial" w:cs="Arial" w:eastAsia="Arial" w:hAnsi="Arial"/>
          <w:sz w:val="16"/>
          <w:szCs w:val="16"/>
          <w:u w:val="single" w:color="auto"/>
          <w:color w:val="auto"/>
        </w:rPr>
        <w:t>Section 9.06(c)</w:t>
      </w:r>
      <w:r>
        <w:rPr>
          <w:rFonts w:ascii="Arial" w:cs="Arial" w:eastAsia="Arial" w:hAnsi="Arial"/>
          <w:sz w:val="16"/>
          <w:szCs w:val="16"/>
          <w:color w:val="auto"/>
        </w:rPr>
        <w:t>.</w:t>
      </w:r>
    </w:p>
    <w:p>
      <w:pPr>
        <w:spacing w:after="0" w:line="16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122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ind w:left="2260" w:hanging="956"/>
        <w:spacing w:after="0"/>
        <w:tabs>
          <w:tab w:leader="none" w:pos="2260"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The Lender may at any time[</w:t>
      </w:r>
      <w:r>
        <w:rPr>
          <w:rFonts w:ascii="Arial" w:cs="Arial" w:eastAsia="Arial" w:hAnsi="Arial"/>
          <w:sz w:val="16"/>
          <w:szCs w:val="16"/>
          <w:color w:val="FF0000"/>
          <w:strike w:val="1"/>
        </w:rPr>
        <w:t>, without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(with</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0000FF"/>
        </w:rPr>
        <w:t>Borrower’s prior written</w:t>
      </w:r>
      <w:r>
        <w:rPr>
          <w:rFonts w:ascii="Arial" w:cs="Arial" w:eastAsia="Arial" w:hAnsi="Arial"/>
          <w:sz w:val="16"/>
          <w:szCs w:val="16"/>
          <w:color w:val="auto"/>
        </w:rPr>
        <w:t xml:space="preserve"> consent [</w:t>
      </w:r>
      <w:r>
        <w:rPr>
          <w:rFonts w:ascii="Arial" w:cs="Arial" w:eastAsia="Arial" w:hAnsi="Arial"/>
          <w:sz w:val="16"/>
          <w:szCs w:val="16"/>
          <w:color w:val="FF0000"/>
          <w:strike w:val="1"/>
        </w:rPr>
        <w:t>of,</w:t>
      </w:r>
      <w:r>
        <w:rPr>
          <w:rFonts w:ascii="Arial" w:cs="Arial" w:eastAsia="Arial" w:hAnsi="Arial"/>
          <w:sz w:val="16"/>
          <w:szCs w:val="16"/>
          <w:color w:val="auto"/>
        </w:rPr>
        <w:t>]</w:t>
      </w:r>
      <w:r>
        <w:rPr>
          <w:rFonts w:ascii="Arial" w:cs="Arial" w:eastAsia="Arial" w:hAnsi="Arial"/>
          <w:sz w:val="16"/>
          <w:szCs w:val="16"/>
          <w:b w:val="1"/>
          <w:bCs w:val="1"/>
          <w:u w:val="single" w:color="auto"/>
          <w:color w:val="0000FF"/>
        </w:rPr>
        <w:t>which shall not be</w:t>
      </w:r>
    </w:p>
    <w:p>
      <w:pPr>
        <w:spacing w:after="0" w:line="50" w:lineRule="exact"/>
        <w:rPr>
          <w:rFonts w:ascii="Arial" w:cs="Arial" w:eastAsia="Arial" w:hAnsi="Arial"/>
          <w:sz w:val="16"/>
          <w:szCs w:val="16"/>
          <w:color w:val="auto"/>
        </w:rPr>
      </w:pPr>
    </w:p>
    <w:p>
      <w:pPr>
        <w:jc w:val="both"/>
        <w:ind w:left="660" w:hanging="4"/>
        <w:spacing w:after="0" w:line="281" w:lineRule="auto"/>
        <w:tabs>
          <w:tab w:leader="none" w:pos="906" w:val="left"/>
        </w:tabs>
        <w:numPr>
          <w:ilvl w:val="0"/>
          <w:numId w:val="163"/>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unreasonably withheld, conditioned</w:t>
      </w:r>
      <w:r>
        <w:rPr>
          <w:rFonts w:ascii="Arial" w:cs="Arial" w:eastAsia="Arial" w:hAnsi="Arial"/>
          <w:sz w:val="16"/>
          <w:szCs w:val="16"/>
          <w:b w:val="1"/>
          <w:bCs w:val="1"/>
          <w:color w:val="0000FF"/>
        </w:rPr>
        <w:t xml:space="preserve"> </w:t>
      </w:r>
      <w:r>
        <w:rPr>
          <w:rFonts w:ascii="Arial" w:cs="Arial" w:eastAsia="Arial" w:hAnsi="Arial"/>
          <w:sz w:val="16"/>
          <w:szCs w:val="16"/>
          <w:color w:val="000000"/>
        </w:rPr>
        <w:t>or</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delayed or (ii) required during the continuance of an Event of Default; provided that the</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Borrower shall be deemed to have consented unless it shall have objected thereto by written</w:t>
      </w:r>
      <w:r>
        <w:rPr>
          <w:rFonts w:ascii="Arial" w:cs="Arial" w:eastAsia="Arial" w:hAnsi="Arial"/>
          <w:sz w:val="16"/>
          <w:szCs w:val="16"/>
          <w:b w:val="1"/>
          <w:bCs w:val="1"/>
          <w:color w:val="0000FF"/>
        </w:rPr>
        <w:t xml:space="preserve"> </w:t>
      </w:r>
      <w:r>
        <w:rPr>
          <w:rFonts w:ascii="Arial" w:cs="Arial" w:eastAsia="Arial" w:hAnsi="Arial"/>
          <w:sz w:val="16"/>
          <w:szCs w:val="16"/>
          <w:color w:val="000000"/>
        </w:rPr>
        <w:t>notice to[</w:t>
      </w:r>
      <w:r>
        <w:rPr>
          <w:rFonts w:ascii="Arial" w:cs="Arial" w:eastAsia="Arial" w:hAnsi="Arial"/>
          <w:sz w:val="16"/>
          <w:szCs w:val="16"/>
          <w:color w:val="FF0000"/>
          <w:strike w:val="1"/>
        </w:rPr>
        <w:t>,</w:t>
      </w:r>
      <w:r>
        <w:rPr>
          <w:rFonts w:ascii="Arial" w:cs="Arial" w:eastAsia="Arial" w:hAnsi="Arial"/>
          <w:sz w:val="16"/>
          <w:szCs w:val="16"/>
          <w:color w:val="000000"/>
        </w:rPr>
        <w:t>] the [</w:t>
      </w:r>
      <w:r>
        <w:rPr>
          <w:rFonts w:ascii="Arial" w:cs="Arial" w:eastAsia="Arial" w:hAnsi="Arial"/>
          <w:sz w:val="16"/>
          <w:szCs w:val="16"/>
          <w:color w:val="FF0000"/>
          <w:strike w:val="1"/>
        </w:rPr>
        <w:t>Loan Parties,</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Lender within</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ten (10) Business Days after having received notice of a failure to respond to such request for consent)</w:t>
      </w:r>
      <w:r>
        <w:rPr>
          <w:rFonts w:ascii="Arial" w:cs="Arial" w:eastAsia="Arial" w:hAnsi="Arial"/>
          <w:sz w:val="16"/>
          <w:szCs w:val="16"/>
          <w:b w:val="1"/>
          <w:bCs w:val="1"/>
          <w:color w:val="0000FF"/>
        </w:rPr>
        <w:t xml:space="preserve"> </w:t>
      </w:r>
      <w:r>
        <w:rPr>
          <w:rFonts w:ascii="Arial" w:cs="Arial" w:eastAsia="Arial" w:hAnsi="Arial"/>
          <w:sz w:val="16"/>
          <w:szCs w:val="16"/>
          <w:color w:val="000000"/>
        </w:rPr>
        <w:t>sell participations to any Person</w:t>
      </w:r>
      <w:r>
        <w:rPr>
          <w:rFonts w:ascii="Arial" w:cs="Arial" w:eastAsia="Arial" w:hAnsi="Arial"/>
          <w:sz w:val="16"/>
          <w:szCs w:val="16"/>
          <w:b w:val="1"/>
          <w:bCs w:val="1"/>
          <w:color w:val="0000FF"/>
        </w:rPr>
        <w:t xml:space="preserve"> </w:t>
      </w:r>
      <w:r>
        <w:rPr>
          <w:rFonts w:ascii="Arial" w:cs="Arial" w:eastAsia="Arial" w:hAnsi="Arial"/>
          <w:sz w:val="16"/>
          <w:szCs w:val="16"/>
          <w:color w:val="000000"/>
        </w:rPr>
        <w:t>(other than a natural person or the Loan Parties or any of the Loan Parties’ Affiliates or Subsidiaries) (each, a “</w:t>
      </w:r>
      <w:r>
        <w:rPr>
          <w:rFonts w:ascii="Arial" w:cs="Arial" w:eastAsia="Arial" w:hAnsi="Arial"/>
          <w:sz w:val="16"/>
          <w:szCs w:val="16"/>
          <w:u w:val="single" w:color="auto"/>
          <w:color w:val="000000"/>
        </w:rPr>
        <w:t>Participant</w:t>
      </w:r>
      <w:r>
        <w:rPr>
          <w:rFonts w:ascii="Arial" w:cs="Arial" w:eastAsia="Arial" w:hAnsi="Arial"/>
          <w:sz w:val="16"/>
          <w:szCs w:val="16"/>
          <w:color w:val="000000"/>
        </w:rPr>
        <w:t xml:space="preserve">”) in all or a portion of the Lender’s rights and/or obligations under this Agreement (including all or a portion of its Commitment and/or the Loans (including the Lender’s participations in L/C Obligations) owing to it);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the Lender’s obligations under this Agreement shall remain unchanged,</w:t>
      </w:r>
    </w:p>
    <w:p>
      <w:pPr>
        <w:spacing w:after="0" w:line="3" w:lineRule="exact"/>
        <w:rPr>
          <w:rFonts w:ascii="Arial" w:cs="Arial" w:eastAsia="Arial" w:hAnsi="Arial"/>
          <w:sz w:val="16"/>
          <w:szCs w:val="16"/>
          <w:b w:val="1"/>
          <w:bCs w:val="1"/>
          <w:u w:val="single" w:color="auto"/>
          <w:color w:val="0000FF"/>
        </w:rPr>
      </w:pPr>
    </w:p>
    <w:p>
      <w:pPr>
        <w:jc w:val="both"/>
        <w:ind w:left="660" w:hanging="4"/>
        <w:spacing w:after="0" w:line="253" w:lineRule="auto"/>
        <w:tabs>
          <w:tab w:leader="none" w:pos="92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Lender shall remain solely responsible to the other parties hereto for the performance of such obligations and (iii) the Loan Parties and the L/C Issuer shall continue to deal solely and directly with the Lender in connection with the Lender’s rights and obligations under this Agreement. Any Participant shall agree in writing to comply with all confidentiality obligations set forth in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as if such Participant was the Lender hereunder.</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Any agreement or instrument pursuant to which the Lender sells such a participation shall provide that the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the Lender will not, without the consent of the Participant, agree to any amendment, waiver or other modification that affects such Participant disproportionately to the Lender. Subject to subsection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the Loan Parties agree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3.05 to the same extent as if it were the Lender and had acquired its interest by assignment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9.06(b)</w:t>
      </w:r>
      <w:r>
        <w:rPr>
          <w:rFonts w:ascii="Arial" w:cs="Arial" w:eastAsia="Arial" w:hAnsi="Arial"/>
          <w:sz w:val="18"/>
          <w:szCs w:val="18"/>
          <w:color w:val="auto"/>
        </w:rPr>
        <w:t>.</w:t>
      </w:r>
    </w:p>
    <w:p>
      <w:pPr>
        <w:spacing w:after="0" w:line="192" w:lineRule="exact"/>
        <w:rPr>
          <w:sz w:val="20"/>
          <w:szCs w:val="20"/>
          <w:color w:val="auto"/>
        </w:rPr>
      </w:pPr>
    </w:p>
    <w:p>
      <w:pPr>
        <w:jc w:val="both"/>
        <w:ind w:left="660" w:firstLine="644"/>
        <w:spacing w:after="0" w:line="263" w:lineRule="auto"/>
        <w:tabs>
          <w:tab w:leader="none" w:pos="2233"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Lender would have been entitled to receive with respect to the participation sold to such Participant, unless the sale of the participation to such Participant is made with the Borrower’s prior written consent.</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221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The Lender may at any time pledge or assign a security interest in all or any portion of its rights under this Agreement (including under its Note, if any) to secure obligations of the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the Lender from any of its obligations hereunder or substitute any such pledgee or assignee for the Lender as a party hereto.</w:t>
      </w:r>
    </w:p>
    <w:p>
      <w:pPr>
        <w:spacing w:after="0" w:line="186" w:lineRule="exact"/>
        <w:rPr>
          <w:rFonts w:ascii="Arial" w:cs="Arial" w:eastAsia="Arial" w:hAnsi="Arial"/>
          <w:sz w:val="18"/>
          <w:szCs w:val="18"/>
          <w:color w:val="auto"/>
        </w:rPr>
      </w:pPr>
    </w:p>
    <w:p>
      <w:pPr>
        <w:jc w:val="both"/>
        <w:ind w:left="660" w:firstLine="644"/>
        <w:spacing w:after="0" w:line="296" w:lineRule="auto"/>
        <w:tabs>
          <w:tab w:leader="none" w:pos="2518"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Electronic Execution of Assignments</w:t>
      </w:r>
      <w:r>
        <w:rPr>
          <w:rFonts w:ascii="Arial" w:cs="Arial" w:eastAsia="Arial" w:hAnsi="Arial"/>
          <w:sz w:val="16"/>
          <w:szCs w:val="16"/>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Law, including the Federal Electronic Signatures in Global and National Commerce Act, the New York State Electronic Signatures and Records Act, or any other similar state laws based on the Uniform Electronic Transactions Act.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123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9.07 Treatment of Certain Information; Confidentiality. </w:t>
      </w:r>
      <w:r>
        <w:rPr>
          <w:rFonts w:ascii="Arial" w:cs="Arial" w:eastAsia="Arial" w:hAnsi="Arial"/>
          <w:sz w:val="17"/>
          <w:szCs w:val="17"/>
          <w:color w:val="auto"/>
        </w:rPr>
        <w:t>Each of the Credit Parties agrees to maintain the confidentiality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(as defined below), except that Information may be disclosed (a) to its Affiliates, Approved Funds, and to its and its Affiliates’ and Approved Funds’ respective partners, directors, officers, employees, agents, funding sources, attorneys, advisors and representatives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(including any self-regulatory authority such as the National Association of Insurance Commissioners), (c) to the extent required by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Contract relating to any Loan Party and its obligations, (g) with the consent of the Borrower or (h) to the extent such Information (x) becomes publicly available other than as a result of a breach of this Section or (y) becomes available to any Credit Party or any of their respective Affiliates on a non-confidential basis from a source other than the Loan Parties.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For purposes of this Section, “Information” means all information received from the Loan Parties or any Subsidiary thereof relating to the Loan Parties or any Subsidiary thereof or their respective businesses, other than any such information that is available to any Credit Party on a non-confidential basis prior to disclosure by the Loan Parties or any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any Loan Party or any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the Credit Parties acknowledges that (a) the Information may include material non-public information concerning the Loan Parties or a Subsidiary, as the case may be, (b) it has developed compliance procedures regarding the use of material non-public information and (c) it will handle such material non-public information in accordance with Law, including federal and state securities Laws.</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9.08 Right of Setoff. </w:t>
      </w:r>
      <w:r>
        <w:rPr>
          <w:rFonts w:ascii="Arial" w:cs="Arial" w:eastAsia="Arial" w:hAnsi="Arial"/>
          <w:sz w:val="16"/>
          <w:szCs w:val="16"/>
          <w:color w:val="auto"/>
        </w:rPr>
        <w:t>If an Event of Default shall have occurred and be continuing or if the Lender shall have been served with a trustee</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or similar attachment relating to property of a Loan Party, the Lender, the L/C Issuer and each of their respective Affiliates is hereby authorized at any time and from time to time to the fullest extent permitted by Law, to set off and apply any and all deposits (general or special, time or demand, provisional or final, in whatever currency) or other property at any time held and other obligations (in whatever currency) at any time owing by the Lender, the L/C Issuer or any such Affiliate to or for the credit or the account of the Borrower or any other Loan Party against any and all of the Obligations [</w:t>
      </w:r>
      <w:r>
        <w:rPr>
          <w:rFonts w:ascii="Arial" w:cs="Arial" w:eastAsia="Arial" w:hAnsi="Arial"/>
          <w:sz w:val="16"/>
          <w:szCs w:val="16"/>
          <w:color w:val="FF0000"/>
          <w:strike w:val="1"/>
        </w:rPr>
        <w:t>now</w:t>
      </w:r>
      <w:r>
        <w:rPr>
          <w:rFonts w:ascii="Arial" w:cs="Arial" w:eastAsia="Arial" w:hAnsi="Arial"/>
          <w:sz w:val="16"/>
          <w:szCs w:val="16"/>
          <w:color w:val="auto"/>
        </w:rPr>
        <w:t xml:space="preserve"> </w:t>
      </w:r>
      <w:r>
        <w:rPr>
          <w:rFonts w:ascii="Arial" w:cs="Arial" w:eastAsia="Arial" w:hAnsi="Arial"/>
          <w:sz w:val="16"/>
          <w:szCs w:val="16"/>
          <w:color w:val="FF0000"/>
          <w:strike w:val="1"/>
        </w:rPr>
        <w:t>or hereafter existing</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then due and payable</w:t>
      </w:r>
      <w:r>
        <w:rPr>
          <w:rFonts w:ascii="Arial" w:cs="Arial" w:eastAsia="Arial" w:hAnsi="Arial"/>
          <w:sz w:val="16"/>
          <w:szCs w:val="16"/>
          <w:color w:val="FF0000"/>
        </w:rPr>
        <w:t xml:space="preserve"> </w:t>
      </w:r>
      <w:r>
        <w:rPr>
          <w:rFonts w:ascii="Arial" w:cs="Arial" w:eastAsia="Arial" w:hAnsi="Arial"/>
          <w:sz w:val="16"/>
          <w:szCs w:val="16"/>
          <w:color w:val="000000"/>
        </w:rPr>
        <w:t>under this Agreement or any other Loan Document to the Lender or the L/C Issuer, regardless of the adequacy</w:t>
      </w:r>
      <w:r>
        <w:rPr>
          <w:rFonts w:ascii="Arial" w:cs="Arial" w:eastAsia="Arial" w:hAnsi="Arial"/>
          <w:sz w:val="16"/>
          <w:szCs w:val="16"/>
          <w:color w:val="FF0000"/>
        </w:rPr>
        <w:t xml:space="preserve"> </w:t>
      </w:r>
      <w:r>
        <w:rPr>
          <w:rFonts w:ascii="Arial" w:cs="Arial" w:eastAsia="Arial" w:hAnsi="Arial"/>
          <w:sz w:val="16"/>
          <w:szCs w:val="16"/>
          <w:color w:val="000000"/>
        </w:rPr>
        <w:t xml:space="preserve">of the Collateral, and irrespective of whether or not the Lender or the L/C Issuer shall have made any demand under this Agreement or any other Loan Document and although such obligations of the Borrower or such Loan Party may be[ </w:t>
      </w:r>
      <w:r>
        <w:rPr>
          <w:rFonts w:ascii="Arial" w:cs="Arial" w:eastAsia="Arial" w:hAnsi="Arial"/>
          <w:sz w:val="16"/>
          <w:szCs w:val="16"/>
          <w:color w:val="FF0000"/>
          <w:strike w:val="1"/>
        </w:rPr>
        <w:t>contingent or unmatured or are</w:t>
      </w:r>
      <w:r>
        <w:rPr>
          <w:rFonts w:ascii="Arial" w:cs="Arial" w:eastAsia="Arial" w:hAnsi="Arial"/>
          <w:sz w:val="16"/>
          <w:szCs w:val="16"/>
          <w:color w:val="000000"/>
        </w:rPr>
        <w:t xml:space="preserve">] owed to a branch or office of the Lender or the L/C Issuer different from the branch or office holding such deposit or obligated on such indebtedness. The rights of the Lender, the L/C Issuer and their respective Affiliates under this Section are in addition to other rights and remedies (including other rights of setoff) that the Lender, the L/C Issuer or their respective Affiliates may have. The Lender and the L/C Issuer agrees to notify the Borrower promptly after any such setoff and application,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failure to give such notice shall not affect the validity of such setoff and application.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124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9.09 Interest Rate Limitation. </w:t>
      </w:r>
      <w:r>
        <w:rPr>
          <w:rFonts w:ascii="Arial" w:cs="Arial" w:eastAsia="Arial" w:hAnsi="Arial"/>
          <w:sz w:val="17"/>
          <w:szCs w:val="17"/>
          <w:color w:val="auto"/>
        </w:rPr>
        <w:t>Notwithstanding anything to the contrary contained in any Loan Document, the interest paid or agreed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paid under the Loan Documents shall not exceed the maximum rate of non-usurious interest permitted by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the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Lender exceeds the Maximum Rate, such Person may, to the extent permitted by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9.10 Counterparts; Integration; Effectiveness. </w:t>
      </w:r>
      <w:r>
        <w:rPr>
          <w:rFonts w:ascii="Arial" w:cs="Arial" w:eastAsia="Arial" w:hAnsi="Arial"/>
          <w:sz w:val="17"/>
          <w:szCs w:val="17"/>
          <w:color w:val="auto"/>
        </w:rPr>
        <w:t>This Agreement may be executed in counterparts (and by different parties hereto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Lender and when the Lender shall have received counterparts hereof that, when taken together, bear the signatures of each of the other parties hereto. Delivery of an executed counterpart of a signature page of this Agreement by telecopy, pdf or other electronic transmission shall be as effective as delivery of a manually executed counterpart of this Agreement.</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9.11 Survival. </w:t>
      </w:r>
      <w:r>
        <w:rPr>
          <w:rFonts w:ascii="Arial" w:cs="Arial" w:eastAsia="Arial" w:hAnsi="Arial"/>
          <w:sz w:val="17"/>
          <w:szCs w:val="17"/>
          <w:color w:val="auto"/>
        </w:rPr>
        <w:t>All representations and warranties made hereunder and in any other Loan Document or other document delivered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hereto or thereto or in connection herewith or therewith shall survive the execution and delivery hereof and thereof. Such representations and warranties have been or will be relied upon by the Credit Parties, regardless of any investigation made by any Credit Party or on their behalf and notwithstanding that any Credit Party may have had notice or knowledge of any Default or Event of Default at the time of any Credit Extension, and shall continue in full force and effect as long as any Loan or any other Obligation hereunder shall remain unpaid or unsatisfied or any Letter of Credit shall remain outstanding. Further, the provisions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3.04,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9.04 shall survive and remain in full force and effect regardless of the repayment of the Obligations, the expiration or termination of the Letters of Credit and the Commitments or the termination of this Agreement or any provision hereof. In connection with the termination of this Agreement and the release and termination of the security interests in the Collateral, the Lender may require such indemnities and collateral security as they shall reasonably deem necessary or appropriate to protect the Credit Parties against (x) loss on account of credits previously applied to the Obligations that may subsequently be reversed or revoked, (y) any obligations that may thereafter arise with respect to the Other Liabilities, and (z) any Obligations that may thereafter arise under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125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9.12 Severability. </w:t>
      </w:r>
      <w:r>
        <w:rPr>
          <w:rFonts w:ascii="Arial" w:cs="Arial" w:eastAsia="Arial" w:hAnsi="Arial"/>
          <w:sz w:val="18"/>
          <w:szCs w:val="18"/>
          <w:color w:val="auto"/>
        </w:rPr>
        <w:t>If any provision of this Agreement or the other Loan Documents is held to be illegal, invalid or unenforceable, (a) the</w:t>
      </w:r>
      <w:r>
        <w:rPr>
          <w:rFonts w:ascii="Arial" w:cs="Arial" w:eastAsia="Arial" w:hAnsi="Arial"/>
          <w:sz w:val="18"/>
          <w:szCs w:val="18"/>
          <w:b w:val="1"/>
          <w:bCs w:val="1"/>
          <w:color w:val="auto"/>
        </w:rPr>
        <w:t xml:space="preserve"> </w:t>
      </w:r>
      <w:r>
        <w:rPr>
          <w:rFonts w:ascii="Arial" w:cs="Arial" w:eastAsia="Arial" w:hAnsi="Arial"/>
          <w:sz w:val="18"/>
          <w:szCs w:val="18"/>
          <w:color w:val="auto"/>
        </w:rPr>
        <w:t>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6"/>
          <w:szCs w:val="16"/>
          <w:b w:val="1"/>
          <w:bCs w:val="1"/>
          <w:color w:val="auto"/>
        </w:rPr>
        <w:t>Governing Law; Jurisdiction; Etc</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57" w:lineRule="auto"/>
        <w:tabs>
          <w:tab w:leader="none" w:pos="2758"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7" w:lineRule="exact"/>
        <w:rPr>
          <w:rFonts w:ascii="Arial" w:cs="Arial" w:eastAsia="Arial" w:hAnsi="Arial"/>
          <w:sz w:val="18"/>
          <w:szCs w:val="18"/>
          <w:color w:val="auto"/>
        </w:rPr>
      </w:pPr>
    </w:p>
    <w:p>
      <w:pPr>
        <w:jc w:val="both"/>
        <w:ind w:left="660" w:firstLine="644"/>
        <w:spacing w:after="0" w:line="268" w:lineRule="auto"/>
        <w:tabs>
          <w:tab w:leader="none" w:pos="2296"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BORROWER AND EACH OTHER LOAN PARTY IRREVOCABLY AND UNCONDITIONALLY AGREES THAT IT WILL NOT COMMENCE ANY ACTION, LITIGATION OR PROCEEDING OF ANY KIND OR DESCRIPTION, WHETHER IN LAW OR EQUITY, WHETHER IN CONTRACT OR IN TORT OR OTHERWISE, AGAINST THE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CREDIT PARTY MAY OTHERWISE HAVE TO BRING ANY ACTION OR PROCEEDING RELATING TO THIS AGREEMENT OR ANY OTHER LOAN DOCUMENT AGAINST THE BORROWER OR ANY OTHER LOAN PARTY OR ITS PROPERTIES IN THE COURTS OF ANY JURISDICTION.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126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tbl>
      <w:tblPr>
        <w:tblLayout w:type="fixed"/>
        <w:tblInd w:w="1300" w:type="dxa"/>
        <w:tblCellMar>
          <w:top w:w="0" w:type="dxa"/>
          <w:left w:w="0" w:type="dxa"/>
          <w:bottom w:w="0" w:type="dxa"/>
          <w:right w:w="0" w:type="dxa"/>
        </w:tblCellMar>
      </w:tblPr>
      <w:tr>
        <w:trPr>
          <w:trHeight w:val="20"/>
        </w:trPr>
        <w:tc>
          <w:tcPr>
            <w:tcW w:w="164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FF0000"/>
                <w:strike w:val="1"/>
                <w:w w:val="97"/>
              </w:rPr>
              <w:t>TABLE OF CONTENTS</w:t>
            </w:r>
          </w:p>
        </w:tc>
        <w:tc>
          <w:tcPr>
            <w:tcW w:w="4120" w:type="dxa"/>
            <w:vAlign w:val="bottom"/>
            <w:vMerge w:val="restart"/>
          </w:tcPr>
          <w:p>
            <w:pPr>
              <w:jc w:val="right"/>
              <w:ind w:right="3976"/>
              <w:spacing w:after="0"/>
              <w:rPr>
                <w:sz w:val="20"/>
                <w:szCs w:val="20"/>
                <w:color w:val="auto"/>
              </w:rPr>
            </w:pPr>
            <w:r>
              <w:rPr>
                <w:rFonts w:ascii="Arial" w:cs="Arial" w:eastAsia="Arial" w:hAnsi="Arial"/>
                <w:sz w:val="16"/>
                <w:szCs w:val="16"/>
                <w:b w:val="1"/>
                <w:bCs w:val="1"/>
                <w:color w:val="auto"/>
                <w:w w:val="74"/>
              </w:rPr>
              <w:t>]</w:t>
            </w:r>
          </w:p>
        </w:tc>
        <w:tc>
          <w:tcPr>
            <w:tcW w:w="3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64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41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FF0000"/>
                <w:strike w:val="1"/>
                <w:w w:val="93"/>
              </w:rPr>
              <w:t>(continued)</w:t>
            </w:r>
          </w:p>
        </w:tc>
        <w:tc>
          <w:tcPr>
            <w:tcW w:w="4660" w:type="dxa"/>
            <w:vAlign w:val="bottom"/>
            <w:gridSpan w:val="2"/>
          </w:tcPr>
          <w:p>
            <w:pPr>
              <w:jc w:val="right"/>
              <w:ind w:right="4516"/>
              <w:spacing w:after="0"/>
              <w:rPr>
                <w:sz w:val="20"/>
                <w:szCs w:val="20"/>
                <w:color w:val="auto"/>
              </w:rPr>
            </w:pPr>
            <w:r>
              <w:rPr>
                <w:rFonts w:ascii="Arial" w:cs="Arial" w:eastAsia="Arial" w:hAnsi="Arial"/>
                <w:sz w:val="18"/>
                <w:szCs w:val="18"/>
                <w:color w:val="auto"/>
                <w:w w:val="78"/>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r>
              <w:rPr>
                <w:rFonts w:ascii="Arial" w:cs="Arial" w:eastAsia="Arial" w:hAnsi="Arial"/>
                <w:sz w:val="18"/>
                <w:szCs w:val="18"/>
                <w:b w:val="1"/>
                <w:bCs w:val="1"/>
                <w:color w:val="FF0000"/>
                <w:strike w:val="1"/>
                <w:w w:val="83"/>
              </w:rPr>
              <w:t>Page</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392"/>
        </w:trPr>
        <w:tc>
          <w:tcPr>
            <w:tcW w:w="1640" w:type="dxa"/>
            <w:vAlign w:val="bottom"/>
          </w:tcPr>
          <w:p>
            <w:pPr>
              <w:spacing w:after="0"/>
              <w:rPr>
                <w:sz w:val="20"/>
                <w:szCs w:val="20"/>
                <w:color w:val="auto"/>
              </w:rPr>
            </w:pPr>
            <w:r>
              <w:rPr>
                <w:rFonts w:ascii="Arial" w:cs="Arial" w:eastAsia="Arial" w:hAnsi="Arial"/>
                <w:sz w:val="18"/>
                <w:szCs w:val="18"/>
                <w:color w:val="auto"/>
              </w:rPr>
              <w:t>(c)</w:t>
            </w:r>
          </w:p>
        </w:tc>
        <w:tc>
          <w:tcPr>
            <w:tcW w:w="8300" w:type="dxa"/>
            <w:vAlign w:val="bottom"/>
            <w:gridSpan w:val="7"/>
          </w:tcPr>
          <w:p>
            <w:pPr>
              <w:jc w:val="right"/>
              <w:spacing w:after="0"/>
              <w:rPr>
                <w:sz w:val="20"/>
                <w:szCs w:val="20"/>
                <w:color w:val="auto"/>
              </w:rPr>
            </w:pPr>
            <w:r>
              <w:rPr>
                <w:rFonts w:ascii="Arial" w:cs="Arial" w:eastAsia="Arial" w:hAnsi="Arial"/>
                <w:sz w:val="18"/>
                <w:szCs w:val="18"/>
                <w:color w:val="auto"/>
              </w:rPr>
              <w:t>WAIVER OF VENUE. THE BORROWER AND EACH OTHER LOAN PARTY IRREVOCABLY AND</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7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UNCONDITIONALLY WAIVES, TO THE FULLEST EXTENT PERMITTED BY APPLICABLE LAW, ANY OBJECTION THAT IT MAY NOW OR HEREAFTER HAVE TO THE LAYING OF VENUE OF ANY ACTION OR PROCEEDING ARISING OUT OF OR RELATING TO THIS AGREEMENT OR ANY OTHER LOAN DOCUMENT IN ANY COURT REFERRED TO IN CLAUSE (B) OF THIS SECTION 9.13. EACH OF THE PARTIES HERETO HEREBY IRREVOCABLY WAIVES, TO THE FULLEST EXTENT PERMITTED BY APPLICABLE LAW, THE DEFENSE OF AN INCONVENIENT FORUM TO THE MAINTENANCE OF SUCH ACTION OR PROCEEDING IN ANY SUCH COURT.</w:t>
      </w:r>
    </w:p>
    <w:p>
      <w:pPr>
        <w:spacing w:after="0" w:line="192" w:lineRule="exact"/>
        <w:rPr>
          <w:sz w:val="20"/>
          <w:szCs w:val="20"/>
          <w:color w:val="auto"/>
        </w:rPr>
      </w:pPr>
    </w:p>
    <w:p>
      <w:pPr>
        <w:jc w:val="both"/>
        <w:ind w:left="660" w:firstLine="644"/>
        <w:spacing w:after="0" w:line="263" w:lineRule="auto"/>
        <w:tabs>
          <w:tab w:leader="none" w:pos="23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EACH PARTY HERETO IRREVOCABLY CONSENTS TO SERVICE OF PROCESS IN THE MANNER PROVIDED FOR NOTICES IN SECTION 9.02. NOTHING IN THIS AGREEMENT WILL AFFECT THE RIGHT OF ANY PARTY HERETO TO SERVE PROCESS IN ANY OTHER MANNER PERMITTED BY APPLICABLE LAW.</w:t>
      </w:r>
    </w:p>
    <w:p>
      <w:pPr>
        <w:spacing w:after="0" w:line="180" w:lineRule="exact"/>
        <w:rPr>
          <w:sz w:val="20"/>
          <w:szCs w:val="20"/>
          <w:color w:val="auto"/>
        </w:rPr>
      </w:pPr>
    </w:p>
    <w:p>
      <w:pPr>
        <w:jc w:val="both"/>
        <w:ind w:right="80" w:firstLine="648"/>
        <w:spacing w:after="0" w:line="272" w:lineRule="auto"/>
        <w:rPr>
          <w:sz w:val="20"/>
          <w:szCs w:val="20"/>
          <w:color w:val="auto"/>
        </w:rPr>
      </w:pPr>
      <w:r>
        <w:rPr>
          <w:rFonts w:ascii="Arial" w:cs="Arial" w:eastAsia="Arial" w:hAnsi="Arial"/>
          <w:sz w:val="17"/>
          <w:szCs w:val="17"/>
          <w:b w:val="1"/>
          <w:bCs w:val="1"/>
          <w:color w:val="auto"/>
        </w:rPr>
        <w:t xml:space="preserve">9.14 Waiver of Jury Trial. </w:t>
      </w:r>
      <w:r>
        <w:rPr>
          <w:rFonts w:ascii="Arial" w:cs="Arial" w:eastAsia="Arial" w:hAnsi="Arial"/>
          <w:sz w:val="17"/>
          <w:szCs w:val="17"/>
          <w:color w:val="auto"/>
        </w:rPr>
        <w:t>EACH PARTY HERETO HEREBY IRREVOCABLY WAIVES, TO THE FULLEST EXTENT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127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left="80" w:firstLine="648"/>
        <w:spacing w:after="0" w:line="285" w:lineRule="auto"/>
        <w:rPr>
          <w:sz w:val="20"/>
          <w:szCs w:val="20"/>
          <w:color w:val="auto"/>
        </w:rPr>
      </w:pPr>
      <w:r>
        <w:rPr>
          <w:rFonts w:ascii="Arial" w:cs="Arial" w:eastAsia="Arial" w:hAnsi="Arial"/>
          <w:sz w:val="16"/>
          <w:szCs w:val="16"/>
          <w:b w:val="1"/>
          <w:bCs w:val="1"/>
          <w:color w:val="auto"/>
        </w:rPr>
        <w:t xml:space="preserve">9.15 No Advisory or Fiduciary Responsibility. </w:t>
      </w:r>
      <w:r>
        <w:rPr>
          <w:rFonts w:ascii="Arial" w:cs="Arial" w:eastAsia="Arial" w:hAnsi="Arial"/>
          <w:sz w:val="16"/>
          <w:szCs w:val="16"/>
          <w:color w:val="auto"/>
        </w:rPr>
        <w:t>In connection with all aspects of each transaction contemplated hereby, the Loan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each acknowledge and agree that: (i) the credit facility provided for hereunder and any related arranging or other services in connection therewith (including in connection with any amendment, waiver or other modification hereof or of any other Loan Document) are an arm’s-length commercial transaction between the Loan Parties, on the one hand, and the Credit Parties, on the other hand, and each of the Loan Parties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Credit Party is and has been acting solely as a principal and is not the financial advisor, agent or fiduciary, for the Loan Parties or any of their respective Affiliates, stockholders, creditors or employees or any other Person; (iii) none of the Credit Parties has assumed or will assume an advisory, agency or fiduciary responsibility in favor of the Loan Parties with respect to any of the transactions contemplated hereby or the process leading thereto, including with respect to any amendment, waiver or other modification hereof or of any other Loan Document (irrespective of whether any of the Credit Parties has advised or is currently advising any Loan Party or any of its Affiliates on other matters) and none of the Credit Parties has any obligation to any Loan Party or any of its Affiliates with respect to the transactions contemplated hereby except those obligations expressly set forth herein and in the other Loan Documents; (iv) the Credit Parties and their respective Affiliates may be engaged in a broad range of transactions that involve interests that differ from those of the Loan Parties and their respective Affiliates, and none of the Credit Parties has any obligation to disclose any of such interests by virtue of any advisory, agency or fiduciary relationship; and (v) the Credit Parties have not provided and will not provide any legal, accounting, regulatory or tax advice with respect to any of the transactions contemplated hereby (including any amendment, waiver or other modification hereof or of any other Loan Document) and each of the Loan Parties has consulted its own legal, accounting, regulatory and tax advisors to the extent it has deemed appropriate. Each of the Loan Parties hereby waives and releases, to the fullest extent permitted by law, any claims that it may have against each of the Credit Parties with respect to any breach or alleged breach of agency or fiduciary duty.</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9.16 USA PATRIOT Act Notice. </w:t>
      </w:r>
      <w:r>
        <w:rPr>
          <w:rFonts w:ascii="Arial" w:cs="Arial" w:eastAsia="Arial" w:hAnsi="Arial"/>
          <w:sz w:val="17"/>
          <w:szCs w:val="17"/>
          <w:color w:val="auto"/>
        </w:rPr>
        <w:t>The Lender hereby notifies the Loan Parties that pursuant to the requirements of the USA Patriot Act</w:t>
      </w:r>
      <w:r>
        <w:rPr>
          <w:rFonts w:ascii="Arial" w:cs="Arial" w:eastAsia="Arial" w:hAnsi="Arial"/>
          <w:sz w:val="17"/>
          <w:szCs w:val="17"/>
          <w:b w:val="1"/>
          <w:bCs w:val="1"/>
          <w:color w:val="auto"/>
        </w:rPr>
        <w:t xml:space="preserve"> </w:t>
      </w:r>
      <w:r>
        <w:rPr>
          <w:rFonts w:ascii="Arial" w:cs="Arial" w:eastAsia="Arial" w:hAnsi="Arial"/>
          <w:sz w:val="17"/>
          <w:szCs w:val="17"/>
          <w:color w:val="auto"/>
        </w:rPr>
        <w:t>(Title III of Pub. L. 107-56 (signed into law October 26, 2001)) (the “</w:t>
      </w:r>
      <w:r>
        <w:rPr>
          <w:rFonts w:ascii="Arial" w:cs="Arial" w:eastAsia="Arial" w:hAnsi="Arial"/>
          <w:sz w:val="17"/>
          <w:szCs w:val="17"/>
          <w:u w:val="single" w:color="auto"/>
          <w:color w:val="auto"/>
        </w:rPr>
        <w:t>Act</w:t>
      </w:r>
      <w:r>
        <w:rPr>
          <w:rFonts w:ascii="Arial" w:cs="Arial" w:eastAsia="Arial" w:hAnsi="Arial"/>
          <w:sz w:val="17"/>
          <w:szCs w:val="17"/>
          <w:color w:val="auto"/>
        </w:rPr>
        <w:t xml:space="preserve">”), it is required to obtain, verify and record information that identifies each Loan Party, which information includes the name and address of each Loan Party and other information that will allow the Lender, as applicable, to identify each Loan Party in accordance with the Act. Each Loan Party is in compliance, in all material respects, with the Patriot Act. No part of the proceeds of the Loans will be used by the Loan Parties, directly or </w:t>
      </w:r>
      <w:r>
        <w:rPr>
          <w:rFonts w:ascii="Arial" w:cs="Arial" w:eastAsia="Arial" w:hAnsi="Arial"/>
          <w:sz w:val="17"/>
          <w:szCs w:val="17"/>
          <w:b w:val="1"/>
          <w:bCs w:val="1"/>
          <w:u w:val="single" w:color="auto"/>
          <w:color w:val="0000FF"/>
        </w:rPr>
        <w:t>knowingly</w:t>
      </w:r>
      <w:r>
        <w:rPr>
          <w:rFonts w:ascii="Arial" w:cs="Arial" w:eastAsia="Arial" w:hAnsi="Arial"/>
          <w:sz w:val="17"/>
          <w:szCs w:val="17"/>
          <w:color w:val="auto"/>
        </w:rPr>
        <w:t xml:space="preserve">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7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9.17</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9.18</w:t>
      </w:r>
      <w:r>
        <w:rPr>
          <w:sz w:val="20"/>
          <w:szCs w:val="20"/>
          <w:color w:val="auto"/>
        </w:rPr>
        <w:tab/>
      </w:r>
      <w:r>
        <w:rPr>
          <w:rFonts w:ascii="Arial" w:cs="Arial" w:eastAsia="Arial" w:hAnsi="Arial"/>
          <w:sz w:val="15"/>
          <w:szCs w:val="15"/>
          <w:b w:val="1"/>
          <w:bCs w:val="1"/>
          <w:color w:val="auto"/>
        </w:rPr>
        <w:t xml:space="preserve">Time of the Essence. </w:t>
      </w:r>
      <w:r>
        <w:rPr>
          <w:rFonts w:ascii="Arial" w:cs="Arial" w:eastAsia="Arial" w:hAnsi="Arial"/>
          <w:sz w:val="15"/>
          <w:szCs w:val="15"/>
          <w:color w:val="auto"/>
        </w:rPr>
        <w:t>Time is of the essence of the Loan Documents.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128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9.19</w:t>
      </w:r>
      <w:r>
        <w:rPr>
          <w:sz w:val="20"/>
          <w:szCs w:val="20"/>
          <w:color w:val="auto"/>
        </w:rPr>
        <w:tab/>
      </w:r>
      <w:r>
        <w:rPr>
          <w:rFonts w:ascii="Arial" w:cs="Arial" w:eastAsia="Arial" w:hAnsi="Arial"/>
          <w:sz w:val="13"/>
          <w:szCs w:val="13"/>
          <w:b w:val="1"/>
          <w:bCs w:val="1"/>
          <w:color w:val="auto"/>
        </w:rPr>
        <w:t>Press Releases</w:t>
      </w:r>
      <w:r>
        <w:rPr>
          <w:rFonts w:ascii="Arial" w:cs="Arial" w:eastAsia="Arial" w:hAnsi="Arial"/>
          <w:sz w:val="13"/>
          <w:szCs w:val="13"/>
          <w:color w:val="auto"/>
        </w:rPr>
        <w:t>.</w:t>
      </w:r>
    </w:p>
    <w:p>
      <w:pPr>
        <w:spacing w:after="0" w:line="229" w:lineRule="exact"/>
        <w:rPr>
          <w:sz w:val="20"/>
          <w:szCs w:val="20"/>
          <w:color w:val="auto"/>
        </w:rPr>
      </w:pPr>
    </w:p>
    <w:p>
      <w:pPr>
        <w:jc w:val="both"/>
        <w:ind w:firstLine="644"/>
        <w:spacing w:after="0" w:line="257" w:lineRule="auto"/>
        <w:tabs>
          <w:tab w:leader="none" w:pos="15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Each Loan Party executing this Agreement agrees that neither it nor its Affiliates will in the future issue any press releases or other public disclosure using the name of the Lender or its Affiliates or referring to this Agreement or the other Loan Documents without at least two (2) Business Days’ prior notice to the Lender and without the prior written consent of the Lender unless (and only to the extent that) such Loan Party or Affiliate is required to do so under Law and then, in any event, such Loan Party or Affiliate will consult with the Lender before issuing such press release or other public disclosure.</w:t>
      </w:r>
    </w:p>
    <w:p>
      <w:pPr>
        <w:spacing w:after="0" w:line="187" w:lineRule="exact"/>
        <w:rPr>
          <w:rFonts w:ascii="Arial" w:cs="Arial" w:eastAsia="Arial" w:hAnsi="Arial"/>
          <w:sz w:val="18"/>
          <w:szCs w:val="18"/>
          <w:color w:val="auto"/>
        </w:rPr>
      </w:pPr>
    </w:p>
    <w:p>
      <w:pPr>
        <w:jc w:val="both"/>
        <w:ind w:firstLine="644"/>
        <w:spacing w:after="0" w:line="301" w:lineRule="auto"/>
        <w:tabs>
          <w:tab w:leader="none" w:pos="171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Each Loan Party consents to the publication by the Lender of advertising material relating to the financing transactions contemplated by this Agreement using any Loan Party’s name, product photographs, logo or trademark. The Lender shall provide a draft reasonably in advance of any advertising material to the Borrower for review and comment prior to the publication thereof. The Lender reserves the right to provide to industry trade organizations information necessary and customary for inclusion in league table measurements.</w:t>
      </w:r>
    </w:p>
    <w:p>
      <w:pPr>
        <w:spacing w:after="0" w:line="15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9.20</w:t>
      </w:r>
      <w:r>
        <w:rPr>
          <w:sz w:val="20"/>
          <w:szCs w:val="20"/>
          <w:color w:val="auto"/>
        </w:rPr>
        <w:tab/>
      </w:r>
      <w:r>
        <w:rPr>
          <w:rFonts w:ascii="Arial" w:cs="Arial" w:eastAsia="Arial" w:hAnsi="Arial"/>
          <w:sz w:val="16"/>
          <w:szCs w:val="16"/>
          <w:b w:val="1"/>
          <w:bCs w:val="1"/>
          <w:color w:val="auto"/>
        </w:rPr>
        <w:t>Additional Waivers</w:t>
      </w:r>
      <w:r>
        <w:rPr>
          <w:rFonts w:ascii="Arial" w:cs="Arial" w:eastAsia="Arial" w:hAnsi="Arial"/>
          <w:sz w:val="16"/>
          <w:szCs w:val="16"/>
          <w:color w:val="auto"/>
        </w:rPr>
        <w:t>.</w:t>
      </w:r>
    </w:p>
    <w:p>
      <w:pPr>
        <w:spacing w:after="0" w:line="229" w:lineRule="exact"/>
        <w:rPr>
          <w:sz w:val="20"/>
          <w:szCs w:val="20"/>
          <w:color w:val="auto"/>
        </w:rPr>
      </w:pPr>
    </w:p>
    <w:p>
      <w:pPr>
        <w:jc w:val="both"/>
        <w:ind w:firstLine="644"/>
        <w:spacing w:after="0" w:line="255" w:lineRule="auto"/>
        <w:tabs>
          <w:tab w:leader="none" w:pos="15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Obligations are the joint and several obligation of each Loan Party. To the fullest extent permitted by applicable Law, the Obligations of each Loan Party shall not be affected by (i) the failure of any Credit Party to assert any claim or demand or to enforce or exercise any right or remedy against any other Loan Party under the provisions of this Agreement, any other Loan Document or otherwise, (ii) any rescission, waiver, amendment or modification of, or any release from any of the terms or provisions of, this Agreement or any other Loan Document, or (iii) the failure to perfect any security interest in, or the release of, any of the Collateral or other security held by or on behalf of the Lender or any other Credit Party.</w:t>
      </w:r>
    </w:p>
    <w:p>
      <w:pPr>
        <w:spacing w:after="0" w:line="192" w:lineRule="exact"/>
        <w:rPr>
          <w:rFonts w:ascii="Arial" w:cs="Arial" w:eastAsia="Arial" w:hAnsi="Arial"/>
          <w:sz w:val="18"/>
          <w:szCs w:val="18"/>
          <w:color w:val="auto"/>
        </w:rPr>
      </w:pPr>
    </w:p>
    <w:p>
      <w:pPr>
        <w:jc w:val="both"/>
        <w:ind w:firstLine="644"/>
        <w:spacing w:after="0" w:line="269" w:lineRule="auto"/>
        <w:tabs>
          <w:tab w:leader="none" w:pos="174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Obligations of each Loan Party shall not be subject to any reduction, limitation, impairment or termination for any reason (other than the indefeasible payment in full in cash of the Obligations and the termination of the Commitments), including any claim of waiver, release, surrender, alteration or compromise of any of the Obligations, and shall not be subject to any defense or setoff, counterclaim, recoupment or termination whatsoever by reason of the invalidity, illegality or unenforceability of any of the Obligations or otherwise. Without limiting the generality of the foregoing, the Obligations of each Loan Party hereunder shall not be discharged or impaired or otherwise affected by the failure of the Lender or any other Credit Party to assert any claim or demand or to enforce any remedy under this Agreement, any other Loan Document or any other agreement, by any waiver or modification of any provision of any thereof, any default, failure or delay, willful or otherwise, in the performance of any of the Obligations, or by any other act or omission that may or might in any manner or to any extent vary the risk of any Loan Party or that would otherwise operate as a discharge of any Loan Party as a matter of law or equity (other than the indefeasible payment in full in cash of all the Obligations and the termination of the Commitments).</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129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9" w:name="page150"/>
    <w:bookmarkEnd w:id="149"/>
    <w:p>
      <w:pPr>
        <w:jc w:val="center"/>
        <w:ind w:righ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4"/>
        <w:spacing w:after="0" w:line="288" w:lineRule="auto"/>
        <w:tabs>
          <w:tab w:leader="none" w:pos="153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each Loan Party waives any defense based on or arising out of any defense of any other Loan Party or the unenforceability of the Obligations or any part thereof from any cause, or the cessation from any cause of the liability of any other Loan Party, other than the indefeasible payment in full in cash of all the Obligations and the termination of the Commitments. The Lender and the other Credit Parties may, at their election, foreclose on any security held by one or more of them by one or more judicial or non-judicial sales, accept an assignment of any such security in lieu of foreclosure, compromise or adjust any part of the Obligations, make any other accommodation with any other Loan Party, or exercise any other right or remedy available to them against any other Loan Party, without affecting or impairing in any way the liability of any Loan Party hereunder except to the extent that all the Obligations have been indefeasibly paid in full in cash and the Commitments have been terminated. Each Loan Party waives any defense arising out of any such election even though such election operates, pursuant to applicable Law, to impair or to extinguish any right of reimbursement or subrogation or other right or remedy of such Loan Party against any other Loan Party, as the case may be, or any security.</w:t>
      </w:r>
    </w:p>
    <w:p>
      <w:pPr>
        <w:spacing w:after="0" w:line="168" w:lineRule="exact"/>
        <w:rPr>
          <w:rFonts w:ascii="Arial" w:cs="Arial" w:eastAsia="Arial" w:hAnsi="Arial"/>
          <w:sz w:val="16"/>
          <w:szCs w:val="16"/>
          <w:color w:val="auto"/>
        </w:rPr>
      </w:pPr>
    </w:p>
    <w:p>
      <w:pPr>
        <w:jc w:val="both"/>
        <w:ind w:firstLine="644"/>
        <w:spacing w:after="0" w:line="267" w:lineRule="auto"/>
        <w:tabs>
          <w:tab w:leader="none" w:pos="158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Each Loan Party is obligated to repay the Obligations as joint and several obligors under this Agreement. Upon payment by any Loan Party of any Obligations, all rights of such Loan Party against any other Loan Party arising as a result thereof by way of right of subrogation, contribution, reimbursement, indemnity or otherwise shall in all respects be subordinate and junior in right of payment to the prior indefeasible payment in full in cash of all the Obligations and the termination of the Commitments. In addition, any indebtedness of any Loan Party now or hereafter held by any other Loan Party is hereby subordinated in right of payment to the prior indefeasible payment in full of the Obligations and no Loan Party will demand, sue for or otherwise attempt to collect any such indebtedness. If any amount shall erroneously be paid to any Loan Party on account of (i) such subrogation, contribution, reimbursement, indemnity or similar right or (ii) any such indebtedness of any Loan Party, such amount shall be held in trust for the benefit of the Credit Parties and shall forthwith be paid to the Lender to be credited against the payment of the Obligations, whether matured or unmatured, in accordance with the terms of this Agreement and the other Loan Documents. Subject to the foregoing, to the extent that any Loan Party shall, under this Agreement as a joint and several obligor, repay any of the Obligations constituting Loans made to another Loan Party hereunder or other Obligations incurred directly and primarily by any other Loan Party (an “Accommodation Payment”), then the Loan Party making such Accommodation Payment shall be entitled to contribution and indemnification from, and be reimbursed by, each of the other Loan Parties in an amount, for each of such other Loan Party, equal to a fraction of such Accommodation Payment, the numerator of which fraction is such other Loan Party’s Allocable Amount and the denominator of which is the sum of the Allocable Amounts of all of the Loan Parties. As of any date of determination, the “Allocable Amount” of any Loan Party shall be equal to the maximum amount of liability for Accommodation Payments which could be asserted against such Loan Party hereunder without (a) rendering such Loan Party “insolvent” within the meaning of Section 101(32) of the Bankruptcy Code, Section 2 of the Uniform Fraudulent Transfer Act (“UFTA”) or Section 2 of the Uniform Fraudulent Conveyance Act (“UFCA”), (b) leaving such Loan Party with unreasonably small capital or assets, within the meaning of Section 548 of the Bankruptcy Code, Section 4 of the UFTA, or Section 5 of the UFCA, or (c) leaving such Loan Party unable to pay its debts as they become due within the meaning of Section 548 of the Bankruptcy Code or Section 4 of the UFTA, or Section 5 of the UFCA.</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130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9.21 No Strict Construction</w:t>
      </w:r>
      <w:r>
        <w:rPr>
          <w:rFonts w:ascii="Arial" w:cs="Arial" w:eastAsia="Arial" w:hAnsi="Arial"/>
          <w:sz w:val="17"/>
          <w:szCs w:val="17"/>
          <w:color w:val="auto"/>
        </w:rPr>
        <w:t>. The parties hereto have participated jointly in the negotiation and drafting of this Agreement. In the event an</w:t>
      </w:r>
      <w:r>
        <w:rPr>
          <w:rFonts w:ascii="Arial" w:cs="Arial" w:eastAsia="Arial" w:hAnsi="Arial"/>
          <w:sz w:val="17"/>
          <w:szCs w:val="17"/>
          <w:b w:val="1"/>
          <w:bCs w:val="1"/>
          <w:color w:val="auto"/>
        </w:rPr>
        <w:t xml:space="preserve"> </w:t>
      </w:r>
      <w:r>
        <w:rPr>
          <w:rFonts w:ascii="Arial" w:cs="Arial" w:eastAsia="Arial" w:hAnsi="Arial"/>
          <w:sz w:val="17"/>
          <w:szCs w:val="17"/>
          <w:color w:val="auto"/>
        </w:rPr>
        <w:t>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9.22 Attachments</w:t>
      </w:r>
      <w:r>
        <w:rPr>
          <w:rFonts w:ascii="Arial" w:cs="Arial" w:eastAsia="Arial" w:hAnsi="Arial"/>
          <w:sz w:val="18"/>
          <w:szCs w:val="18"/>
          <w:color w:val="auto"/>
        </w:rPr>
        <w:t>. The exhibits, schedules and annexes attached to this Agreement are incorporated herein and shall be considered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for the purposes stated herein, except that in the event of any conflict between any of the provisions of such exhibits and the provisions of this Agreement, the provisions of this Agreement shall prevail.</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9.23 Keepwell. </w:t>
      </w:r>
      <w:r>
        <w:rPr>
          <w:rFonts w:ascii="Arial" w:cs="Arial" w:eastAsia="Arial" w:hAnsi="Arial"/>
          <w:sz w:val="17"/>
          <w:szCs w:val="17"/>
          <w:color w:val="auto"/>
        </w:rPr>
        <w:t>Each Loan Party that is a Qualified ECP Guarantor at the time the Facility Guaranty or the grant of a security interest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the Facility Guaranty voidable under applicable Law relating to fraudulent conveyance or fraudulent transfer, and not for any greater amount). The obligations and undertakings of each Qualified ECP Guarantor under this Section shall remain in full force and effect until Payment in Full of the Obligations have been indefeasibly paid and performed in full. Each Loan Party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9.24 Electronic Execution of Assignments and Certain Other Documents</w:t>
      </w:r>
      <w:r>
        <w:rPr>
          <w:rFonts w:ascii="Arial" w:cs="Arial" w:eastAsia="Arial" w:hAnsi="Arial"/>
          <w:sz w:val="17"/>
          <w:szCs w:val="17"/>
          <w:color w:val="auto"/>
        </w:rPr>
        <w:t>. The words “execution,” “execute”, “signed,” “signature,” and</w:t>
      </w:r>
      <w:r>
        <w:rPr>
          <w:rFonts w:ascii="Arial" w:cs="Arial" w:eastAsia="Arial" w:hAnsi="Arial"/>
          <w:sz w:val="17"/>
          <w:szCs w:val="17"/>
          <w:b w:val="1"/>
          <w:bCs w:val="1"/>
          <w:color w:val="auto"/>
        </w:rPr>
        <w:t xml:space="preserve"> </w:t>
      </w:r>
      <w:r>
        <w:rPr>
          <w:rFonts w:ascii="Arial" w:cs="Arial" w:eastAsia="Arial" w:hAnsi="Arial"/>
          <w:sz w:val="17"/>
          <w:szCs w:val="17"/>
          <w:color w:val="auto"/>
        </w:rPr>
        <w:t>words of like import in or related to this Agreement, any Loan Document or any other document to be signed in connection with this Agreement and the transactions contemplated hereby (including without limitation Assignment and Assumptions, amendments or other modifications, Committed Loan Notices, waivers and consents) shall be deemed to include electronic signatures, the electronic matching of assignment terms and contract formations on electronic platforms approved by the Lender,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Lender is under no obligation to agree to accept electronic signatures in any form or in any format unless expressly agreed to by the Lender pursuant to procedures approved by 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131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9.25 Acknowledgement Regarding Any Supported QFCs</w:t>
      </w:r>
      <w:r>
        <w:rPr>
          <w:rFonts w:ascii="Arial" w:cs="Arial" w:eastAsia="Arial" w:hAnsi="Arial"/>
          <w:sz w:val="16"/>
          <w:szCs w:val="16"/>
          <w:color w:val="auto"/>
        </w:rPr>
        <w:t>. To the extent that the Loan Documents provide support, through a guarantee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for any Swap Contract or any other agreement or instrument that is a QFC (such support, “</w:t>
      </w:r>
      <w:r>
        <w:rPr>
          <w:rFonts w:ascii="Arial" w:cs="Arial" w:eastAsia="Arial" w:hAnsi="Arial"/>
          <w:sz w:val="16"/>
          <w:szCs w:val="16"/>
          <w:u w:val="single" w:color="auto"/>
          <w:color w:val="auto"/>
        </w:rPr>
        <w:t>QFC Credit Support</w:t>
      </w:r>
      <w:r>
        <w:rPr>
          <w:rFonts w:ascii="Arial" w:cs="Arial" w:eastAsia="Arial" w:hAnsi="Arial"/>
          <w:sz w:val="16"/>
          <w:szCs w:val="16"/>
          <w:color w:val="auto"/>
        </w:rPr>
        <w: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6"/>
          <w:szCs w:val="16"/>
          <w:u w:val="single" w:color="auto"/>
          <w:color w:val="auto"/>
        </w:rPr>
        <w:t>Covered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132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TABLE OF CONTENTS</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(continued)</w:t>
      </w:r>
      <w:r>
        <w:rPr>
          <w:rFonts w:ascii="Arial" w:cs="Arial" w:eastAsia="Arial" w:hAnsi="Arial"/>
          <w:sz w:val="18"/>
          <w:szCs w:val="18"/>
          <w:color w:val="auto"/>
        </w:rPr>
        <w:t>]</w:t>
      </w:r>
    </w:p>
    <w:p>
      <w:pPr>
        <w:spacing w:after="0" w:line="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Page</w:t>
      </w:r>
      <w:r>
        <w:rPr>
          <w:rFonts w:ascii="Arial" w:cs="Arial" w:eastAsia="Arial" w:hAnsi="Arial"/>
          <w:sz w:val="18"/>
          <w:szCs w:val="18"/>
          <w:b w:val="1"/>
          <w:bCs w:val="1"/>
          <w:color w:val="auto"/>
        </w:rPr>
        <w: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IN WITNESS WHEREOF</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parties hereto have caused this Agreement to be duly executed by their respective authorized officers as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CITI TRENDS, INC.</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 TRENDS MARKETING SOLUTIONS,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1)"/>
      <w:numFmt w:val="lowerLetter"/>
      <w:start w:val="2"/>
    </w:lvl>
  </w:abstractNum>
  <w:abstractNum w:abstractNumId="2">
    <w:nsid w:val="94211F2"/>
    <w:multiLevelType w:val="hybridMultilevel"/>
    <w:lvl w:ilvl="0">
      <w:lvlJc w:val="left"/>
      <w:lvlText w:val="(%1)"/>
      <w:numFmt w:val="lowerLetter"/>
      <w:start w:val="4"/>
    </w:lvl>
  </w:abstractNum>
  <w:abstractNum w:abstractNumId="3">
    <w:nsid w:val="885E1B"/>
    <w:multiLevelType w:val="hybridMultilevel"/>
    <w:lvl w:ilvl="0">
      <w:lvlJc w:val="left"/>
      <w:lvlText w:val="%1."/>
      <w:numFmt w:val="decimal"/>
      <w:start w:val="1"/>
    </w:lvl>
  </w:abstractNum>
  <w:abstractNum w:abstractNumId="4">
    <w:nsid w:val="76272110"/>
    <w:multiLevelType w:val="hybridMultilevel"/>
    <w:lvl w:ilvl="0">
      <w:lvlJc w:val="left"/>
      <w:lvlText w:val="%1."/>
      <w:numFmt w:val="decimal"/>
      <w:start w:val="3"/>
    </w:lvl>
    <w:lvl w:ilvl="1">
      <w:lvlJc w:val="left"/>
      <w:lvlText w:val="%2."/>
      <w:numFmt w:val="lowerLetter"/>
      <w:start w:val="1"/>
    </w:lvl>
  </w:abstractNum>
  <w:abstractNum w:abstractNumId="5">
    <w:nsid w:val="4C04A8AF"/>
    <w:multiLevelType w:val="hybridMultilevel"/>
    <w:lvl w:ilvl="0">
      <w:lvlJc w:val="left"/>
      <w:lvlText w:val="%1"/>
      <w:numFmt w:val="decimal"/>
      <w:start w:val="1"/>
    </w:lvl>
    <w:lvl w:ilvl="1">
      <w:lvlJc w:val="left"/>
      <w:lvlText w:val="%2."/>
      <w:numFmt w:val="lowerLetter"/>
      <w:start w:val="3"/>
    </w:lvl>
  </w:abstractNum>
  <w:abstractNum w:abstractNumId="6">
    <w:nsid w:val="1716703B"/>
    <w:multiLevelType w:val="hybridMultilevel"/>
    <w:lvl w:ilvl="0">
      <w:lvlJc w:val="left"/>
      <w:lvlText w:val="%1."/>
      <w:numFmt w:val="decimal"/>
      <w:start w:val="6"/>
    </w:lvl>
    <w:lvl w:ilvl="1">
      <w:lvlJc w:val="left"/>
      <w:lvlText w:val="%2"/>
      <w:numFmt w:val="lowerLetter"/>
      <w:start w:val="1"/>
    </w:lvl>
  </w:abstractNum>
  <w:abstractNum w:abstractNumId="7">
    <w:nsid w:val="14E17E33"/>
    <w:multiLevelType w:val="hybridMultilevel"/>
    <w:lvl w:ilvl="0">
      <w:lvlJc w:val="left"/>
      <w:lvlText w:val="%1."/>
      <w:numFmt w:val="decimal"/>
      <w:start w:val="7"/>
    </w:lvl>
  </w:abstractNum>
  <w:abstractNum w:abstractNumId="8">
    <w:nsid w:val="3222E7CD"/>
    <w:multiLevelType w:val="hybridMultilevel"/>
    <w:lvl w:ilvl="0">
      <w:lvlJc w:val="left"/>
      <w:lvlText w:val="A"/>
      <w:numFmt w:val="bullet"/>
      <w:start w:val="1"/>
    </w:lvl>
  </w:abstractNum>
  <w:abstractNum w:abstractNumId="9">
    <w:nsid w:val="74DE0EE3"/>
    <w:multiLevelType w:val="hybridMultilevel"/>
    <w:lvl w:ilvl="0">
      <w:lvlJc w:val="left"/>
      <w:lvlText w:val="(%1)"/>
      <w:numFmt w:val="lowerLetter"/>
      <w:start w:val="1"/>
    </w:lvl>
  </w:abstractNum>
  <w:abstractNum w:abstractNumId="10">
    <w:nsid w:val="68EBC550"/>
    <w:multiLevelType w:val="hybridMultilevel"/>
    <w:lvl w:ilvl="0">
      <w:lvlJc w:val="left"/>
      <w:lvlText w:val="(%1)"/>
      <w:numFmt w:val="lowerLetter"/>
      <w:start w:val="1"/>
    </w:lvl>
  </w:abstractNum>
  <w:abstractNum w:abstractNumId="11">
    <w:nsid w:val="2DF6D648"/>
    <w:multiLevelType w:val="hybridMultilevel"/>
    <w:lvl w:ilvl="0">
      <w:lvlJc w:val="left"/>
      <w:lvlText w:val="(%1)"/>
      <w:numFmt w:val="lowerLetter"/>
      <w:start w:val="1"/>
    </w:lvl>
  </w:abstractNum>
  <w:abstractNum w:abstractNumId="12">
    <w:nsid w:val="46B7D447"/>
    <w:multiLevelType w:val="hybridMultilevel"/>
    <w:lvl w:ilvl="0">
      <w:lvlJc w:val="left"/>
      <w:lvlText w:val="(%1)"/>
      <w:numFmt w:val="lowerLetter"/>
      <w:start w:val="3"/>
    </w:lvl>
  </w:abstractNum>
  <w:abstractNum w:abstractNumId="13">
    <w:nsid w:val="4A2AC315"/>
    <w:multiLevelType w:val="hybridMultilevel"/>
    <w:lvl w:ilvl="0">
      <w:lvlJc w:val="left"/>
      <w:lvlText w:val="(%1)"/>
      <w:numFmt w:val="lowerLetter"/>
      <w:start w:val="1"/>
    </w:lvl>
  </w:abstractNum>
  <w:abstractNum w:abstractNumId="14">
    <w:nsid w:val="39EE015C"/>
    <w:multiLevelType w:val="hybridMultilevel"/>
    <w:lvl w:ilvl="0">
      <w:lvlJc w:val="left"/>
      <w:lvlText w:val="(%1)"/>
      <w:numFmt w:val="lowerLetter"/>
      <w:start w:val="2"/>
    </w:lvl>
  </w:abstractNum>
  <w:abstractNum w:abstractNumId="15">
    <w:nsid w:val="57FC4FBB"/>
    <w:multiLevelType w:val="hybridMultilevel"/>
    <w:lvl w:ilvl="0">
      <w:lvlJc w:val="left"/>
      <w:lvlText w:val="(%1)"/>
      <w:numFmt w:val="lowerLetter"/>
      <w:start w:val="3"/>
    </w:lvl>
  </w:abstractNum>
  <w:abstractNum w:abstractNumId="16">
    <w:nsid w:val="CC1016F"/>
    <w:multiLevelType w:val="hybridMultilevel"/>
    <w:lvl w:ilvl="0">
      <w:lvlJc w:val="left"/>
      <w:lvlText w:val="(%1)"/>
      <w:numFmt w:val="lowerRoman"/>
      <w:start w:val="2"/>
    </w:lvl>
  </w:abstractNum>
  <w:abstractNum w:abstractNumId="17">
    <w:nsid w:val="43F18422"/>
    <w:multiLevelType w:val="hybridMultilevel"/>
    <w:lvl w:ilvl="0">
      <w:lvlJc w:val="left"/>
      <w:lvlText w:val="(%1)"/>
      <w:numFmt w:val="lowerRoman"/>
      <w:start w:val="1"/>
    </w:lvl>
  </w:abstractNum>
  <w:abstractNum w:abstractNumId="18">
    <w:nsid w:val="60EF0119"/>
    <w:multiLevelType w:val="hybridMultilevel"/>
    <w:lvl w:ilvl="0">
      <w:lvlJc w:val="left"/>
      <w:lvlText w:val="(%1)"/>
      <w:numFmt w:val="upperLetter"/>
      <w:start w:val="2"/>
    </w:lvl>
  </w:abstractNum>
  <w:abstractNum w:abstractNumId="19">
    <w:nsid w:val="26F324BA"/>
    <w:multiLevelType w:val="hybridMultilevel"/>
    <w:lvl w:ilvl="0">
      <w:lvlJc w:val="left"/>
      <w:lvlText w:val="(%1)"/>
      <w:numFmt w:val="lowerLetter"/>
      <w:start w:val="1"/>
    </w:lvl>
  </w:abstractNum>
  <w:abstractNum w:abstractNumId="20">
    <w:nsid w:val="7F01579B"/>
    <w:multiLevelType w:val="hybridMultilevel"/>
    <w:lvl w:ilvl="0">
      <w:lvlJc w:val="left"/>
      <w:lvlText w:val="(%1)"/>
      <w:numFmt w:val="lowerLetter"/>
      <w:start w:val="1"/>
    </w:lvl>
  </w:abstractNum>
  <w:abstractNum w:abstractNumId="21">
    <w:nsid w:val="49DA307D"/>
    <w:multiLevelType w:val="hybridMultilevel"/>
    <w:lvl w:ilvl="0">
      <w:lvlJc w:val="left"/>
      <w:lvlText w:val="(%1)"/>
      <w:numFmt w:val="lowerLetter"/>
      <w:start w:val="7"/>
    </w:lvl>
  </w:abstractNum>
  <w:abstractNum w:abstractNumId="22">
    <w:nsid w:val="7055A5F5"/>
    <w:multiLevelType w:val="hybridMultilevel"/>
    <w:lvl w:ilvl="0">
      <w:lvlJc w:val="left"/>
      <w:lvlText w:val="(%1)"/>
      <w:numFmt w:val="lowerLetter"/>
      <w:start w:val="8"/>
    </w:lvl>
  </w:abstractNum>
  <w:abstractNum w:abstractNumId="23">
    <w:nsid w:val="5FB8370B"/>
    <w:multiLevelType w:val="hybridMultilevel"/>
    <w:lvl w:ilvl="0">
      <w:lvlJc w:val="left"/>
      <w:lvlText w:val="(%1)"/>
      <w:numFmt w:val="lowerLetter"/>
      <w:start w:val="1"/>
    </w:lvl>
  </w:abstractNum>
  <w:abstractNum w:abstractNumId="24">
    <w:nsid w:val="50801EE1"/>
    <w:multiLevelType w:val="hybridMultilevel"/>
    <w:lvl w:ilvl="0">
      <w:lvlJc w:val="left"/>
      <w:lvlText w:val="(%1)"/>
      <w:numFmt w:val="lowerLetter"/>
      <w:start w:val="4"/>
    </w:lvl>
    <w:lvl w:ilvl="1">
      <w:lvlJc w:val="left"/>
      <w:lvlText w:val="(%2)"/>
      <w:numFmt w:val="lowerLetter"/>
      <w:start w:val="9"/>
    </w:lvl>
  </w:abstractNum>
  <w:abstractNum w:abstractNumId="25">
    <w:nsid w:val="488AC1A"/>
    <w:multiLevelType w:val="hybridMultilevel"/>
    <w:lvl w:ilvl="0">
      <w:lvlJc w:val="left"/>
      <w:lvlText w:val="(%1)"/>
      <w:numFmt w:val="lowerLetter"/>
      <w:start w:val="1"/>
    </w:lvl>
  </w:abstractNum>
  <w:abstractNum w:abstractNumId="26">
    <w:nsid w:val="5FB8011C"/>
    <w:multiLevelType w:val="hybridMultilevel"/>
    <w:lvl w:ilvl="0">
      <w:lvlJc w:val="left"/>
      <w:lvlText w:val="(%1)"/>
      <w:numFmt w:val="lowerLetter"/>
      <w:start w:val="1"/>
    </w:lvl>
  </w:abstractNum>
  <w:abstractNum w:abstractNumId="27">
    <w:nsid w:val="6AA78F7F"/>
    <w:multiLevelType w:val="hybridMultilevel"/>
    <w:lvl w:ilvl="0">
      <w:lvlJc w:val="left"/>
      <w:lvlText w:val="(%1)"/>
      <w:numFmt w:val="lowerLetter"/>
      <w:start w:val="3"/>
    </w:lvl>
  </w:abstractNum>
  <w:abstractNum w:abstractNumId="28">
    <w:nsid w:val="7672BD23"/>
    <w:multiLevelType w:val="hybridMultilevel"/>
    <w:lvl w:ilvl="0">
      <w:lvlJc w:val="left"/>
      <w:lvlText w:val="(%1)"/>
      <w:numFmt w:val="lowerRoman"/>
      <w:start w:val="1"/>
    </w:lvl>
  </w:abstractNum>
  <w:abstractNum w:abstractNumId="29">
    <w:nsid w:val="6FC75AF8"/>
    <w:multiLevelType w:val="hybridMultilevel"/>
    <w:lvl w:ilvl="0">
      <w:lvlJc w:val="left"/>
      <w:lvlText w:val="(%1)"/>
      <w:numFmt w:val="lowerLetter"/>
      <w:start w:val="1"/>
    </w:lvl>
  </w:abstractNum>
  <w:abstractNum w:abstractNumId="30">
    <w:nsid w:val="6A5F7029"/>
    <w:multiLevelType w:val="hybridMultilevel"/>
    <w:lvl w:ilvl="0">
      <w:lvlJc w:val="left"/>
      <w:lvlText w:val="(%1)"/>
      <w:numFmt w:val="lowerLetter"/>
      <w:start w:val="3"/>
    </w:lvl>
  </w:abstractNum>
  <w:abstractNum w:abstractNumId="31">
    <w:nsid w:val="7D5E18F8"/>
    <w:multiLevelType w:val="hybridMultilevel"/>
    <w:lvl w:ilvl="0">
      <w:lvlJc w:val="left"/>
      <w:lvlText w:val="(%1)"/>
      <w:numFmt w:val="lowerLetter"/>
      <w:start w:val="1"/>
    </w:lvl>
  </w:abstractNum>
  <w:abstractNum w:abstractNumId="32">
    <w:nsid w:val="5F3534A4"/>
    <w:multiLevelType w:val="hybridMultilevel"/>
    <w:lvl w:ilvl="0">
      <w:lvlJc w:val="left"/>
      <w:lvlText w:val="(%1)"/>
      <w:numFmt w:val="lowerLetter"/>
      <w:start w:val="3"/>
    </w:lvl>
  </w:abstractNum>
  <w:abstractNum w:abstractNumId="33">
    <w:nsid w:val="73A1821B"/>
    <w:multiLevelType w:val="hybridMultilevel"/>
    <w:lvl w:ilvl="0">
      <w:lvlJc w:val="left"/>
      <w:lvlText w:val="(%1)"/>
      <w:numFmt w:val="lowerLetter"/>
      <w:start w:val="3"/>
    </w:lvl>
  </w:abstractNum>
  <w:abstractNum w:abstractNumId="34">
    <w:nsid w:val="7DE67713"/>
    <w:multiLevelType w:val="hybridMultilevel"/>
    <w:lvl w:ilvl="0">
      <w:lvlJc w:val="left"/>
      <w:lvlText w:val="(%1)"/>
      <w:numFmt w:val="lowerLetter"/>
      <w:start w:val="6"/>
    </w:lvl>
  </w:abstractNum>
  <w:abstractNum w:abstractNumId="35">
    <w:nsid w:val="555C55B5"/>
    <w:multiLevelType w:val="hybridMultilevel"/>
    <w:lvl w:ilvl="0">
      <w:lvlJc w:val="left"/>
      <w:lvlText w:val="(%1)"/>
      <w:numFmt w:val="lowerLetter"/>
      <w:start w:val="1"/>
    </w:lvl>
  </w:abstractNum>
  <w:abstractNum w:abstractNumId="36">
    <w:nsid w:val="3FA62ACA"/>
    <w:multiLevelType w:val="hybridMultilevel"/>
    <w:lvl w:ilvl="0">
      <w:lvlJc w:val="left"/>
      <w:lvlText w:val="(%1)"/>
      <w:numFmt w:val="lowerLetter"/>
      <w:start w:val="6"/>
    </w:lvl>
  </w:abstractNum>
  <w:abstractNum w:abstractNumId="37">
    <w:nsid w:val="14FCE74E"/>
    <w:multiLevelType w:val="hybridMultilevel"/>
    <w:lvl w:ilvl="0">
      <w:lvlJc w:val="left"/>
      <w:lvlText w:val="(%1)"/>
      <w:numFmt w:val="lowerLetter"/>
      <w:start w:val="1"/>
    </w:lvl>
  </w:abstractNum>
  <w:abstractNum w:abstractNumId="38">
    <w:nsid w:val="6A3DD3E8"/>
    <w:multiLevelType w:val="hybridMultilevel"/>
    <w:lvl w:ilvl="0">
      <w:lvlJc w:val="left"/>
      <w:lvlText w:val="(%1)"/>
      <w:numFmt w:val="lowerLetter"/>
      <w:start w:val="4"/>
    </w:lvl>
  </w:abstractNum>
  <w:abstractNum w:abstractNumId="39">
    <w:nsid w:val="71C91298"/>
    <w:multiLevelType w:val="hybridMultilevel"/>
    <w:lvl w:ilvl="0">
      <w:lvlJc w:val="left"/>
      <w:lvlText w:val="(%1)"/>
      <w:numFmt w:val="lowerLetter"/>
      <w:start w:val="7"/>
    </w:lvl>
  </w:abstractNum>
  <w:abstractNum w:abstractNumId="40">
    <w:nsid w:val="9DAF632"/>
    <w:multiLevelType w:val="hybridMultilevel"/>
    <w:lvl w:ilvl="0">
      <w:lvlJc w:val="left"/>
      <w:lvlText w:val="(%1)"/>
      <w:numFmt w:val="lowerLetter"/>
      <w:start w:val="14"/>
    </w:lvl>
  </w:abstractNum>
  <w:abstractNum w:abstractNumId="41">
    <w:nsid w:val="53299938"/>
    <w:multiLevelType w:val="hybridMultilevel"/>
    <w:lvl w:ilvl="0">
      <w:lvlJc w:val="left"/>
      <w:lvlText w:val="(%1)"/>
      <w:numFmt w:val="lowerLetter"/>
      <w:start w:val="1"/>
    </w:lvl>
  </w:abstractNum>
  <w:abstractNum w:abstractNumId="42">
    <w:nsid w:val="1FBFE8E0"/>
    <w:multiLevelType w:val="hybridMultilevel"/>
    <w:lvl w:ilvl="0">
      <w:lvlJc w:val="left"/>
      <w:lvlText w:val="(%1)"/>
      <w:numFmt w:val="lowerLetter"/>
      <w:start w:val="4"/>
    </w:lvl>
  </w:abstractNum>
  <w:abstractNum w:abstractNumId="43">
    <w:nsid w:val="5092CA79"/>
    <w:multiLevelType w:val="hybridMultilevel"/>
    <w:lvl w:ilvl="0">
      <w:lvlJc w:val="left"/>
      <w:lvlText w:val="(%1)"/>
      <w:numFmt w:val="lowerLetter"/>
      <w:start w:val="12"/>
    </w:lvl>
  </w:abstractNum>
  <w:abstractNum w:abstractNumId="44">
    <w:nsid w:val="1D545C4D"/>
    <w:multiLevelType w:val="hybridMultilevel"/>
    <w:lvl w:ilvl="0">
      <w:lvlJc w:val="left"/>
      <w:lvlText w:val="(%1)"/>
      <w:numFmt w:val="lowerLetter"/>
      <w:start w:val="1"/>
    </w:lvl>
  </w:abstractNum>
  <w:abstractNum w:abstractNumId="45">
    <w:nsid w:val="59ADEA3D"/>
    <w:multiLevelType w:val="hybridMultilevel"/>
    <w:lvl w:ilvl="0">
      <w:lvlJc w:val="left"/>
      <w:lvlText w:val="(%1)"/>
      <w:numFmt w:val="lowerLetter"/>
      <w:start w:val="5"/>
    </w:lvl>
  </w:abstractNum>
  <w:abstractNum w:abstractNumId="46">
    <w:nsid w:val="288F1A34"/>
    <w:multiLevelType w:val="hybridMultilevel"/>
    <w:lvl w:ilvl="0">
      <w:lvlJc w:val="left"/>
      <w:lvlText w:val="(%1)"/>
      <w:numFmt w:val="lowerLetter"/>
      <w:start w:val="14"/>
    </w:lvl>
  </w:abstractNum>
  <w:abstractNum w:abstractNumId="47">
    <w:nsid w:val="2A155DBC"/>
    <w:multiLevelType w:val="hybridMultilevel"/>
    <w:lvl w:ilvl="0">
      <w:lvlJc w:val="left"/>
      <w:lvlText w:val="(%1)"/>
      <w:numFmt w:val="lowerLetter"/>
      <w:start w:val="1"/>
    </w:lvl>
  </w:abstractNum>
  <w:abstractNum w:abstractNumId="48">
    <w:nsid w:val="1D9F6E5F"/>
    <w:multiLevelType w:val="hybridMultilevel"/>
    <w:lvl w:ilvl="0">
      <w:lvlJc w:val="left"/>
      <w:lvlText w:val="(%1)"/>
      <w:numFmt w:val="upperLetter"/>
      <w:start w:val="1"/>
    </w:lvl>
  </w:abstractNum>
  <w:abstractNum w:abstractNumId="49">
    <w:nsid w:val="97E1B4E"/>
    <w:multiLevelType w:val="hybridMultilevel"/>
    <w:lvl w:ilvl="0">
      <w:lvlJc w:val="left"/>
      <w:lvlText w:val="(%1)"/>
      <w:numFmt w:val="lowerLetter"/>
      <w:start w:val="2"/>
    </w:lvl>
  </w:abstractNum>
  <w:abstractNum w:abstractNumId="50">
    <w:nsid w:val="51088277"/>
    <w:multiLevelType w:val="hybridMultilevel"/>
    <w:lvl w:ilvl="0">
      <w:lvlJc w:val="left"/>
      <w:lvlText w:val="(%1)"/>
      <w:numFmt w:val="lowerLetter"/>
      <w:start w:val="1"/>
    </w:lvl>
  </w:abstractNum>
  <w:abstractNum w:abstractNumId="51">
    <w:nsid w:val="1CA0C5FA"/>
    <w:multiLevelType w:val="hybridMultilevel"/>
    <w:lvl w:ilvl="0">
      <w:lvlJc w:val="left"/>
      <w:lvlText w:val="(%1)"/>
      <w:numFmt w:val="lowerLetter"/>
      <w:start w:val="5"/>
    </w:lvl>
  </w:abstractNum>
  <w:abstractNum w:abstractNumId="52">
    <w:nsid w:val="53584BCB"/>
    <w:multiLevelType w:val="hybridMultilevel"/>
    <w:lvl w:ilvl="0">
      <w:lvlJc w:val="left"/>
      <w:lvlText w:val="(%1)"/>
      <w:numFmt w:val="lowerLetter"/>
      <w:start w:val="1"/>
    </w:lvl>
  </w:abstractNum>
  <w:abstractNum w:abstractNumId="53">
    <w:nsid w:val="415E286C"/>
    <w:multiLevelType w:val="hybridMultilevel"/>
    <w:lvl w:ilvl="0">
      <w:lvlJc w:val="left"/>
      <w:lvlText w:val="(%1)"/>
      <w:numFmt w:val="lowerLetter"/>
      <w:start w:val="1"/>
    </w:lvl>
  </w:abstractNum>
  <w:abstractNum w:abstractNumId="54">
    <w:nsid w:val="7C58FD05"/>
    <w:multiLevelType w:val="hybridMultilevel"/>
    <w:lvl w:ilvl="0">
      <w:lvlJc w:val="left"/>
      <w:lvlText w:val="(%1)"/>
      <w:numFmt w:val="lowerLetter"/>
      <w:start w:val="1"/>
    </w:lvl>
  </w:abstractNum>
  <w:abstractNum w:abstractNumId="55">
    <w:nsid w:val="23D86AAC"/>
    <w:multiLevelType w:val="hybridMultilevel"/>
    <w:lvl w:ilvl="0">
      <w:lvlJc w:val="left"/>
      <w:lvlText w:val="(%1)"/>
      <w:numFmt w:val="lowerLetter"/>
      <w:start w:val="3"/>
    </w:lvl>
  </w:abstractNum>
  <w:abstractNum w:abstractNumId="56">
    <w:nsid w:val="45E6D486"/>
    <w:multiLevelType w:val="hybridMultilevel"/>
    <w:lvl w:ilvl="0">
      <w:lvlJc w:val="left"/>
      <w:lvlText w:val="(%1)"/>
      <w:numFmt w:val="lowerLetter"/>
      <w:start w:val="1"/>
    </w:lvl>
    <w:lvl w:ilvl="1">
      <w:lvlJc w:val="left"/>
      <w:lvlText w:val="(%2)"/>
      <w:numFmt w:val="lowerRoman"/>
      <w:start w:val="1"/>
    </w:lvl>
  </w:abstractNum>
  <w:abstractNum w:abstractNumId="57">
    <w:nsid w:val="5C10FE21"/>
    <w:multiLevelType w:val="hybridMultilevel"/>
    <w:lvl w:ilvl="0">
      <w:lvlJc w:val="left"/>
      <w:lvlText w:val="(%1)"/>
      <w:numFmt w:val="upperLetter"/>
      <w:start w:val="1"/>
    </w:lvl>
  </w:abstractNum>
  <w:abstractNum w:abstractNumId="58">
    <w:nsid w:val="E7FFA2B"/>
    <w:multiLevelType w:val="hybridMultilevel"/>
    <w:lvl w:ilvl="0">
      <w:lvlJc w:val="left"/>
      <w:lvlText w:val="(%1)"/>
      <w:numFmt w:val="upperLetter"/>
      <w:start w:val="6"/>
    </w:lvl>
  </w:abstractNum>
  <w:abstractNum w:abstractNumId="59">
    <w:nsid w:val="3C5991AA"/>
    <w:multiLevelType w:val="hybridMultilevel"/>
    <w:lvl w:ilvl="0">
      <w:lvlJc w:val="left"/>
      <w:lvlText w:val="%1"/>
      <w:numFmt w:val="lowerLetter"/>
      <w:start w:val="1"/>
    </w:lvl>
    <w:lvl w:ilvl="1">
      <w:lvlJc w:val="left"/>
      <w:lvlText w:val="(%2)"/>
      <w:numFmt w:val="lowerLetter"/>
      <w:start w:val="61"/>
    </w:lvl>
  </w:abstractNum>
  <w:abstractNum w:abstractNumId="60">
    <w:nsid w:val="4BD8591A"/>
    <w:multiLevelType w:val="hybridMultilevel"/>
    <w:lvl w:ilvl="0">
      <w:lvlJc w:val="left"/>
      <w:lvlText w:val="(%1)"/>
      <w:numFmt w:val="lowerLetter"/>
      <w:start w:val="2"/>
    </w:lvl>
    <w:lvl w:ilvl="1">
      <w:lvlJc w:val="left"/>
      <w:lvlText w:val="(%2)"/>
      <w:numFmt w:val="lowerLetter"/>
      <w:start w:val="9"/>
    </w:lvl>
  </w:abstractNum>
  <w:abstractNum w:abstractNumId="61">
    <w:nsid w:val="78DF6A55"/>
    <w:multiLevelType w:val="hybridMultilevel"/>
    <w:lvl w:ilvl="0">
      <w:lvlJc w:val="left"/>
      <w:lvlText w:val="%1"/>
      <w:numFmt w:val="lowerLetter"/>
      <w:start w:val="1"/>
    </w:lvl>
    <w:lvl w:ilvl="1">
      <w:lvlJc w:val="left"/>
      <w:lvlText w:val="(%2)"/>
      <w:numFmt w:val="lowerRoman"/>
      <w:start w:val="2"/>
    </w:lvl>
  </w:abstractNum>
  <w:abstractNum w:abstractNumId="62">
    <w:nsid w:val="39B7AAA2"/>
    <w:multiLevelType w:val="hybridMultilevel"/>
    <w:lvl w:ilvl="0">
      <w:lvlJc w:val="left"/>
      <w:lvlText w:val="(%1)"/>
      <w:numFmt w:val="lowerLetter"/>
      <w:start w:val="3"/>
    </w:lvl>
    <w:lvl w:ilvl="1">
      <w:lvlJc w:val="left"/>
      <w:lvlText w:val="(%2)"/>
      <w:numFmt w:val="lowerRoman"/>
      <w:start w:val="1"/>
    </w:lvl>
  </w:abstractNum>
  <w:abstractNum w:abstractNumId="63">
    <w:nsid w:val="2B0D8DBE"/>
    <w:multiLevelType w:val="hybridMultilevel"/>
    <w:lvl w:ilvl="0">
      <w:lvlJc w:val="left"/>
      <w:lvlText w:val="(%1)"/>
      <w:numFmt w:val="lowerLetter"/>
      <w:start w:val="4"/>
    </w:lvl>
    <w:lvl w:ilvl="1">
      <w:lvlJc w:val="left"/>
      <w:lvlText w:val="(%2)"/>
      <w:numFmt w:val="lowerRoman"/>
      <w:start w:val="1"/>
    </w:lvl>
  </w:abstractNum>
  <w:abstractNum w:abstractNumId="64">
    <w:nsid w:val="6C80EC70"/>
    <w:multiLevelType w:val="hybridMultilevel"/>
    <w:lvl w:ilvl="0">
      <w:lvlJc w:val="left"/>
      <w:lvlText w:val="(%1)"/>
      <w:numFmt w:val="lowerRoman"/>
      <w:start w:val="7"/>
    </w:lvl>
  </w:abstractNum>
  <w:abstractNum w:abstractNumId="65">
    <w:nsid w:val="379E21B5"/>
    <w:multiLevelType w:val="hybridMultilevel"/>
    <w:lvl w:ilvl="0">
      <w:lvlJc w:val="left"/>
      <w:lvlText w:val="(%1)"/>
      <w:numFmt w:val="lowerLetter"/>
      <w:start w:val="5"/>
    </w:lvl>
  </w:abstractNum>
  <w:abstractNum w:abstractNumId="66">
    <w:nsid w:val="69E373"/>
    <w:multiLevelType w:val="hybridMultilevel"/>
    <w:lvl w:ilvl="0">
      <w:lvlJc w:val="left"/>
      <w:lvlText w:val="(%1)"/>
      <w:numFmt w:val="lowerLetter"/>
      <w:start w:val="6"/>
    </w:lvl>
  </w:abstractNum>
  <w:abstractNum w:abstractNumId="67">
    <w:nsid w:val="2C27173B"/>
    <w:multiLevelType w:val="hybridMultilevel"/>
    <w:lvl w:ilvl="0">
      <w:lvlJc w:val="left"/>
      <w:lvlText w:val="(%1)"/>
      <w:numFmt w:val="lowerLetter"/>
      <w:start w:val="7"/>
    </w:lvl>
  </w:abstractNum>
  <w:abstractNum w:abstractNumId="68">
    <w:nsid w:val="4C9B0904"/>
    <w:multiLevelType w:val="hybridMultilevel"/>
    <w:lvl w:ilvl="0">
      <w:lvlJc w:val="left"/>
      <w:lvlText w:val="%1"/>
      <w:numFmt w:val="lowerLetter"/>
      <w:start w:val="1"/>
    </w:lvl>
    <w:lvl w:ilvl="1">
      <w:lvlJc w:val="left"/>
      <w:lvlText w:val="(%2)"/>
      <w:numFmt w:val="lowerLetter"/>
      <w:start w:val="1"/>
    </w:lvl>
  </w:abstractNum>
  <w:abstractNum w:abstractNumId="69">
    <w:nsid w:val="6AA7B75C"/>
    <w:multiLevelType w:val="hybridMultilevel"/>
    <w:lvl w:ilvl="0">
      <w:lvlJc w:val="left"/>
      <w:lvlText w:val="(%1)"/>
      <w:numFmt w:val="lowerLetter"/>
      <w:start w:val="35"/>
    </w:lvl>
    <w:lvl w:ilvl="1">
      <w:lvlJc w:val="left"/>
      <w:lvlText w:val="(%2)"/>
      <w:numFmt w:val="lowerLetter"/>
      <w:start w:val="2"/>
    </w:lvl>
  </w:abstractNum>
  <w:abstractNum w:abstractNumId="70">
    <w:nsid w:val="1DF029D3"/>
    <w:multiLevelType w:val="hybridMultilevel"/>
    <w:lvl w:ilvl="0">
      <w:lvlJc w:val="left"/>
      <w:lvlText w:val="%1"/>
      <w:numFmt w:val="lowerLetter"/>
      <w:start w:val="1"/>
    </w:lvl>
    <w:lvl w:ilvl="1">
      <w:lvlJc w:val="left"/>
      <w:lvlText w:val="(%2)"/>
      <w:numFmt w:val="lowerLetter"/>
      <w:start w:val="1"/>
    </w:lvl>
  </w:abstractNum>
  <w:abstractNum w:abstractNumId="71">
    <w:nsid w:val="5675FF36"/>
    <w:multiLevelType w:val="hybridMultilevel"/>
    <w:lvl w:ilvl="0">
      <w:lvlJc w:val="left"/>
      <w:lvlText w:val="(%1)"/>
      <w:numFmt w:val="lowerLetter"/>
      <w:start w:val="35"/>
    </w:lvl>
    <w:lvl w:ilvl="1">
      <w:lvlJc w:val="left"/>
      <w:lvlText w:val="%2"/>
      <w:numFmt w:val="lowerLetter"/>
      <w:start w:val="1"/>
    </w:lvl>
  </w:abstractNum>
  <w:abstractNum w:abstractNumId="72">
    <w:nsid w:val="3DD15094"/>
    <w:multiLevelType w:val="hybridMultilevel"/>
    <w:lvl w:ilvl="0">
      <w:lvlJc w:val="left"/>
      <w:lvlText w:val="(%1)"/>
      <w:numFmt w:val="lowerLetter"/>
      <w:start w:val="1"/>
    </w:lvl>
  </w:abstractNum>
  <w:abstractNum w:abstractNumId="73">
    <w:nsid w:val="3DB012B3"/>
    <w:multiLevelType w:val="hybridMultilevel"/>
    <w:lvl w:ilvl="0">
      <w:lvlJc w:val="left"/>
      <w:lvlText w:val="(%1)"/>
      <w:numFmt w:val="lowerLetter"/>
      <w:start w:val="1"/>
    </w:lvl>
    <w:lvl w:ilvl="1">
      <w:lvlJc w:val="left"/>
      <w:lvlText w:val="(%2)"/>
      <w:numFmt w:val="lowerRoman"/>
      <w:start w:val="1"/>
    </w:lvl>
  </w:abstractNum>
  <w:abstractNum w:abstractNumId="74">
    <w:nsid w:val="2708C9AF"/>
    <w:multiLevelType w:val="hybridMultilevel"/>
    <w:lvl w:ilvl="0">
      <w:lvlJc w:val="left"/>
      <w:lvlText w:val="(%1)"/>
      <w:numFmt w:val="lowerLetter"/>
      <w:start w:val="1"/>
    </w:lvl>
  </w:abstractNum>
  <w:abstractNum w:abstractNumId="75">
    <w:nsid w:val="5B25ACE2"/>
    <w:multiLevelType w:val="hybridMultilevel"/>
    <w:lvl w:ilvl="0">
      <w:lvlJc w:val="left"/>
      <w:lvlText w:val="(%1)"/>
      <w:numFmt w:val="lowerLetter"/>
      <w:start w:val="1"/>
    </w:lvl>
  </w:abstractNum>
  <w:abstractNum w:abstractNumId="76">
    <w:nsid w:val="175DFCF0"/>
    <w:multiLevelType w:val="hybridMultilevel"/>
    <w:lvl w:ilvl="0">
      <w:lvlJc w:val="left"/>
      <w:lvlText w:val="(%1)"/>
      <w:numFmt w:val="lowerLetter"/>
      <w:start w:val="1"/>
    </w:lvl>
  </w:abstractNum>
  <w:abstractNum w:abstractNumId="77">
    <w:nsid w:val="4F97E3E4"/>
    <w:multiLevelType w:val="hybridMultilevel"/>
    <w:lvl w:ilvl="0">
      <w:lvlJc w:val="left"/>
      <w:lvlText w:val="(%1)"/>
      <w:numFmt w:val="lowerLetter"/>
      <w:start w:val="1"/>
    </w:lvl>
  </w:abstractNum>
  <w:abstractNum w:abstractNumId="78">
    <w:nsid w:val="53B0A9E"/>
    <w:multiLevelType w:val="hybridMultilevel"/>
    <w:lvl w:ilvl="0">
      <w:lvlJc w:val="left"/>
      <w:lvlText w:val="(%1)"/>
      <w:numFmt w:val="lowerLetter"/>
      <w:start w:val="2"/>
    </w:lvl>
  </w:abstractNum>
  <w:abstractNum w:abstractNumId="79">
    <w:nsid w:val="34FD6B4F"/>
    <w:multiLevelType w:val="hybridMultilevel"/>
    <w:lvl w:ilvl="0">
      <w:lvlJc w:val="left"/>
      <w:lvlText w:val="(%1)"/>
      <w:numFmt w:val="lowerLetter"/>
      <w:start w:val="1"/>
    </w:lvl>
  </w:abstractNum>
  <w:abstractNum w:abstractNumId="80">
    <w:nsid w:val="5915FF32"/>
    <w:multiLevelType w:val="hybridMultilevel"/>
    <w:lvl w:ilvl="0">
      <w:lvlJc w:val="left"/>
      <w:lvlText w:val="(%1)"/>
      <w:numFmt w:val="lowerLetter"/>
      <w:start w:val="3"/>
    </w:lvl>
    <w:lvl w:ilvl="1">
      <w:lvlJc w:val="left"/>
      <w:lvlText w:val="(%2)"/>
      <w:numFmt w:val="lowerLetter"/>
      <w:start w:val="9"/>
    </w:lvl>
  </w:abstractNum>
  <w:abstractNum w:abstractNumId="81">
    <w:nsid w:val="56438D15"/>
    <w:multiLevelType w:val="hybridMultilevel"/>
    <w:lvl w:ilvl="0">
      <w:lvlJc w:val="left"/>
      <w:lvlText w:val="(%1)"/>
      <w:numFmt w:val="lowerRoman"/>
      <w:start w:val="2"/>
    </w:lvl>
  </w:abstractNum>
  <w:abstractNum w:abstractNumId="82">
    <w:nsid w:val="519E3149"/>
    <w:multiLevelType w:val="hybridMultilevel"/>
    <w:lvl w:ilvl="0">
      <w:lvlJc w:val="left"/>
      <w:lvlText w:val="(%1)"/>
      <w:numFmt w:val="upperLetter"/>
      <w:start w:val="1"/>
    </w:lvl>
  </w:abstractNum>
  <w:abstractNum w:abstractNumId="83">
    <w:nsid w:val="2C6E4AFD"/>
    <w:multiLevelType w:val="hybridMultilevel"/>
    <w:lvl w:ilvl="0">
      <w:lvlJc w:val="left"/>
      <w:lvlText w:val="%1"/>
      <w:numFmt w:val="lowerLetter"/>
      <w:start w:val="1"/>
    </w:lvl>
    <w:lvl w:ilvl="1">
      <w:lvlJc w:val="left"/>
      <w:lvlText w:val="(%2)"/>
      <w:numFmt w:val="lowerLetter"/>
      <w:start w:val="61"/>
    </w:lvl>
  </w:abstractNum>
  <w:abstractNum w:abstractNumId="84">
    <w:nsid w:val="17A1B582"/>
    <w:multiLevelType w:val="hybridMultilevel"/>
    <w:lvl w:ilvl="0">
      <w:lvlJc w:val="left"/>
      <w:lvlText w:val="(%1)"/>
      <w:numFmt w:val="lowerLetter"/>
      <w:start w:val="7"/>
    </w:lvl>
    <w:lvl w:ilvl="1">
      <w:lvlJc w:val="left"/>
      <w:lvlText w:val="%2"/>
      <w:numFmt w:val="lowerLetter"/>
      <w:start w:val="1"/>
    </w:lvl>
  </w:abstractNum>
  <w:abstractNum w:abstractNumId="85">
    <w:nsid w:val="4DF72E4E"/>
    <w:multiLevelType w:val="hybridMultilevel"/>
    <w:lvl w:ilvl="0">
      <w:lvlJc w:val="left"/>
      <w:lvlText w:val="(%1)"/>
      <w:numFmt w:val="lowerLetter"/>
      <w:start w:val="1"/>
    </w:lvl>
  </w:abstractNum>
  <w:abstractNum w:abstractNumId="86">
    <w:nsid w:val="5046B5A9"/>
    <w:multiLevelType w:val="hybridMultilevel"/>
    <w:lvl w:ilvl="0">
      <w:lvlJc w:val="left"/>
      <w:lvlText w:val="(%1)"/>
      <w:numFmt w:val="lowerLetter"/>
      <w:start w:val="1"/>
    </w:lvl>
  </w:abstractNum>
  <w:abstractNum w:abstractNumId="87">
    <w:nsid w:val="5D888A08"/>
    <w:multiLevelType w:val="hybridMultilevel"/>
    <w:lvl w:ilvl="0">
      <w:lvlJc w:val="left"/>
      <w:lvlText w:val="(%1)"/>
      <w:numFmt w:val="lowerLetter"/>
      <w:start w:val="2"/>
    </w:lvl>
    <w:lvl w:ilvl="1">
      <w:lvlJc w:val="left"/>
      <w:lvlText w:val="(%2)"/>
      <w:numFmt w:val="lowerRoman"/>
      <w:start w:val="1"/>
    </w:lvl>
  </w:abstractNum>
  <w:abstractNum w:abstractNumId="88">
    <w:nsid w:val="2A082C70"/>
    <w:multiLevelType w:val="hybridMultilevel"/>
    <w:lvl w:ilvl="0">
      <w:lvlJc w:val="left"/>
      <w:lvlText w:val="(%1)"/>
      <w:numFmt w:val="lowerRoman"/>
      <w:start w:val="3"/>
    </w:lvl>
  </w:abstractNum>
  <w:abstractNum w:abstractNumId="89">
    <w:nsid w:val="5EC6AFD4"/>
    <w:multiLevelType w:val="hybridMultilevel"/>
    <w:lvl w:ilvl="0">
      <w:lvlJc w:val="left"/>
      <w:lvlText w:val="(%1)"/>
      <w:numFmt w:val="lowerLetter"/>
      <w:start w:val="24"/>
    </w:lvl>
  </w:abstractNum>
  <w:abstractNum w:abstractNumId="90">
    <w:nsid w:val="19E21BB2"/>
    <w:multiLevelType w:val="hybridMultilevel"/>
    <w:lvl w:ilvl="0">
      <w:lvlJc w:val="left"/>
      <w:lvlText w:val="(%1)"/>
      <w:numFmt w:val="lowerLetter"/>
      <w:start w:val="4"/>
    </w:lvl>
  </w:abstractNum>
  <w:abstractNum w:abstractNumId="91">
    <w:nsid w:val="75E0858A"/>
    <w:multiLevelType w:val="hybridMultilevel"/>
    <w:lvl w:ilvl="0">
      <w:lvlJc w:val="left"/>
      <w:lvlText w:val="(%1)"/>
      <w:numFmt w:val="lowerLetter"/>
      <w:start w:val="5"/>
    </w:lvl>
  </w:abstractNum>
  <w:abstractNum w:abstractNumId="92">
    <w:nsid w:val="57A61A29"/>
    <w:multiLevelType w:val="hybridMultilevel"/>
    <w:lvl w:ilvl="0">
      <w:lvlJc w:val="left"/>
      <w:lvlText w:val="(%1)"/>
      <w:numFmt w:val="lowerLetter"/>
      <w:start w:val="1"/>
    </w:lvl>
    <w:lvl w:ilvl="1">
      <w:lvlJc w:val="left"/>
      <w:lvlText w:val="(%2)"/>
      <w:numFmt w:val="lowerRoman"/>
      <w:start w:val="1"/>
    </w:lvl>
  </w:abstractNum>
  <w:abstractNum w:abstractNumId="93">
    <w:nsid w:val="5399C654"/>
    <w:multiLevelType w:val="hybridMultilevel"/>
    <w:lvl w:ilvl="0">
      <w:lvlJc w:val="left"/>
      <w:lvlText w:val="(%1)"/>
      <w:numFmt w:val="lowerRoman"/>
      <w:start w:val="3"/>
    </w:lvl>
  </w:abstractNum>
  <w:abstractNum w:abstractNumId="94">
    <w:nsid w:val="20EE1348"/>
    <w:multiLevelType w:val="hybridMultilevel"/>
    <w:lvl w:ilvl="0">
      <w:lvlJc w:val="left"/>
      <w:lvlText w:val="(%1)"/>
      <w:numFmt w:val="lowerLetter"/>
      <w:start w:val="2"/>
    </w:lvl>
  </w:abstractNum>
  <w:abstractNum w:abstractNumId="95">
    <w:nsid w:val="4427069A"/>
    <w:multiLevelType w:val="hybridMultilevel"/>
    <w:lvl w:ilvl="0">
      <w:lvlJc w:val="left"/>
      <w:lvlText w:val="(%1)"/>
      <w:numFmt w:val="lowerLetter"/>
      <w:start w:val="4"/>
    </w:lvl>
  </w:abstractNum>
  <w:abstractNum w:abstractNumId="96">
    <w:nsid w:val="B37E80A"/>
    <w:multiLevelType w:val="hybridMultilevel"/>
    <w:lvl w:ilvl="0">
      <w:lvlJc w:val="left"/>
      <w:lvlText w:val="(%1)"/>
      <w:numFmt w:val="lowerLetter"/>
      <w:start w:val="1"/>
    </w:lvl>
  </w:abstractNum>
  <w:abstractNum w:abstractNumId="97">
    <w:nsid w:val="2157F6BC"/>
    <w:multiLevelType w:val="hybridMultilevel"/>
    <w:lvl w:ilvl="0">
      <w:lvlJc w:val="left"/>
      <w:lvlText w:val="(%1)"/>
      <w:numFmt w:val="lowerLetter"/>
      <w:start w:val="1"/>
    </w:lvl>
    <w:lvl w:ilvl="1">
      <w:lvlJc w:val="left"/>
      <w:lvlText w:val="(%2)"/>
      <w:numFmt w:val="lowerRoman"/>
      <w:start w:val="1"/>
    </w:lvl>
  </w:abstractNum>
  <w:abstractNum w:abstractNumId="98">
    <w:nsid w:val="704E1DD5"/>
    <w:multiLevelType w:val="hybridMultilevel"/>
    <w:lvl w:ilvl="0">
      <w:lvlJc w:val="left"/>
      <w:lvlText w:val="%1"/>
      <w:numFmt w:val="lowerLetter"/>
      <w:start w:val="1"/>
    </w:lvl>
    <w:lvl w:ilvl="1">
      <w:lvlJc w:val="left"/>
      <w:lvlText w:val="(%2)"/>
      <w:numFmt w:val="lowerRoman"/>
      <w:start w:val="7"/>
    </w:lvl>
  </w:abstractNum>
  <w:abstractNum w:abstractNumId="99">
    <w:nsid w:val="57D2F10E"/>
    <w:multiLevelType w:val="hybridMultilevel"/>
    <w:lvl w:ilvl="0">
      <w:lvlJc w:val="left"/>
      <w:lvlText w:val="(%1)"/>
      <w:numFmt w:val="lowerLetter"/>
      <w:start w:val="1"/>
    </w:lvl>
    <w:lvl w:ilvl="1">
      <w:lvlJc w:val="left"/>
      <w:lvlText w:val="(%2)"/>
      <w:numFmt w:val="lowerRoman"/>
      <w:start w:val="1"/>
    </w:lvl>
  </w:abstractNum>
  <w:abstractNum w:abstractNumId="100">
    <w:nsid w:val="BFFAE18"/>
    <w:multiLevelType w:val="hybridMultilevel"/>
    <w:lvl w:ilvl="0">
      <w:lvlJc w:val="left"/>
      <w:lvlText w:val="(%1)"/>
      <w:numFmt w:val="lowerLetter"/>
      <w:start w:val="3"/>
    </w:lvl>
  </w:abstractNum>
  <w:abstractNum w:abstractNumId="101">
    <w:nsid w:val="E3E47A8"/>
    <w:multiLevelType w:val="hybridMultilevel"/>
    <w:lvl w:ilvl="0">
      <w:lvlJc w:val="left"/>
      <w:lvlText w:val="(%1)"/>
      <w:numFmt w:val="lowerLetter"/>
      <w:start w:val="14"/>
    </w:lvl>
  </w:abstractNum>
  <w:abstractNum w:abstractNumId="102">
    <w:nsid w:val="2E48F044"/>
    <w:multiLevelType w:val="hybridMultilevel"/>
    <w:lvl w:ilvl="0">
      <w:lvlJc w:val="left"/>
      <w:lvlText w:val="(%1)"/>
      <w:numFmt w:val="lowerLetter"/>
      <w:start w:val="1"/>
    </w:lvl>
  </w:abstractNum>
  <w:abstractNum w:abstractNumId="103">
    <w:nsid w:val="49D0FEAC"/>
    <w:multiLevelType w:val="hybridMultilevel"/>
    <w:lvl w:ilvl="0">
      <w:lvlJc w:val="left"/>
      <w:lvlText w:val="%1"/>
      <w:numFmt w:val="lowerLetter"/>
      <w:start w:val="1"/>
    </w:lvl>
    <w:lvl w:ilvl="1">
      <w:lvlJc w:val="left"/>
      <w:lvlText w:val="(%2)"/>
      <w:numFmt w:val="lowerLetter"/>
      <w:start w:val="1"/>
    </w:lvl>
  </w:abstractNum>
  <w:abstractNum w:abstractNumId="104">
    <w:nsid w:val="4BEE5A5B"/>
    <w:multiLevelType w:val="hybridMultilevel"/>
    <w:lvl w:ilvl="0">
      <w:lvlJc w:val="left"/>
      <w:lvlText w:val="(%1)"/>
      <w:numFmt w:val="lowerLetter"/>
      <w:start w:val="35"/>
    </w:lvl>
    <w:lvl w:ilvl="1">
      <w:lvlJc w:val="left"/>
      <w:lvlText w:val="(%2)"/>
      <w:numFmt w:val="lowerLetter"/>
      <w:start w:val="3"/>
    </w:lvl>
  </w:abstractNum>
  <w:abstractNum w:abstractNumId="105">
    <w:nsid w:val="5551B9F3"/>
    <w:multiLevelType w:val="hybridMultilevel"/>
    <w:lvl w:ilvl="0">
      <w:lvlJc w:val="left"/>
      <w:lvlText w:val="(%1)"/>
      <w:numFmt w:val="lowerLetter"/>
      <w:start w:val="4"/>
    </w:lvl>
  </w:abstractNum>
  <w:abstractNum w:abstractNumId="106">
    <w:nsid w:val="24F6AB8E"/>
    <w:multiLevelType w:val="hybridMultilevel"/>
    <w:lvl w:ilvl="0">
      <w:lvlJc w:val="left"/>
      <w:lvlText w:val="(%1)"/>
      <w:numFmt w:val="lowerLetter"/>
      <w:start w:val="1"/>
    </w:lvl>
  </w:abstractNum>
  <w:abstractNum w:abstractNumId="107">
    <w:nsid w:val="634C574C"/>
    <w:multiLevelType w:val="hybridMultilevel"/>
    <w:lvl w:ilvl="0">
      <w:lvlJc w:val="left"/>
      <w:lvlText w:val="(%1)"/>
      <w:numFmt w:val="lowerLetter"/>
      <w:start w:val="1"/>
    </w:lvl>
  </w:abstractNum>
  <w:abstractNum w:abstractNumId="108">
    <w:nsid w:val="24E99DD7"/>
    <w:multiLevelType w:val="hybridMultilevel"/>
    <w:lvl w:ilvl="0">
      <w:lvlJc w:val="left"/>
      <w:lvlText w:val="(%1)"/>
      <w:numFmt w:val="lowerLetter"/>
      <w:start w:val="1"/>
    </w:lvl>
  </w:abstractNum>
  <w:abstractNum w:abstractNumId="109">
    <w:nsid w:val="2A31B62D"/>
    <w:multiLevelType w:val="hybridMultilevel"/>
    <w:lvl w:ilvl="0">
      <w:lvlJc w:val="left"/>
      <w:lvlText w:val="%1"/>
      <w:numFmt w:val="lowerLetter"/>
      <w:start w:val="1"/>
    </w:lvl>
    <w:lvl w:ilvl="1">
      <w:lvlJc w:val="left"/>
      <w:lvlText w:val="(%2)"/>
      <w:numFmt w:val="lowerLetter"/>
      <w:start w:val="2"/>
    </w:lvl>
  </w:abstractNum>
  <w:abstractNum w:abstractNumId="110">
    <w:nsid w:val="1849C29B"/>
    <w:multiLevelType w:val="hybridMultilevel"/>
    <w:lvl w:ilvl="0">
      <w:lvlJc w:val="left"/>
      <w:lvlText w:val="(%1)"/>
      <w:numFmt w:val="lowerLetter"/>
      <w:start w:val="35"/>
    </w:lvl>
    <w:lvl w:ilvl="1">
      <w:lvlJc w:val="left"/>
      <w:lvlText w:val="(%2)"/>
      <w:numFmt w:val="lowerLetter"/>
      <w:start w:val="4"/>
    </w:lvl>
  </w:abstractNum>
  <w:abstractNum w:abstractNumId="111">
    <w:nsid w:val="7DFF9D09"/>
    <w:multiLevelType w:val="hybridMultilevel"/>
    <w:lvl w:ilvl="0">
      <w:lvlJc w:val="left"/>
      <w:lvlText w:val="(%1)"/>
      <w:numFmt w:val="lowerLetter"/>
      <w:start w:val="3"/>
    </w:lvl>
  </w:abstractNum>
  <w:abstractNum w:abstractNumId="112">
    <w:nsid w:val="754342"/>
    <w:multiLevelType w:val="hybridMultilevel"/>
    <w:lvl w:ilvl="0">
      <w:lvlJc w:val="left"/>
      <w:lvlText w:val="(%1)"/>
      <w:numFmt w:val="lowerLetter"/>
      <w:start w:val="2"/>
    </w:lvl>
  </w:abstractNum>
  <w:abstractNum w:abstractNumId="113">
    <w:nsid w:val="69E7F3E5"/>
    <w:multiLevelType w:val="hybridMultilevel"/>
    <w:lvl w:ilvl="0">
      <w:lvlJc w:val="left"/>
      <w:lvlText w:val="(%1)"/>
      <w:numFmt w:val="lowerLetter"/>
      <w:start w:val="1"/>
    </w:lvl>
  </w:abstractNum>
  <w:abstractNum w:abstractNumId="114">
    <w:nsid w:val="2A6DE806"/>
    <w:multiLevelType w:val="hybridMultilevel"/>
    <w:lvl w:ilvl="0">
      <w:lvlJc w:val="left"/>
      <w:lvlText w:val="(%1)"/>
      <w:numFmt w:val="lowerLetter"/>
      <w:start w:val="1"/>
    </w:lvl>
  </w:abstractNum>
  <w:abstractNum w:abstractNumId="115">
    <w:nsid w:val="1816F8C4"/>
    <w:multiLevelType w:val="hybridMultilevel"/>
    <w:lvl w:ilvl="0">
      <w:lvlJc w:val="left"/>
      <w:lvlText w:val="(%1)"/>
      <w:numFmt w:val="lowerLetter"/>
      <w:start w:val="4"/>
    </w:lvl>
  </w:abstractNum>
  <w:abstractNum w:abstractNumId="116">
    <w:nsid w:val="37DF2233"/>
    <w:multiLevelType w:val="hybridMultilevel"/>
    <w:lvl w:ilvl="0">
      <w:lvlJc w:val="left"/>
      <w:lvlText w:val="(%1)"/>
      <w:numFmt w:val="lowerLetter"/>
      <w:start w:val="1"/>
    </w:lvl>
  </w:abstractNum>
  <w:abstractNum w:abstractNumId="117">
    <w:nsid w:val="7AB49DAF"/>
    <w:multiLevelType w:val="hybridMultilevel"/>
    <w:lvl w:ilvl="0">
      <w:lvlJc w:val="left"/>
      <w:lvlText w:val="(%1)"/>
      <w:numFmt w:val="lowerLetter"/>
      <w:start w:val="3"/>
    </w:lvl>
  </w:abstractNum>
  <w:abstractNum w:abstractNumId="118">
    <w:nsid w:val="759F82CD"/>
    <w:multiLevelType w:val="hybridMultilevel"/>
    <w:lvl w:ilvl="0">
      <w:lvlJc w:val="left"/>
      <w:lvlText w:val="(%1)"/>
      <w:numFmt w:val="lowerLetter"/>
      <w:start w:val="4"/>
    </w:lvl>
  </w:abstractNum>
  <w:abstractNum w:abstractNumId="119">
    <w:nsid w:val="61E74EA3"/>
    <w:multiLevelType w:val="hybridMultilevel"/>
    <w:lvl w:ilvl="0">
      <w:lvlJc w:val="left"/>
      <w:lvlText w:val="(%1)"/>
      <w:numFmt w:val="lowerLetter"/>
      <w:start w:val="11"/>
    </w:lvl>
  </w:abstractNum>
  <w:abstractNum w:abstractNumId="120">
    <w:nsid w:val="597B4D84"/>
    <w:multiLevelType w:val="hybridMultilevel"/>
    <w:lvl w:ilvl="0">
      <w:lvlJc w:val="left"/>
      <w:lvlText w:val="(%1)"/>
      <w:numFmt w:val="lowerLetter"/>
      <w:start w:val="1"/>
    </w:lvl>
  </w:abstractNum>
  <w:abstractNum w:abstractNumId="121">
    <w:nsid w:val="F819E7F"/>
    <w:multiLevelType w:val="hybridMultilevel"/>
    <w:lvl w:ilvl="0">
      <w:lvlJc w:val="left"/>
      <w:lvlText w:val="(%1)"/>
      <w:numFmt w:val="lowerLetter"/>
      <w:start w:val="10"/>
    </w:lvl>
  </w:abstractNum>
  <w:abstractNum w:abstractNumId="122">
    <w:nsid w:val="57C7D42D"/>
    <w:multiLevelType w:val="hybridMultilevel"/>
    <w:lvl w:ilvl="0">
      <w:lvlJc w:val="left"/>
      <w:lvlText w:val="(%1)"/>
      <w:numFmt w:val="lowerLetter"/>
      <w:start w:val="5"/>
    </w:lvl>
  </w:abstractNum>
  <w:abstractNum w:abstractNumId="123">
    <w:nsid w:val="312167AD"/>
    <w:multiLevelType w:val="hybridMultilevel"/>
    <w:lvl w:ilvl="0">
      <w:lvlJc w:val="left"/>
      <w:lvlText w:val="%1"/>
      <w:numFmt w:val="lowerLetter"/>
      <w:start w:val="1"/>
    </w:lvl>
    <w:lvl w:ilvl="1">
      <w:lvlJc w:val="left"/>
      <w:lvlText w:val="(%2)"/>
      <w:numFmt w:val="lowerLetter"/>
      <w:start w:val="1"/>
    </w:lvl>
  </w:abstractNum>
  <w:abstractNum w:abstractNumId="124">
    <w:nsid w:val="631B64D4"/>
    <w:multiLevelType w:val="hybridMultilevel"/>
    <w:lvl w:ilvl="0">
      <w:lvlJc w:val="left"/>
      <w:lvlText w:val="(%1)"/>
      <w:numFmt w:val="lowerLetter"/>
      <w:start w:val="35"/>
    </w:lvl>
    <w:lvl w:ilvl="1">
      <w:lvlJc w:val="left"/>
      <w:lvlText w:val="(%2)"/>
      <w:numFmt w:val="lowerLetter"/>
      <w:start w:val="3"/>
    </w:lvl>
  </w:abstractNum>
  <w:abstractNum w:abstractNumId="125">
    <w:nsid w:val="78B5E776"/>
    <w:multiLevelType w:val="hybridMultilevel"/>
    <w:lvl w:ilvl="0">
      <w:lvlJc w:val="left"/>
      <w:lvlText w:val="(%1)"/>
      <w:numFmt w:val="lowerLetter"/>
      <w:start w:val="6"/>
    </w:lvl>
  </w:abstractNum>
  <w:abstractNum w:abstractNumId="126">
    <w:nsid w:val="75486E47"/>
    <w:multiLevelType w:val="hybridMultilevel"/>
    <w:lvl w:ilvl="0">
      <w:lvlJc w:val="left"/>
      <w:lvlText w:val="(%1)"/>
      <w:numFmt w:val="lowerLetter"/>
      <w:start w:val="1"/>
    </w:lvl>
  </w:abstractNum>
  <w:abstractNum w:abstractNumId="127">
    <w:nsid w:val="6E534CDE"/>
    <w:multiLevelType w:val="hybridMultilevel"/>
    <w:lvl w:ilvl="0">
      <w:lvlJc w:val="left"/>
      <w:lvlText w:val="(%1)"/>
      <w:numFmt w:val="lowerLetter"/>
      <w:start w:val="2"/>
    </w:lvl>
  </w:abstractNum>
  <w:abstractNum w:abstractNumId="128">
    <w:nsid w:val="1A0DDE32"/>
    <w:multiLevelType w:val="hybridMultilevel"/>
    <w:lvl w:ilvl="0">
      <w:lvlJc w:val="left"/>
      <w:lvlText w:val="(%1)"/>
      <w:numFmt w:val="lowerLetter"/>
      <w:start w:val="1"/>
    </w:lvl>
  </w:abstractNum>
  <w:abstractNum w:abstractNumId="129">
    <w:nsid w:val="65968C1C"/>
    <w:multiLevelType w:val="hybridMultilevel"/>
    <w:lvl w:ilvl="0">
      <w:lvlJc w:val="left"/>
      <w:lvlText w:val="(%1)"/>
      <w:numFmt w:val="lowerLetter"/>
      <w:start w:val="3"/>
    </w:lvl>
  </w:abstractNum>
  <w:abstractNum w:abstractNumId="130">
    <w:nsid w:val="46263DEC"/>
    <w:multiLevelType w:val="hybridMultilevel"/>
    <w:lvl w:ilvl="0">
      <w:lvlJc w:val="left"/>
      <w:lvlText w:val="(%1)"/>
      <w:numFmt w:val="lowerLetter"/>
      <w:start w:val="1"/>
    </w:lvl>
    <w:lvl w:ilvl="1">
      <w:lvlJc w:val="left"/>
      <w:lvlText w:val="(%2)"/>
      <w:numFmt w:val="lowerRoman"/>
      <w:start w:val="1"/>
    </w:lvl>
  </w:abstractNum>
  <w:abstractNum w:abstractNumId="131">
    <w:nsid w:val="260D8C4A"/>
    <w:multiLevelType w:val="hybridMultilevel"/>
    <w:lvl w:ilvl="0">
      <w:lvlJc w:val="left"/>
      <w:lvlText w:val="(%1)"/>
      <w:numFmt w:val="lowerLetter"/>
      <w:start w:val="2"/>
    </w:lvl>
    <w:lvl w:ilvl="1">
      <w:lvlJc w:val="left"/>
      <w:lvlText w:val="(%2)"/>
      <w:numFmt w:val="lowerRoman"/>
      <w:start w:val="1"/>
    </w:lvl>
  </w:abstractNum>
  <w:abstractNum w:abstractNumId="132">
    <w:nsid w:val="73D4D3C4"/>
    <w:multiLevelType w:val="hybridMultilevel"/>
    <w:lvl w:ilvl="0">
      <w:lvlJc w:val="left"/>
      <w:lvlText w:val="(%1)"/>
      <w:numFmt w:val="lowerLetter"/>
      <w:start w:val="4"/>
    </w:lvl>
  </w:abstractNum>
  <w:abstractNum w:abstractNumId="133">
    <w:nsid w:val="746F2E30"/>
    <w:multiLevelType w:val="hybridMultilevel"/>
    <w:lvl w:ilvl="0">
      <w:lvlJc w:val="left"/>
      <w:lvlText w:val="(%1)"/>
      <w:numFmt w:val="lowerLetter"/>
      <w:start w:val="1"/>
    </w:lvl>
  </w:abstractNum>
  <w:abstractNum w:abstractNumId="134">
    <w:nsid w:val="6FDE8AF6"/>
    <w:multiLevelType w:val="hybridMultilevel"/>
    <w:lvl w:ilvl="0">
      <w:lvlJc w:val="left"/>
      <w:lvlText w:val="(%1)"/>
      <w:numFmt w:val="lowerLetter"/>
      <w:start w:val="2"/>
    </w:lvl>
  </w:abstractNum>
  <w:abstractNum w:abstractNumId="135">
    <w:nsid w:val="3FC32E20"/>
    <w:multiLevelType w:val="hybridMultilevel"/>
    <w:lvl w:ilvl="0">
      <w:lvlJc w:val="left"/>
      <w:lvlText w:val="(%1)"/>
      <w:numFmt w:val="lowerLetter"/>
      <w:start w:val="1"/>
    </w:lvl>
  </w:abstractNum>
  <w:abstractNum w:abstractNumId="136">
    <w:nsid w:val="49C0E823"/>
    <w:multiLevelType w:val="hybridMultilevel"/>
    <w:lvl w:ilvl="0">
      <w:lvlJc w:val="left"/>
      <w:lvlText w:val="(%1)"/>
      <w:numFmt w:val="lowerLetter"/>
      <w:start w:val="3"/>
    </w:lvl>
  </w:abstractNum>
  <w:abstractNum w:abstractNumId="137">
    <w:nsid w:val="14D53685"/>
    <w:multiLevelType w:val="hybridMultilevel"/>
    <w:lvl w:ilvl="0">
      <w:lvlJc w:val="left"/>
      <w:lvlText w:val="(%1)"/>
      <w:numFmt w:val="lowerLetter"/>
      <w:start w:val="2"/>
    </w:lvl>
  </w:abstractNum>
  <w:abstractNum w:abstractNumId="138">
    <w:nsid w:val="230F856C"/>
    <w:multiLevelType w:val="hybridMultilevel"/>
    <w:lvl w:ilvl="0">
      <w:lvlJc w:val="left"/>
      <w:lvlText w:val="(%1)"/>
      <w:numFmt w:val="lowerRoman"/>
      <w:start w:val="1"/>
    </w:lvl>
  </w:abstractNum>
  <w:abstractNum w:abstractNumId="139">
    <w:nsid w:val="6EAA85FB"/>
    <w:multiLevelType w:val="hybridMultilevel"/>
    <w:lvl w:ilvl="0">
      <w:lvlJc w:val="left"/>
      <w:lvlText w:val="(%1)"/>
      <w:numFmt w:val="lowerRoman"/>
      <w:start w:val="1"/>
    </w:lvl>
  </w:abstractNum>
  <w:abstractNum w:abstractNumId="140">
    <w:nsid w:val="3F06ECB2"/>
    <w:multiLevelType w:val="hybridMultilevel"/>
    <w:lvl w:ilvl="0">
      <w:lvlJc w:val="left"/>
      <w:lvlText w:val="(%1)"/>
      <w:numFmt w:val="lowerLetter"/>
      <w:start w:val="1"/>
    </w:lvl>
  </w:abstractNum>
  <w:abstractNum w:abstractNumId="141">
    <w:nsid w:val="3B594807"/>
    <w:multiLevelType w:val="hybridMultilevel"/>
    <w:lvl w:ilvl="0">
      <w:lvlJc w:val="left"/>
      <w:lvlText w:val="(%1)"/>
      <w:numFmt w:val="lowerLetter"/>
      <w:start w:val="2"/>
    </w:lvl>
  </w:abstractNum>
  <w:abstractNum w:abstractNumId="142">
    <w:nsid w:val="6CAA2304"/>
    <w:multiLevelType w:val="hybridMultilevel"/>
    <w:lvl w:ilvl="0">
      <w:lvlJc w:val="left"/>
      <w:lvlText w:val="%1"/>
      <w:numFmt w:val="lowerLetter"/>
      <w:start w:val="1"/>
    </w:lvl>
    <w:lvl w:ilvl="1">
      <w:lvlJc w:val="left"/>
      <w:lvlText w:val="(%2)"/>
      <w:numFmt w:val="lowerLetter"/>
      <w:start w:val="3"/>
    </w:lvl>
  </w:abstractNum>
  <w:abstractNum w:abstractNumId="143">
    <w:nsid w:val="3F7C2FF4"/>
    <w:multiLevelType w:val="hybridMultilevel"/>
    <w:lvl w:ilvl="0">
      <w:lvlJc w:val="left"/>
      <w:lvlText w:val="(%1)"/>
      <w:numFmt w:val="lowerLetter"/>
      <w:start w:val="35"/>
    </w:lvl>
    <w:lvl w:ilvl="1">
      <w:lvlJc w:val="left"/>
      <w:lvlText w:val="%2"/>
      <w:numFmt w:val="lowerLetter"/>
      <w:start w:val="1"/>
    </w:lvl>
  </w:abstractNum>
  <w:abstractNum w:abstractNumId="144">
    <w:nsid w:val="25413BEC"/>
    <w:multiLevelType w:val="hybridMultilevel"/>
    <w:lvl w:ilvl="0">
      <w:lvlJc w:val="left"/>
      <w:lvlText w:val="(%1)"/>
      <w:numFmt w:val="lowerLetter"/>
      <w:start w:val="1"/>
    </w:lvl>
  </w:abstractNum>
  <w:abstractNum w:abstractNumId="145">
    <w:nsid w:val="17180B0B"/>
    <w:multiLevelType w:val="hybridMultilevel"/>
    <w:lvl w:ilvl="0">
      <w:lvlJc w:val="left"/>
      <w:lvlText w:val="(%1)"/>
      <w:numFmt w:val="lowerLetter"/>
      <w:start w:val="4"/>
    </w:lvl>
  </w:abstractNum>
  <w:abstractNum w:abstractNumId="146">
    <w:nsid w:val="579328B9"/>
    <w:multiLevelType w:val="hybridMultilevel"/>
    <w:lvl w:ilvl="0">
      <w:lvlJc w:val="left"/>
      <w:lvlText w:val="(%1)"/>
      <w:numFmt w:val="lowerLetter"/>
      <w:start w:val="1"/>
    </w:lvl>
  </w:abstractNum>
  <w:abstractNum w:abstractNumId="147">
    <w:nsid w:val="5D205E20"/>
    <w:multiLevelType w:val="hybridMultilevel"/>
    <w:lvl w:ilvl="0">
      <w:lvlJc w:val="left"/>
      <w:lvlText w:val="(%1)"/>
      <w:numFmt w:val="lowerLetter"/>
      <w:start w:val="3"/>
    </w:lvl>
  </w:abstractNum>
  <w:abstractNum w:abstractNumId="148">
    <w:nsid w:val="11CCA8BA"/>
    <w:multiLevelType w:val="hybridMultilevel"/>
    <w:lvl w:ilvl="0">
      <w:lvlJc w:val="left"/>
      <w:lvlText w:val="(%1)"/>
      <w:numFmt w:val="lowerLetter"/>
      <w:start w:val="6"/>
    </w:lvl>
  </w:abstractNum>
  <w:abstractNum w:abstractNumId="149">
    <w:nsid w:val="4D32AB86"/>
    <w:multiLevelType w:val="hybridMultilevel"/>
    <w:lvl w:ilvl="0">
      <w:lvlJc w:val="left"/>
      <w:lvlText w:val="(%1)"/>
      <w:numFmt w:val="lowerLetter"/>
      <w:start w:val="10"/>
    </w:lvl>
  </w:abstractNum>
  <w:abstractNum w:abstractNumId="150">
    <w:nsid w:val="3F07ACC3"/>
    <w:multiLevelType w:val="hybridMultilevel"/>
    <w:lvl w:ilvl="0">
      <w:lvlJc w:val="left"/>
      <w:lvlText w:val="(%1)"/>
      <w:numFmt w:val="lowerLetter"/>
      <w:start w:val="15"/>
    </w:lvl>
  </w:abstractNum>
  <w:abstractNum w:abstractNumId="151">
    <w:nsid w:val="6B47F63E"/>
    <w:multiLevelType w:val="hybridMultilevel"/>
    <w:lvl w:ilvl="0">
      <w:lvlJc w:val="left"/>
      <w:lvlText w:val="(%1)"/>
      <w:numFmt w:val="lowerLetter"/>
      <w:start w:val="15"/>
    </w:lvl>
  </w:abstractNum>
  <w:abstractNum w:abstractNumId="152">
    <w:nsid w:val="5CB44A05"/>
    <w:multiLevelType w:val="hybridMultilevel"/>
    <w:lvl w:ilvl="0">
      <w:lvlJc w:val="left"/>
      <w:lvlText w:val="(%1)"/>
      <w:numFmt w:val="lowerLetter"/>
      <w:start w:val="1"/>
    </w:lvl>
  </w:abstractNum>
  <w:abstractNum w:abstractNumId="153">
    <w:nsid w:val="16CF80F1"/>
    <w:multiLevelType w:val="hybridMultilevel"/>
    <w:lvl w:ilvl="0">
      <w:lvlJc w:val="left"/>
      <w:lvlText w:val="(%1)"/>
      <w:numFmt w:val="lowerLetter"/>
      <w:start w:val="1"/>
    </w:lvl>
  </w:abstractNum>
  <w:abstractNum w:abstractNumId="154">
    <w:nsid w:val="1C695DEC"/>
    <w:multiLevelType w:val="hybridMultilevel"/>
    <w:lvl w:ilvl="0">
      <w:lvlJc w:val="left"/>
      <w:lvlText w:val="(%1)"/>
      <w:numFmt w:val="lowerLetter"/>
      <w:start w:val="2"/>
    </w:lvl>
  </w:abstractNum>
  <w:abstractNum w:abstractNumId="155">
    <w:nsid w:val="3FCFAED9"/>
    <w:multiLevelType w:val="hybridMultilevel"/>
    <w:lvl w:ilvl="0">
      <w:lvlJc w:val="left"/>
      <w:lvlText w:val="(%1)"/>
      <w:numFmt w:val="lowerLetter"/>
      <w:start w:val="3"/>
    </w:lvl>
  </w:abstractNum>
  <w:abstractNum w:abstractNumId="156">
    <w:nsid w:val="F856867"/>
    <w:multiLevelType w:val="hybridMultilevel"/>
    <w:lvl w:ilvl="0">
      <w:lvlJc w:val="left"/>
      <w:lvlText w:val="(%1)"/>
      <w:numFmt w:val="lowerLetter"/>
      <w:start w:val="4"/>
    </w:lvl>
  </w:abstractNum>
  <w:abstractNum w:abstractNumId="157">
    <w:nsid w:val="11B1CC33"/>
    <w:multiLevelType w:val="hybridMultilevel"/>
    <w:lvl w:ilvl="0">
      <w:lvlJc w:val="left"/>
      <w:lvlText w:val="%1"/>
      <w:numFmt w:val="lowerLetter"/>
      <w:start w:val="1"/>
    </w:lvl>
    <w:lvl w:ilvl="1">
      <w:lvlJc w:val="left"/>
      <w:lvlText w:val="(%2)"/>
      <w:numFmt w:val="lowerLetter"/>
      <w:start w:val="1"/>
    </w:lvl>
  </w:abstractNum>
  <w:abstractNum w:abstractNumId="158">
    <w:nsid w:val="2E22FBB7"/>
    <w:multiLevelType w:val="hybridMultilevel"/>
    <w:lvl w:ilvl="0">
      <w:lvlJc w:val="left"/>
      <w:lvlText w:val="(%1)"/>
      <w:numFmt w:val="lowerLetter"/>
      <w:start w:val="2"/>
    </w:lvl>
    <w:lvl w:ilvl="1">
      <w:lvlJc w:val="left"/>
      <w:lvlText w:val="%2"/>
      <w:numFmt w:val="lowerLetter"/>
      <w:start w:val="1"/>
    </w:lvl>
  </w:abstractNum>
  <w:abstractNum w:abstractNumId="159">
    <w:nsid w:val="29934699"/>
    <w:multiLevelType w:val="hybridMultilevel"/>
    <w:lvl w:ilvl="0">
      <w:lvlJc w:val="left"/>
      <w:lvlText w:val="(%1)"/>
      <w:numFmt w:val="lowerLetter"/>
      <w:start w:val="3"/>
    </w:lvl>
  </w:abstractNum>
  <w:abstractNum w:abstractNumId="160">
    <w:nsid w:val="77485850"/>
    <w:multiLevelType w:val="hybridMultilevel"/>
    <w:lvl w:ilvl="0">
      <w:lvlJc w:val="left"/>
      <w:lvlText w:val="(%1)"/>
      <w:numFmt w:val="lowerLetter"/>
      <w:start w:val="1"/>
    </w:lvl>
  </w:abstractNum>
  <w:abstractNum w:abstractNumId="161">
    <w:nsid w:val="744939A3"/>
    <w:multiLevelType w:val="hybridMultilevel"/>
    <w:lvl w:ilvl="0">
      <w:lvlJc w:val="left"/>
      <w:lvlText w:val="%1"/>
      <w:numFmt w:val="lowerRoman"/>
      <w:start w:val="1"/>
    </w:lvl>
    <w:lvl w:ilvl="1">
      <w:lvlJc w:val="left"/>
      <w:lvlText w:val="(%2)"/>
      <w:numFmt w:val="lowerLetter"/>
      <w:start w:val="3"/>
    </w:lvl>
  </w:abstractNum>
  <w:abstractNum w:abstractNumId="162">
    <w:nsid w:val="4FA0D2E3"/>
    <w:multiLevelType w:val="hybridMultilevel"/>
    <w:lvl w:ilvl="0">
      <w:lvlJc w:val="left"/>
      <w:lvlText w:val="(%1)"/>
      <w:numFmt w:val="lowerRoman"/>
      <w:start w:val="1"/>
    </w:lvl>
    <w:lvl w:ilvl="1">
      <w:lvlJc w:val="left"/>
      <w:lvlText w:val="%2"/>
      <w:numFmt w:val="lowerLetter"/>
      <w:start w:val="1"/>
    </w:lvl>
  </w:abstractNum>
  <w:abstractNum w:abstractNumId="163">
    <w:nsid w:val="6B1D2C14"/>
    <w:multiLevelType w:val="hybridMultilevel"/>
    <w:lvl w:ilvl="0">
      <w:lvlJc w:val="left"/>
      <w:lvlText w:val="(%1)"/>
      <w:numFmt w:val="lowerLetter"/>
      <w:start w:val="4"/>
    </w:lvl>
  </w:abstractNum>
  <w:abstractNum w:abstractNumId="164">
    <w:nsid w:val="68B867D3"/>
    <w:multiLevelType w:val="hybridMultilevel"/>
    <w:lvl w:ilvl="0">
      <w:lvlJc w:val="left"/>
      <w:lvlText w:val="(%1)"/>
      <w:numFmt w:val="lowerLetter"/>
      <w:start w:val="1"/>
    </w:lvl>
  </w:abstractNum>
  <w:abstractNum w:abstractNumId="165">
    <w:nsid w:val="3F7F5DD9"/>
    <w:multiLevelType w:val="hybridMultilevel"/>
    <w:lvl w:ilvl="0">
      <w:lvlJc w:val="left"/>
      <w:lvlText w:val="(%1)"/>
      <w:numFmt w:val="lowerLetter"/>
      <w:start w:val="4"/>
    </w:lvl>
  </w:abstractNum>
  <w:abstractNum w:abstractNumId="166">
    <w:nsid w:val="2AE05A34"/>
    <w:multiLevelType w:val="hybridMultilevel"/>
    <w:lvl w:ilvl="0">
      <w:lvlJc w:val="left"/>
      <w:lvlText w:val="(%1)"/>
      <w:numFmt w:val="lowerLetter"/>
      <w:start w:val="1"/>
    </w:lvl>
  </w:abstractNum>
  <w:abstractNum w:abstractNumId="167">
    <w:nsid w:val="32794FF7"/>
    <w:multiLevelType w:val="hybridMultilevel"/>
    <w:lvl w:ilvl="0">
      <w:lvlJc w:val="left"/>
      <w:lvlText w:val="(%1)"/>
      <w:numFmt w:val="lowerLetter"/>
      <w:start w:val="1"/>
    </w:lvl>
  </w:abstractNum>
  <w:abstractNum w:abstractNumId="168">
    <w:nsid w:val="5454945E"/>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2021-04-15T07:01:18Z</dcterms:created>
  <dcterms:modified xsi:type="dcterms:W3CDTF">2021-04-15T07:01:18Z</dcterms:modified>
</cp:coreProperties>
</file>