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29, 2005</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333-123028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37465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136525</wp:posOffset>
            </wp:positionV>
            <wp:extent cx="23939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w:t>
      </w:r>
    </w:p>
    <w:p>
      <w:pPr>
        <w:jc w:val="center"/>
        <w:spacing w:after="0"/>
        <w:rPr>
          <w:sz w:val="20"/>
          <w:szCs w:val="20"/>
          <w:color w:val="auto"/>
        </w:rPr>
      </w:pPr>
      <w:r>
        <w:rPr>
          <w:rFonts w:ascii="Times New Roman" w:cs="Times New Roman" w:eastAsia="Times New Roman" w:hAnsi="Times New Roman"/>
          <w:sz w:val="28"/>
          <w:szCs w:val="28"/>
          <w:b w:val="1"/>
          <w:bCs w:val="1"/>
          <w:color w:val="auto"/>
        </w:rPr>
        <w:t>FORM S-1</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137795</wp:posOffset>
            </wp:positionV>
            <wp:extent cx="23939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CITI TRENDS,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43" w:lineRule="exact"/>
        <w:rPr>
          <w:sz w:val="20"/>
          <w:szCs w:val="20"/>
          <w:color w:val="auto"/>
        </w:rPr>
      </w:pPr>
    </w:p>
    <w:tbl>
      <w:tblPr>
        <w:tblLayout w:type="fixed"/>
        <w:tblInd w:w="840" w:type="dxa"/>
        <w:tblCellMar>
          <w:top w:w="0" w:type="dxa"/>
          <w:left w:w="0" w:type="dxa"/>
          <w:bottom w:w="0" w:type="dxa"/>
          <w:right w:w="0" w:type="dxa"/>
        </w:tblCellMar>
      </w:tblPr>
      <w:tr>
        <w:trPr>
          <w:trHeight w:val="214"/>
        </w:trPr>
        <w:tc>
          <w:tcPr>
            <w:tcW w:w="242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4340" w:type="dxa"/>
            <w:vAlign w:val="bottom"/>
            <w:gridSpan w:val="2"/>
          </w:tcPr>
          <w:p>
            <w:pPr>
              <w:jc w:val="center"/>
              <w:ind w:left="958"/>
              <w:spacing w:after="0"/>
              <w:rPr>
                <w:sz w:val="20"/>
                <w:szCs w:val="20"/>
                <w:color w:val="auto"/>
              </w:rPr>
            </w:pPr>
            <w:r>
              <w:rPr>
                <w:rFonts w:ascii="Times New Roman" w:cs="Times New Roman" w:eastAsia="Times New Roman" w:hAnsi="Times New Roman"/>
                <w:sz w:val="18"/>
                <w:szCs w:val="18"/>
                <w:b w:val="1"/>
                <w:bCs w:val="1"/>
                <w:color w:val="auto"/>
                <w:w w:val="94"/>
              </w:rPr>
              <w:t>5600</w:t>
            </w:r>
          </w:p>
        </w:tc>
        <w:tc>
          <w:tcPr>
            <w:tcW w:w="820" w:type="dxa"/>
            <w:vAlign w:val="bottom"/>
          </w:tcPr>
          <w:p>
            <w:pPr>
              <w:spacing w:after="0"/>
              <w:rPr>
                <w:sz w:val="18"/>
                <w:szCs w:val="18"/>
                <w:color w:val="auto"/>
              </w:rPr>
            </w:pPr>
          </w:p>
        </w:tc>
        <w:tc>
          <w:tcPr>
            <w:tcW w:w="2140" w:type="dxa"/>
            <w:vAlign w:val="bottom"/>
          </w:tcPr>
          <w:p>
            <w:pPr>
              <w:jc w:val="center"/>
              <w:ind w:left="472"/>
              <w:spacing w:after="0"/>
              <w:rPr>
                <w:sz w:val="20"/>
                <w:szCs w:val="20"/>
                <w:color w:val="auto"/>
              </w:rPr>
            </w:pPr>
            <w:r>
              <w:rPr>
                <w:rFonts w:ascii="Times New Roman" w:cs="Times New Roman" w:eastAsia="Times New Roman" w:hAnsi="Times New Roman"/>
                <w:sz w:val="18"/>
                <w:szCs w:val="18"/>
                <w:b w:val="1"/>
                <w:bCs w:val="1"/>
                <w:color w:val="auto"/>
                <w:w w:val="98"/>
              </w:rPr>
              <w:t>52-2150697</w:t>
            </w:r>
          </w:p>
        </w:tc>
      </w:tr>
      <w:tr>
        <w:trPr>
          <w:trHeight w:val="212"/>
        </w:trPr>
        <w:tc>
          <w:tcPr>
            <w:tcW w:w="242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560" w:type="dxa"/>
            <w:vAlign w:val="bottom"/>
          </w:tcPr>
          <w:p>
            <w:pPr>
              <w:spacing w:after="0"/>
              <w:rPr>
                <w:sz w:val="18"/>
                <w:szCs w:val="18"/>
                <w:color w:val="auto"/>
              </w:rPr>
            </w:pPr>
          </w:p>
        </w:tc>
        <w:tc>
          <w:tcPr>
            <w:tcW w:w="4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(Primary standard industrial</w:t>
            </w:r>
          </w:p>
        </w:tc>
        <w:tc>
          <w:tcPr>
            <w:tcW w:w="214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29"/>
        </w:trPr>
        <w:tc>
          <w:tcPr>
            <w:tcW w:w="242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60" w:type="dxa"/>
            <w:vAlign w:val="bottom"/>
          </w:tcPr>
          <w:p>
            <w:pPr>
              <w:spacing w:after="0"/>
              <w:rPr>
                <w:sz w:val="19"/>
                <w:szCs w:val="19"/>
                <w:color w:val="auto"/>
              </w:rPr>
            </w:pPr>
          </w:p>
        </w:tc>
        <w:tc>
          <w:tcPr>
            <w:tcW w:w="4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classification code number)</w:t>
            </w:r>
          </w:p>
        </w:tc>
        <w:tc>
          <w:tcPr>
            <w:tcW w:w="214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w w:val="97"/>
              </w:rPr>
              <w:t>identification number)</w:t>
            </w:r>
          </w:p>
        </w:tc>
      </w:tr>
      <w:tr>
        <w:trPr>
          <w:trHeight w:val="213"/>
        </w:trPr>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356"/>
        </w:trPr>
        <w:tc>
          <w:tcPr>
            <w:tcW w:w="2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102 Fahm Street</w:t>
            </w:r>
          </w:p>
        </w:tc>
        <w:tc>
          <w:tcPr>
            <w:tcW w:w="2140" w:type="dxa"/>
            <w:vAlign w:val="bottom"/>
          </w:tcPr>
          <w:p>
            <w:pPr>
              <w:spacing w:after="0"/>
              <w:rPr>
                <w:sz w:val="24"/>
                <w:szCs w:val="24"/>
                <w:color w:val="auto"/>
              </w:rPr>
            </w:pPr>
          </w:p>
        </w:tc>
      </w:tr>
      <w:tr>
        <w:trPr>
          <w:trHeight w:val="212"/>
        </w:trPr>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Savannah, Georgia 31401</w:t>
            </w:r>
          </w:p>
        </w:tc>
        <w:tc>
          <w:tcPr>
            <w:tcW w:w="2140" w:type="dxa"/>
            <w:vAlign w:val="bottom"/>
          </w:tcPr>
          <w:p>
            <w:pPr>
              <w:spacing w:after="0"/>
              <w:rPr>
                <w:sz w:val="18"/>
                <w:szCs w:val="18"/>
                <w:color w:val="auto"/>
              </w:rPr>
            </w:pPr>
          </w:p>
        </w:tc>
      </w:tr>
      <w:tr>
        <w:trPr>
          <w:trHeight w:val="209"/>
        </w:trPr>
        <w:tc>
          <w:tcPr>
            <w:tcW w:w="2420" w:type="dxa"/>
            <w:vAlign w:val="bottom"/>
          </w:tcPr>
          <w:p>
            <w:pPr>
              <w:spacing w:after="0"/>
              <w:rPr>
                <w:sz w:val="18"/>
                <w:szCs w:val="18"/>
                <w:color w:val="auto"/>
              </w:rPr>
            </w:pPr>
          </w:p>
        </w:tc>
        <w:tc>
          <w:tcPr>
            <w:tcW w:w="4340" w:type="dxa"/>
            <w:vAlign w:val="bottom"/>
            <w:gridSpan w:val="2"/>
          </w:tcPr>
          <w:p>
            <w:pPr>
              <w:jc w:val="center"/>
              <w:ind w:left="478"/>
              <w:spacing w:after="0"/>
              <w:rPr>
                <w:sz w:val="20"/>
                <w:szCs w:val="20"/>
                <w:color w:val="auto"/>
              </w:rPr>
            </w:pPr>
            <w:r>
              <w:rPr>
                <w:rFonts w:ascii="Times New Roman" w:cs="Times New Roman" w:eastAsia="Times New Roman" w:hAnsi="Times New Roman"/>
                <w:sz w:val="18"/>
                <w:szCs w:val="18"/>
                <w:b w:val="1"/>
                <w:bCs w:val="1"/>
                <w:color w:val="auto"/>
                <w:w w:val="97"/>
              </w:rPr>
              <w:t>(912) 236-1561</w:t>
            </w:r>
          </w:p>
        </w:tc>
        <w:tc>
          <w:tcPr>
            <w:tcW w:w="82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146"/>
        </w:trPr>
        <w:tc>
          <w:tcPr>
            <w:tcW w:w="2420" w:type="dxa"/>
            <w:vAlign w:val="bottom"/>
          </w:tcPr>
          <w:p>
            <w:pPr>
              <w:spacing w:after="0"/>
              <w:rPr>
                <w:sz w:val="12"/>
                <w:szCs w:val="12"/>
                <w:color w:val="auto"/>
              </w:rPr>
            </w:pPr>
          </w:p>
        </w:tc>
        <w:tc>
          <w:tcPr>
            <w:tcW w:w="516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color w:val="auto"/>
              </w:rPr>
              <w:t>(Address, including zip code, and telephone number, including area code, of</w:t>
            </w:r>
          </w:p>
        </w:tc>
        <w:tc>
          <w:tcPr>
            <w:tcW w:w="2140" w:type="dxa"/>
            <w:vAlign w:val="bottom"/>
          </w:tcPr>
          <w:p>
            <w:pPr>
              <w:spacing w:after="0"/>
              <w:rPr>
                <w:sz w:val="12"/>
                <w:szCs w:val="12"/>
                <w:color w:val="auto"/>
              </w:rPr>
            </w:pPr>
          </w:p>
        </w:tc>
      </w:tr>
      <w:tr>
        <w:trPr>
          <w:trHeight w:val="184"/>
        </w:trPr>
        <w:tc>
          <w:tcPr>
            <w:tcW w:w="2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registrant’s principal executive offices)</w:t>
            </w:r>
          </w:p>
        </w:tc>
        <w:tc>
          <w:tcPr>
            <w:tcW w:w="21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124460</wp:posOffset>
            </wp:positionV>
            <wp:extent cx="23939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Edward Anderson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102 Fahm Street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Savannah, Georgia 31401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(912) 236-1561</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128905</wp:posOffset>
            </wp:positionV>
            <wp:extent cx="23939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146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54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Copies to:</w:t>
            </w:r>
          </w:p>
        </w:tc>
      </w:tr>
      <w:tr>
        <w:trPr>
          <w:trHeight w:val="258"/>
        </w:trPr>
        <w:tc>
          <w:tcPr>
            <w:tcW w:w="346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6"/>
              </w:rPr>
              <w:t>William F. Schwitter, Esq.</w:t>
            </w:r>
          </w:p>
        </w:tc>
        <w:tc>
          <w:tcPr>
            <w:tcW w:w="5460" w:type="dxa"/>
            <w:vAlign w:val="bottom"/>
          </w:tcPr>
          <w:p>
            <w:pPr>
              <w:jc w:val="center"/>
              <w:ind w:left="2312"/>
              <w:spacing w:after="0"/>
              <w:rPr>
                <w:sz w:val="20"/>
                <w:szCs w:val="20"/>
                <w:color w:val="auto"/>
              </w:rPr>
            </w:pPr>
            <w:r>
              <w:rPr>
                <w:rFonts w:ascii="Times New Roman" w:cs="Times New Roman" w:eastAsia="Times New Roman" w:hAnsi="Times New Roman"/>
                <w:sz w:val="18"/>
                <w:szCs w:val="18"/>
                <w:b w:val="1"/>
                <w:bCs w:val="1"/>
                <w:color w:val="auto"/>
                <w:w w:val="96"/>
              </w:rPr>
              <w:t>Richard C. Tilghman, Jr., Esq.</w:t>
            </w:r>
          </w:p>
        </w:tc>
      </w:tr>
      <w:tr>
        <w:trPr>
          <w:trHeight w:val="212"/>
        </w:trPr>
        <w:tc>
          <w:tcPr>
            <w:tcW w:w="346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7"/>
              </w:rPr>
              <w:t>Paul, Hastings, Janofsky &amp; Walker LLP</w:t>
            </w:r>
          </w:p>
        </w:tc>
        <w:tc>
          <w:tcPr>
            <w:tcW w:w="5460" w:type="dxa"/>
            <w:vAlign w:val="bottom"/>
          </w:tcPr>
          <w:p>
            <w:pPr>
              <w:jc w:val="center"/>
              <w:ind w:left="2312"/>
              <w:spacing w:after="0"/>
              <w:rPr>
                <w:sz w:val="20"/>
                <w:szCs w:val="20"/>
                <w:color w:val="auto"/>
              </w:rPr>
            </w:pPr>
            <w:r>
              <w:rPr>
                <w:rFonts w:ascii="Times New Roman" w:cs="Times New Roman" w:eastAsia="Times New Roman" w:hAnsi="Times New Roman"/>
                <w:sz w:val="18"/>
                <w:szCs w:val="18"/>
                <w:b w:val="1"/>
                <w:bCs w:val="1"/>
                <w:color w:val="auto"/>
                <w:w w:val="97"/>
              </w:rPr>
              <w:t>Wm. David Chalk, Esq.</w:t>
            </w:r>
          </w:p>
        </w:tc>
      </w:tr>
      <w:tr>
        <w:trPr>
          <w:trHeight w:val="212"/>
        </w:trPr>
        <w:tc>
          <w:tcPr>
            <w:tcW w:w="3460" w:type="dxa"/>
            <w:vAlign w:val="bottom"/>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7"/>
              </w:rPr>
              <w:t>75 East 55th Street</w:t>
            </w:r>
          </w:p>
        </w:tc>
        <w:tc>
          <w:tcPr>
            <w:tcW w:w="5460" w:type="dxa"/>
            <w:vAlign w:val="bottom"/>
          </w:tcPr>
          <w:p>
            <w:pPr>
              <w:jc w:val="center"/>
              <w:ind w:left="2332"/>
              <w:spacing w:after="0"/>
              <w:rPr>
                <w:sz w:val="20"/>
                <w:szCs w:val="20"/>
                <w:color w:val="auto"/>
              </w:rPr>
            </w:pPr>
            <w:r>
              <w:rPr>
                <w:rFonts w:ascii="Times New Roman" w:cs="Times New Roman" w:eastAsia="Times New Roman" w:hAnsi="Times New Roman"/>
                <w:sz w:val="18"/>
                <w:szCs w:val="18"/>
                <w:b w:val="1"/>
                <w:bCs w:val="1"/>
                <w:color w:val="auto"/>
                <w:w w:val="98"/>
              </w:rPr>
              <w:t>DLA Piper Rudnick Gray Cary US LLP</w:t>
            </w:r>
          </w:p>
        </w:tc>
      </w:tr>
      <w:tr>
        <w:trPr>
          <w:trHeight w:val="212"/>
        </w:trPr>
        <w:tc>
          <w:tcPr>
            <w:tcW w:w="346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6"/>
              </w:rPr>
              <w:t>New York, New York 10022</w:t>
            </w:r>
          </w:p>
        </w:tc>
        <w:tc>
          <w:tcPr>
            <w:tcW w:w="5460" w:type="dxa"/>
            <w:vAlign w:val="bottom"/>
          </w:tcPr>
          <w:p>
            <w:pPr>
              <w:jc w:val="center"/>
              <w:ind w:left="2332"/>
              <w:spacing w:after="0"/>
              <w:rPr>
                <w:sz w:val="20"/>
                <w:szCs w:val="20"/>
                <w:color w:val="auto"/>
              </w:rPr>
            </w:pPr>
            <w:r>
              <w:rPr>
                <w:rFonts w:ascii="Times New Roman" w:cs="Times New Roman" w:eastAsia="Times New Roman" w:hAnsi="Times New Roman"/>
                <w:sz w:val="18"/>
                <w:szCs w:val="18"/>
                <w:b w:val="1"/>
                <w:bCs w:val="1"/>
                <w:color w:val="auto"/>
                <w:w w:val="96"/>
              </w:rPr>
              <w:t>6225 Smith Avenue</w:t>
            </w:r>
          </w:p>
        </w:tc>
      </w:tr>
      <w:tr>
        <w:trPr>
          <w:trHeight w:val="212"/>
        </w:trPr>
        <w:tc>
          <w:tcPr>
            <w:tcW w:w="3460" w:type="dxa"/>
            <w:vAlign w:val="bottom"/>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7"/>
              </w:rPr>
              <w:t>(212) 318-6000</w:t>
            </w:r>
          </w:p>
        </w:tc>
        <w:tc>
          <w:tcPr>
            <w:tcW w:w="5460" w:type="dxa"/>
            <w:vAlign w:val="bottom"/>
          </w:tcPr>
          <w:p>
            <w:pPr>
              <w:jc w:val="center"/>
              <w:ind w:left="2332"/>
              <w:spacing w:after="0"/>
              <w:rPr>
                <w:sz w:val="20"/>
                <w:szCs w:val="20"/>
                <w:color w:val="auto"/>
              </w:rPr>
            </w:pPr>
            <w:r>
              <w:rPr>
                <w:rFonts w:ascii="Times New Roman" w:cs="Times New Roman" w:eastAsia="Times New Roman" w:hAnsi="Times New Roman"/>
                <w:sz w:val="18"/>
                <w:szCs w:val="18"/>
                <w:b w:val="1"/>
                <w:bCs w:val="1"/>
                <w:color w:val="auto"/>
                <w:w w:val="97"/>
              </w:rPr>
              <w:t>Baltimore, Maryland 21209</w:t>
            </w:r>
          </w:p>
        </w:tc>
      </w:tr>
      <w:tr>
        <w:trPr>
          <w:trHeight w:val="212"/>
        </w:trPr>
        <w:tc>
          <w:tcPr>
            <w:tcW w:w="3460" w:type="dxa"/>
            <w:vAlign w:val="bottom"/>
          </w:tcPr>
          <w:p>
            <w:pPr>
              <w:jc w:val="center"/>
              <w:ind w:right="352"/>
              <w:spacing w:after="0"/>
              <w:rPr>
                <w:sz w:val="20"/>
                <w:szCs w:val="20"/>
                <w:color w:val="auto"/>
              </w:rPr>
            </w:pPr>
            <w:r>
              <w:rPr>
                <w:rFonts w:ascii="Times New Roman" w:cs="Times New Roman" w:eastAsia="Times New Roman" w:hAnsi="Times New Roman"/>
                <w:sz w:val="18"/>
                <w:szCs w:val="18"/>
                <w:b w:val="1"/>
                <w:bCs w:val="1"/>
                <w:color w:val="auto"/>
                <w:w w:val="98"/>
              </w:rPr>
              <w:t>(212) 319-4090 (fax)</w:t>
            </w:r>
          </w:p>
        </w:tc>
        <w:tc>
          <w:tcPr>
            <w:tcW w:w="5460" w:type="dxa"/>
            <w:vAlign w:val="bottom"/>
          </w:tcPr>
          <w:p>
            <w:pPr>
              <w:jc w:val="center"/>
              <w:ind w:left="2312"/>
              <w:spacing w:after="0"/>
              <w:rPr>
                <w:sz w:val="20"/>
                <w:szCs w:val="20"/>
                <w:color w:val="auto"/>
              </w:rPr>
            </w:pPr>
            <w:r>
              <w:rPr>
                <w:rFonts w:ascii="Times New Roman" w:cs="Times New Roman" w:eastAsia="Times New Roman" w:hAnsi="Times New Roman"/>
                <w:sz w:val="18"/>
                <w:szCs w:val="18"/>
                <w:b w:val="1"/>
                <w:bCs w:val="1"/>
                <w:color w:val="auto"/>
                <w:w w:val="97"/>
              </w:rPr>
              <w:t>(410) 580-3000</w:t>
            </w:r>
          </w:p>
        </w:tc>
      </w:tr>
      <w:tr>
        <w:trPr>
          <w:trHeight w:val="231"/>
        </w:trPr>
        <w:tc>
          <w:tcPr>
            <w:tcW w:w="3460" w:type="dxa"/>
            <w:vAlign w:val="bottom"/>
          </w:tcPr>
          <w:p>
            <w:pPr>
              <w:spacing w:after="0"/>
              <w:rPr>
                <w:sz w:val="20"/>
                <w:szCs w:val="20"/>
                <w:color w:val="auto"/>
              </w:rPr>
            </w:pPr>
          </w:p>
        </w:tc>
        <w:tc>
          <w:tcPr>
            <w:tcW w:w="5460" w:type="dxa"/>
            <w:vAlign w:val="bottom"/>
          </w:tcPr>
          <w:p>
            <w:pPr>
              <w:jc w:val="center"/>
              <w:ind w:left="2312"/>
              <w:spacing w:after="0"/>
              <w:rPr>
                <w:sz w:val="20"/>
                <w:szCs w:val="20"/>
                <w:color w:val="auto"/>
              </w:rPr>
            </w:pPr>
            <w:r>
              <w:rPr>
                <w:rFonts w:ascii="Times New Roman" w:cs="Times New Roman" w:eastAsia="Times New Roman" w:hAnsi="Times New Roman"/>
                <w:sz w:val="18"/>
                <w:szCs w:val="18"/>
                <w:b w:val="1"/>
                <w:bCs w:val="1"/>
                <w:color w:val="auto"/>
                <w:w w:val="98"/>
              </w:rPr>
              <w:t>(410) 580-3001 (fax)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135255</wp:posOffset>
            </wp:positionV>
            <wp:extent cx="2393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3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becomes effective.</w:t>
      </w:r>
    </w:p>
    <w:p>
      <w:pPr>
        <w:spacing w:after="0" w:line="25" w:lineRule="exact"/>
        <w:rPr>
          <w:sz w:val="20"/>
          <w:szCs w:val="20"/>
          <w:color w:val="auto"/>
        </w:rPr>
      </w:pPr>
    </w:p>
    <w:p>
      <w:pPr>
        <w:ind w:right="400" w:firstLine="357"/>
        <w:spacing w:after="0" w:line="258" w:lineRule="auto"/>
        <w:rPr>
          <w:sz w:val="20"/>
          <w:szCs w:val="20"/>
          <w:color w:val="auto"/>
        </w:rPr>
      </w:pPr>
      <w:r>
        <w:rPr>
          <w:rFonts w:ascii="Times New Roman" w:cs="Times New Roman" w:eastAsia="Times New Roman" w:hAnsi="Times New Roman"/>
          <w:sz w:val="16"/>
          <w:szCs w:val="16"/>
          <w:color w:val="auto"/>
        </w:rPr>
        <w:t>If any of the securities being registered on this Form are to be offered on a delayed or continuous basis pursuant to Rule 415 under the Securities Act of 1933, check the following box. o</w:t>
      </w:r>
    </w:p>
    <w:p>
      <w:pPr>
        <w:spacing w:after="0" w:line="1" w:lineRule="exact"/>
        <w:rPr>
          <w:sz w:val="20"/>
          <w:szCs w:val="20"/>
          <w:color w:val="auto"/>
        </w:rPr>
      </w:pPr>
    </w:p>
    <w:p>
      <w:pPr>
        <w:ind w:right="460" w:firstLine="357"/>
        <w:spacing w:after="0" w:line="258" w:lineRule="auto"/>
        <w:rPr>
          <w:sz w:val="20"/>
          <w:szCs w:val="20"/>
          <w:color w:val="auto"/>
        </w:rPr>
      </w:pPr>
      <w:r>
        <w:rPr>
          <w:rFonts w:ascii="Times New Roman" w:cs="Times New Roman" w:eastAsia="Times New Roman" w:hAnsi="Times New Roman"/>
          <w:sz w:val="16"/>
          <w:szCs w:val="16"/>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right="220" w:firstLine="357"/>
        <w:spacing w:after="0" w:line="258" w:lineRule="auto"/>
        <w:rPr>
          <w:sz w:val="20"/>
          <w:szCs w:val="20"/>
          <w:color w:val="auto"/>
        </w:rPr>
      </w:pPr>
      <w:r>
        <w:rPr>
          <w:rFonts w:ascii="Times New Roman" w:cs="Times New Roman" w:eastAsia="Times New Roman" w:hAnsi="Times New Roman"/>
          <w:sz w:val="16"/>
          <w:szCs w:val="16"/>
          <w:color w:val="auto"/>
        </w:rPr>
        <w:t>If this Form is a post 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right="220" w:firstLine="357"/>
        <w:spacing w:after="0" w:line="258" w:lineRule="auto"/>
        <w:rPr>
          <w:sz w:val="20"/>
          <w:szCs w:val="20"/>
          <w:color w:val="auto"/>
        </w:rPr>
      </w:pPr>
      <w:r>
        <w:rPr>
          <w:rFonts w:ascii="Times New Roman" w:cs="Times New Roman" w:eastAsia="Times New Roman" w:hAnsi="Times New Roman"/>
          <w:sz w:val="16"/>
          <w:szCs w:val="16"/>
          <w:color w:val="auto"/>
        </w:rPr>
        <w:t>If this Form is a post 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0"/>
          <w:szCs w:val="20"/>
          <w:color w:val="auto"/>
        </w:rPr>
      </w:pPr>
    </w:p>
    <w:p>
      <w:pPr>
        <w:ind w:left="360"/>
        <w:spacing w:after="0"/>
        <w:tabs>
          <w:tab w:leader="none" w:pos="7240" w:val="left"/>
        </w:tabs>
        <w:rPr>
          <w:sz w:val="20"/>
          <w:szCs w:val="20"/>
          <w:color w:val="auto"/>
        </w:rPr>
      </w:pPr>
      <w:r>
        <w:rPr>
          <w:rFonts w:ascii="Times New Roman" w:cs="Times New Roman" w:eastAsia="Times New Roman" w:hAnsi="Times New Roman"/>
          <w:sz w:val="16"/>
          <w:szCs w:val="16"/>
          <w:color w:val="auto"/>
        </w:rPr>
        <w:t>If delivery of the prospectus is expected to be made pursuant to Rule 434, please check the following box.</w:t>
        <w:tab/>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146685</wp:posOffset>
            </wp:positionV>
            <wp:extent cx="2393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34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2280" w:type="dxa"/>
            <w:vAlign w:val="bottom"/>
            <w:tcBorders>
              <w:top w:val="single" w:sz="8" w:color="auto"/>
              <w:bottom w:val="single" w:sz="8" w:color="auto"/>
            </w:tcBorders>
          </w:tcPr>
          <w:p>
            <w:pPr>
              <w:spacing w:after="0"/>
              <w:rPr>
                <w:sz w:val="3"/>
                <w:szCs w:val="3"/>
                <w:color w:val="auto"/>
              </w:rPr>
            </w:pPr>
          </w:p>
        </w:tc>
        <w:tc>
          <w:tcPr>
            <w:tcW w:w="25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340" w:type="dxa"/>
            <w:vAlign w:val="bottom"/>
            <w:tcBorders>
              <w:right w:val="single" w:sz="8" w:color="auto"/>
            </w:tcBorders>
            <w:vMerge w:val="restart"/>
          </w:tcPr>
          <w:p>
            <w:pPr>
              <w:jc w:val="center"/>
              <w:ind w:right="169"/>
              <w:spacing w:after="0"/>
              <w:rPr>
                <w:sz w:val="20"/>
                <w:szCs w:val="20"/>
                <w:color w:val="auto"/>
              </w:rPr>
            </w:pPr>
            <w:r>
              <w:rPr>
                <w:rFonts w:ascii="Times New Roman" w:cs="Times New Roman" w:eastAsia="Times New Roman" w:hAnsi="Times New Roman"/>
                <w:sz w:val="14"/>
                <w:szCs w:val="14"/>
                <w:color w:val="auto"/>
                <w:w w:val="99"/>
              </w:rPr>
              <w:t>Title of Each Class of</w:t>
            </w:r>
          </w:p>
        </w:tc>
        <w:tc>
          <w:tcPr>
            <w:tcW w:w="2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to be</w:t>
            </w:r>
          </w:p>
        </w:tc>
        <w:tc>
          <w:tcPr>
            <w:tcW w:w="228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color w:val="auto"/>
              </w:rPr>
              <w:t>Proposed Maximum</w:t>
            </w:r>
          </w:p>
        </w:tc>
        <w:tc>
          <w:tcPr>
            <w:tcW w:w="2500" w:type="dxa"/>
            <w:vAlign w:val="bottom"/>
            <w:vMerge w:val="restart"/>
          </w:tcPr>
          <w:p>
            <w:pPr>
              <w:jc w:val="center"/>
              <w:ind w:left="169"/>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40" w:type="dxa"/>
            <w:vAlign w:val="bottom"/>
            <w:tcBorders>
              <w:right w:val="single" w:sz="8" w:color="auto"/>
            </w:tcBorders>
            <w:vMerge w:val="continue"/>
          </w:tcPr>
          <w:p>
            <w:pPr>
              <w:spacing w:after="0"/>
              <w:rPr>
                <w:sz w:val="12"/>
                <w:szCs w:val="12"/>
                <w:color w:val="auto"/>
              </w:rPr>
            </w:pPr>
          </w:p>
        </w:tc>
        <w:tc>
          <w:tcPr>
            <w:tcW w:w="2280" w:type="dxa"/>
            <w:vAlign w:val="bottom"/>
            <w:tcBorders>
              <w:right w:val="single" w:sz="8" w:color="auto"/>
            </w:tcBorders>
            <w:vMerge w:val="continue"/>
          </w:tcPr>
          <w:p>
            <w:pPr>
              <w:spacing w:after="0"/>
              <w:rPr>
                <w:sz w:val="12"/>
                <w:szCs w:val="12"/>
                <w:color w:val="auto"/>
              </w:rPr>
            </w:pPr>
          </w:p>
        </w:tc>
        <w:tc>
          <w:tcPr>
            <w:tcW w:w="228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color w:val="auto"/>
                <w:w w:val="99"/>
              </w:rPr>
              <w:t>Aggregate Offering</w:t>
            </w: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40" w:type="dxa"/>
            <w:vAlign w:val="bottom"/>
            <w:tcBorders>
              <w:bottom w:val="single" w:sz="8" w:color="auto"/>
              <w:right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Securities to be Registered</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Price(1)(2)</w:t>
            </w:r>
          </w:p>
        </w:tc>
        <w:tc>
          <w:tcPr>
            <w:tcW w:w="250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color w:val="auto"/>
              </w:rPr>
              <w:t>Registration Fee(3)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340" w:type="dxa"/>
            <w:vAlign w:val="bottom"/>
            <w:tcBorders>
              <w:bottom w:val="single" w:sz="8" w:color="auto"/>
              <w:right w:val="single" w:sz="8" w:color="auto"/>
            </w:tcBorders>
          </w:tcPr>
          <w:p>
            <w:pPr>
              <w:spacing w:after="0" w:line="152" w:lineRule="exact"/>
              <w:rPr>
                <w:sz w:val="20"/>
                <w:szCs w:val="20"/>
                <w:color w:val="auto"/>
              </w:rPr>
            </w:pPr>
            <w:r>
              <w:rPr>
                <w:rFonts w:ascii="Times New Roman" w:cs="Times New Roman" w:eastAsia="Times New Roman" w:hAnsi="Times New Roman"/>
                <w:sz w:val="14"/>
                <w:szCs w:val="14"/>
                <w:color w:val="auto"/>
              </w:rPr>
              <w:t>Common Stock, par value $.01 per share</w:t>
            </w:r>
          </w:p>
        </w:tc>
        <w:tc>
          <w:tcPr>
            <w:tcW w:w="2280" w:type="dxa"/>
            <w:vAlign w:val="bottom"/>
            <w:tcBorders>
              <w:bottom w:val="single" w:sz="8" w:color="auto"/>
              <w:right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color w:val="auto"/>
              </w:rPr>
              <w:t>4,427,500</w:t>
            </w:r>
          </w:p>
        </w:tc>
        <w:tc>
          <w:tcPr>
            <w:tcW w:w="2280" w:type="dxa"/>
            <w:vAlign w:val="bottom"/>
            <w:tcBorders>
              <w:bottom w:val="single" w:sz="8" w:color="auto"/>
              <w:right w:val="single" w:sz="8" w:color="auto"/>
            </w:tcBorders>
          </w:tcPr>
          <w:p>
            <w:pPr>
              <w:jc w:val="right"/>
              <w:ind w:right="711"/>
              <w:spacing w:after="0" w:line="152" w:lineRule="exact"/>
              <w:rPr>
                <w:sz w:val="20"/>
                <w:szCs w:val="20"/>
                <w:color w:val="auto"/>
              </w:rPr>
            </w:pPr>
            <w:r>
              <w:rPr>
                <w:rFonts w:ascii="Times New Roman" w:cs="Times New Roman" w:eastAsia="Times New Roman" w:hAnsi="Times New Roman"/>
                <w:sz w:val="14"/>
                <w:szCs w:val="14"/>
                <w:color w:val="auto"/>
              </w:rPr>
              <w:t>$57,557,500</w:t>
            </w:r>
          </w:p>
        </w:tc>
        <w:tc>
          <w:tcPr>
            <w:tcW w:w="2500" w:type="dxa"/>
            <w:vAlign w:val="bottom"/>
            <w:tcBorders>
              <w:bottom w:val="single" w:sz="8" w:color="auto"/>
            </w:tcBorders>
          </w:tcPr>
          <w:p>
            <w:pPr>
              <w:jc w:val="center"/>
              <w:ind w:left="149"/>
              <w:spacing w:after="0" w:line="152" w:lineRule="exact"/>
              <w:rPr>
                <w:sz w:val="20"/>
                <w:szCs w:val="20"/>
                <w:color w:val="auto"/>
              </w:rPr>
            </w:pPr>
            <w:r>
              <w:rPr>
                <w:rFonts w:ascii="Times New Roman" w:cs="Times New Roman" w:eastAsia="Times New Roman" w:hAnsi="Times New Roman"/>
                <w:sz w:val="14"/>
                <w:szCs w:val="14"/>
                <w:color w:val="auto"/>
                <w:w w:val="99"/>
              </w:rPr>
              <w:t>$6,774.52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240" w:hanging="234"/>
        <w:spacing w:after="0"/>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pursuant to Rule 457(o) under the Securities Act of 1933, as amended.</w:t>
      </w:r>
    </w:p>
    <w:p>
      <w:pPr>
        <w:ind w:left="240" w:hanging="234"/>
        <w:spacing w:after="0" w:line="216" w:lineRule="auto"/>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shares of common stock subject to the underwriters’ over-allotment option.</w:t>
      </w:r>
    </w:p>
    <w:p>
      <w:pPr>
        <w:ind w:left="240" w:hanging="234"/>
        <w:spacing w:after="0" w:line="232" w:lineRule="auto"/>
        <w:tabs>
          <w:tab w:leader="none" w:pos="2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this amount, $6,767.75 has previously been paid.</w:t>
      </w:r>
    </w:p>
    <w:p>
      <w:pPr>
        <w:spacing w:after="0" w:line="1" w:lineRule="exact"/>
        <w:rPr>
          <w:sz w:val="20"/>
          <w:szCs w:val="20"/>
          <w:color w:val="auto"/>
        </w:rPr>
      </w:pPr>
    </w:p>
    <w:p>
      <w:pPr>
        <w:ind w:right="120" w:firstLine="198"/>
        <w:spacing w:after="0" w:line="26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26670</wp:posOffset>
            </wp:positionV>
            <wp:extent cx="7249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43815</wp:posOffset>
            </wp:positionV>
            <wp:extent cx="724916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209550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0" w:right="239" w:bottom="672"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253605" cy="374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37401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60" w:right="280"/>
        <w:spacing w:after="0" w:line="253" w:lineRule="auto"/>
        <w:rPr>
          <w:sz w:val="20"/>
          <w:szCs w:val="20"/>
          <w:color w:val="auto"/>
        </w:rPr>
      </w:pPr>
      <w:r>
        <w:rPr>
          <w:rFonts w:ascii="Times New Roman" w:cs="Times New Roman" w:eastAsia="Times New Roman" w:hAnsi="Times New Roman"/>
          <w:sz w:val="14"/>
          <w:szCs w:val="14"/>
          <w:b w:val="1"/>
          <w:bCs w:val="1"/>
          <w:color w:val="A32638"/>
        </w:rPr>
        <w:t>The information in this prospectus is not complete and may be changed. These securities may not be sold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32638"/>
        </w:rPr>
        <w:t>Subject To Completion, Dated April 29, 2005</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3,850,000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168275</wp:posOffset>
            </wp:positionV>
            <wp:extent cx="1738630" cy="344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8630" cy="34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Common Stock</w:t>
      </w:r>
    </w:p>
    <w:p>
      <w:pPr>
        <w:spacing w:after="0" w:line="25" w:lineRule="exact"/>
        <w:rPr>
          <w:sz w:val="20"/>
          <w:szCs w:val="20"/>
          <w:color w:val="auto"/>
        </w:rPr>
      </w:pPr>
    </w:p>
    <w:p>
      <w:pPr>
        <w:ind w:left="5680" w:hanging="787"/>
        <w:spacing w:after="0"/>
        <w:tabs>
          <w:tab w:leader="none" w:pos="56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per share</w:t>
      </w:r>
    </w:p>
    <w:p>
      <w:pPr>
        <w:spacing w:after="0" w:line="193"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color w:val="auto"/>
        </w:rPr>
        <w:t>This is an initial public offering of shares of common stock of Citi Trends, Inc. Citi Trends is offering 2,700,000 shares of common stock and the selling stockholders identified in this prospectus are offering 1,150,000 shares of common stock.</w:t>
      </w:r>
    </w:p>
    <w:p>
      <w:pPr>
        <w:spacing w:after="0" w:line="6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We anticipate that the initial public offering price will be between $12.00 and $14.00 per share. The market price of the shares after the offering may be higher or lower than the offering price.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list our common stock on the Nasdaq National Market under the symbol “CTRN.”</w:t>
      </w:r>
    </w:p>
    <w:p>
      <w:pPr>
        <w:spacing w:after="0" w:line="16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Investing in the common stock involves risks. See “Risk Factors” beginning on page 6.</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Price to the public</w:t>
            </w:r>
          </w:p>
        </w:tc>
        <w:tc>
          <w:tcPr>
            <w:tcW w:w="13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4"/>
                <w:szCs w:val="14"/>
                <w:color w:val="auto"/>
              </w:rPr>
            </w:pPr>
          </w:p>
        </w:tc>
        <w:tc>
          <w:tcPr>
            <w:tcW w:w="12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8460" w:type="dxa"/>
            <w:vAlign w:val="bottom"/>
            <w:vMerge w:val="continue"/>
          </w:tcPr>
          <w:p>
            <w:pPr>
              <w:spacing w:after="0"/>
              <w:rPr>
                <w:sz w:val="17"/>
                <w:szCs w:val="17"/>
                <w:color w:val="auto"/>
              </w:rPr>
            </w:pPr>
          </w:p>
        </w:tc>
        <w:tc>
          <w:tcPr>
            <w:tcW w:w="1380" w:type="dxa"/>
            <w:vAlign w:val="bottom"/>
          </w:tcPr>
          <w:p>
            <w:pPr>
              <w:jc w:val="right"/>
              <w:ind w:right="721"/>
              <w:spacing w:after="0" w:line="200"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1220" w:type="dxa"/>
            <w:vAlign w:val="bottom"/>
          </w:tcPr>
          <w:p>
            <w:pPr>
              <w:jc w:val="right"/>
              <w:ind w:right="701"/>
              <w:spacing w:after="0" w:line="20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Proceeds to Citi Trends, Inc.</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Proceeds to the selling stockholders</w:t>
            </w: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We have granted an option to the underwriters to purchase up to a maximum of 577,500 additional shares of our common stock within 30 days following the date of this prospectus to cover over-allotments, if any.</w:t>
      </w:r>
    </w:p>
    <w:p>
      <w:pPr>
        <w:spacing w:after="0" w:line="62"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84455</wp:posOffset>
            </wp:positionV>
            <wp:extent cx="377190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71900" cy="16510"/>
                    </a:xfrm>
                    <a:prstGeom prst="rect">
                      <a:avLst/>
                    </a:prstGeom>
                    <a:noFill/>
                  </pic:spPr>
                </pic:pic>
              </a:graphicData>
            </a:graphic>
          </wp:anchor>
        </w:drawing>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CIBC World Markets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0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Piper Jaffray</w:t>
            </w:r>
          </w:p>
        </w:tc>
        <w:tc>
          <w:tcPr>
            <w:tcW w:w="4140" w:type="dxa"/>
            <w:vAlign w:val="bottom"/>
          </w:tcPr>
          <w:p>
            <w:pPr>
              <w:ind w:left="2340"/>
              <w:spacing w:after="0"/>
              <w:rPr>
                <w:sz w:val="20"/>
                <w:szCs w:val="20"/>
                <w:color w:val="auto"/>
              </w:rPr>
            </w:pPr>
            <w:r>
              <w:rPr>
                <w:rFonts w:ascii="Times New Roman" w:cs="Times New Roman" w:eastAsia="Times New Roman" w:hAnsi="Times New Roman"/>
                <w:sz w:val="21"/>
                <w:szCs w:val="21"/>
                <w:b w:val="1"/>
                <w:bCs w:val="1"/>
                <w:color w:val="auto"/>
              </w:rPr>
              <w:t>SG Cowen &amp; Co.</w:t>
            </w:r>
          </w:p>
        </w:tc>
        <w:tc>
          <w:tcPr>
            <w:tcW w:w="468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Wachovia Securities</w:t>
            </w:r>
          </w:p>
        </w:tc>
      </w:tr>
      <w:tr>
        <w:trPr>
          <w:trHeight w:val="517"/>
        </w:trPr>
        <w:tc>
          <w:tcPr>
            <w:tcW w:w="2600" w:type="dxa"/>
            <w:vAlign w:val="bottom"/>
          </w:tcPr>
          <w:p>
            <w:pPr>
              <w:spacing w:after="0"/>
              <w:rPr>
                <w:sz w:val="24"/>
                <w:szCs w:val="24"/>
                <w:color w:val="auto"/>
              </w:rPr>
            </w:pPr>
          </w:p>
        </w:tc>
        <w:tc>
          <w:tcPr>
            <w:tcW w:w="41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680" w:type="dxa"/>
            <w:vAlign w:val="bottom"/>
          </w:tcPr>
          <w:p>
            <w:pPr>
              <w:jc w:val="right"/>
              <w:ind w:right="3903"/>
              <w:spacing w:after="0"/>
              <w:rPr>
                <w:sz w:val="20"/>
                <w:szCs w:val="20"/>
                <w:color w:val="auto"/>
              </w:rPr>
            </w:pPr>
            <w:r>
              <w:rPr>
                <w:rFonts w:ascii="Times New Roman" w:cs="Times New Roman" w:eastAsia="Times New Roman" w:hAnsi="Times New Roman"/>
                <w:sz w:val="18"/>
                <w:szCs w:val="18"/>
                <w:color w:val="auto"/>
              </w:rPr>
              <w:t>, 2005</w:t>
            </w:r>
          </w:p>
        </w:tc>
      </w:tr>
      <w:tr>
        <w:trPr>
          <w:trHeight w:val="222"/>
        </w:trPr>
        <w:tc>
          <w:tcPr>
            <w:tcW w:w="260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200025</wp:posOffset>
            </wp:positionV>
            <wp:extent cx="7253605" cy="6965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696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780" w:type="dxa"/>
            <w:vAlign w:val="bottom"/>
            <w:gridSpan w:val="2"/>
          </w:tcPr>
          <w:p>
            <w:pPr>
              <w:ind w:left="108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800" w:type="dxa"/>
            <w:vAlign w:val="bottom"/>
          </w:tcPr>
          <w:p>
            <w:pPr>
              <w:spacing w:after="0"/>
              <w:rPr>
                <w:sz w:val="24"/>
                <w:szCs w:val="24"/>
                <w:color w:val="auto"/>
              </w:rPr>
            </w:pPr>
          </w:p>
        </w:tc>
      </w:tr>
      <w:tr>
        <w:trPr>
          <w:trHeight w:val="42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9"/>
        </w:trPr>
        <w:tc>
          <w:tcPr>
            <w:tcW w:w="10580" w:type="dxa"/>
            <w:vAlign w:val="bottom"/>
            <w:gridSpan w:val="16"/>
          </w:tcPr>
          <w:p>
            <w:pPr>
              <w:spacing w:after="0" w:line="179"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Prospectus Summary</w:t>
              </w:r>
            </w:hyperlink>
          </w:p>
        </w:tc>
        <w:tc>
          <w:tcPr>
            <w:tcW w:w="800" w:type="dxa"/>
            <w:vAlign w:val="bottom"/>
          </w:tcPr>
          <w:p>
            <w:pPr>
              <w:jc w:val="right"/>
              <w:ind w:right="132"/>
              <w:spacing w:after="0" w:line="179" w:lineRule="exact"/>
              <w:rPr>
                <w:sz w:val="20"/>
                <w:szCs w:val="20"/>
                <w:color w:val="auto"/>
              </w:rPr>
            </w:pPr>
            <w:r>
              <w:rPr>
                <w:rFonts w:ascii="Times New Roman" w:cs="Times New Roman" w:eastAsia="Times New Roman" w:hAnsi="Times New Roman"/>
                <w:sz w:val="18"/>
                <w:szCs w:val="18"/>
                <w:color w:val="auto"/>
              </w:rPr>
              <w:t>1</w:t>
            </w:r>
          </w:p>
        </w:tc>
      </w:tr>
      <w:tr>
        <w:trPr>
          <w:trHeight w:val="192"/>
        </w:trPr>
        <w:tc>
          <w:tcPr>
            <w:tcW w:w="900" w:type="dxa"/>
            <w:vAlign w:val="bottom"/>
            <w:tcBorders>
              <w:top w:val="single" w:sz="8" w:color="0000EE"/>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Risk Factors</w:t>
              </w:r>
            </w:hyperlink>
          </w:p>
        </w:tc>
        <w:tc>
          <w:tcPr>
            <w:tcW w:w="600" w:type="dxa"/>
            <w:vAlign w:val="bottom"/>
            <w:tcBorders>
              <w:top w:val="single" w:sz="8" w:color="0000EE"/>
            </w:tcBorders>
            <w:gridSpan w:val="5"/>
          </w:tcPr>
          <w:p>
            <w:pPr>
              <w:spacing w:after="0"/>
              <w:rPr>
                <w:sz w:val="16"/>
                <w:szCs w:val="16"/>
                <w:color w:val="auto"/>
              </w:rPr>
            </w:pPr>
          </w:p>
        </w:tc>
        <w:tc>
          <w:tcPr>
            <w:tcW w:w="9080" w:type="dxa"/>
            <w:vAlign w:val="bottom"/>
            <w:gridSpan w:val="8"/>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6</w:t>
            </w:r>
          </w:p>
        </w:tc>
      </w:tr>
      <w:tr>
        <w:trPr>
          <w:trHeight w:val="192"/>
        </w:trPr>
        <w:tc>
          <w:tcPr>
            <w:tcW w:w="10580" w:type="dxa"/>
            <w:vAlign w:val="bottom"/>
            <w:gridSpan w:val="16"/>
          </w:tcPr>
          <w:p>
            <w:pPr>
              <w:spacing w:after="0" w:line="192"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Special Note Regarding Forward-Looking Statements</w:t>
              </w:r>
            </w:hyperlink>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16</w:t>
            </w:r>
          </w:p>
        </w:tc>
      </w:tr>
      <w:tr>
        <w:trPr>
          <w:trHeight w:val="192"/>
        </w:trPr>
        <w:tc>
          <w:tcPr>
            <w:tcW w:w="1160" w:type="dxa"/>
            <w:vAlign w:val="bottom"/>
            <w:tcBorders>
              <w:top w:val="single" w:sz="8" w:color="0000EE"/>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Use of Proceeds</w:t>
              </w:r>
            </w:hyperlink>
          </w:p>
        </w:tc>
        <w:tc>
          <w:tcPr>
            <w:tcW w:w="2640" w:type="dxa"/>
            <w:vAlign w:val="bottom"/>
            <w:tcBorders>
              <w:top w:val="single" w:sz="8" w:color="0000EE"/>
            </w:tcBorders>
            <w:gridSpan w:val="7"/>
          </w:tcPr>
          <w:p>
            <w:pPr>
              <w:spacing w:after="0"/>
              <w:rPr>
                <w:sz w:val="16"/>
                <w:szCs w:val="16"/>
                <w:color w:val="auto"/>
              </w:rPr>
            </w:pPr>
          </w:p>
        </w:tc>
        <w:tc>
          <w:tcPr>
            <w:tcW w:w="6780" w:type="dxa"/>
            <w:vAlign w:val="bottom"/>
            <w:gridSpan w:val="2"/>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17</w:t>
            </w:r>
          </w:p>
        </w:tc>
      </w:tr>
      <w:tr>
        <w:trPr>
          <w:trHeight w:val="192"/>
        </w:trPr>
        <w:tc>
          <w:tcPr>
            <w:tcW w:w="10580" w:type="dxa"/>
            <w:vAlign w:val="bottom"/>
            <w:gridSpan w:val="16"/>
          </w:tcPr>
          <w:p>
            <w:pPr>
              <w:spacing w:after="0" w:line="192"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Dividend Policy</w:t>
              </w:r>
            </w:hyperlink>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17</w:t>
            </w:r>
          </w:p>
        </w:tc>
      </w:tr>
      <w:tr>
        <w:trPr>
          <w:trHeight w:val="192"/>
        </w:trPr>
        <w:tc>
          <w:tcPr>
            <w:tcW w:w="100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8"/>
                <w:szCs w:val="18"/>
                <w:color w:val="0000EE"/>
                <w:w w:val="96"/>
              </w:rPr>
            </w:pPr>
            <w:hyperlink w:anchor="page23">
              <w:r>
                <w:rPr>
                  <w:rFonts w:ascii="Times New Roman" w:cs="Times New Roman" w:eastAsia="Times New Roman" w:hAnsi="Times New Roman"/>
                  <w:sz w:val="18"/>
                  <w:szCs w:val="18"/>
                  <w:color w:val="0000EE"/>
                  <w:w w:val="96"/>
                </w:rPr>
                <w:t>Capitalization</w:t>
              </w:r>
            </w:hyperlink>
          </w:p>
        </w:tc>
        <w:tc>
          <w:tcPr>
            <w:tcW w:w="160" w:type="dxa"/>
            <w:vAlign w:val="bottom"/>
            <w:tcBorders>
              <w:top w:val="single" w:sz="8" w:color="0000EE"/>
            </w:tcBorders>
          </w:tcPr>
          <w:p>
            <w:pPr>
              <w:spacing w:after="0"/>
              <w:rPr>
                <w:sz w:val="16"/>
                <w:szCs w:val="16"/>
                <w:color w:val="auto"/>
              </w:rPr>
            </w:pPr>
          </w:p>
        </w:tc>
        <w:tc>
          <w:tcPr>
            <w:tcW w:w="9420" w:type="dxa"/>
            <w:vAlign w:val="bottom"/>
            <w:gridSpan w:val="9"/>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18</w:t>
            </w:r>
          </w:p>
        </w:tc>
      </w:tr>
      <w:tr>
        <w:trPr>
          <w:trHeight w:val="192"/>
        </w:trPr>
        <w:tc>
          <w:tcPr>
            <w:tcW w:w="600" w:type="dxa"/>
            <w:vAlign w:val="bottom"/>
            <w:tcBorders>
              <w:bottom w:val="single" w:sz="8" w:color="0000EE"/>
            </w:tcBorders>
          </w:tcPr>
          <w:p>
            <w:pPr>
              <w:spacing w:after="0" w:line="192" w:lineRule="exact"/>
              <w:rPr>
                <w:rFonts w:ascii="Times New Roman" w:cs="Times New Roman" w:eastAsia="Times New Roman" w:hAnsi="Times New Roman"/>
                <w:sz w:val="18"/>
                <w:szCs w:val="18"/>
                <w:color w:val="0000EE"/>
                <w:w w:val="96"/>
              </w:rPr>
            </w:pPr>
            <w:hyperlink w:anchor="page24">
              <w:r>
                <w:rPr>
                  <w:rFonts w:ascii="Times New Roman" w:cs="Times New Roman" w:eastAsia="Times New Roman" w:hAnsi="Times New Roman"/>
                  <w:sz w:val="18"/>
                  <w:szCs w:val="18"/>
                  <w:color w:val="0000EE"/>
                  <w:w w:val="96"/>
                </w:rPr>
                <w:t>Dilution</w:t>
              </w:r>
            </w:hyperlink>
          </w:p>
        </w:tc>
        <w:tc>
          <w:tcPr>
            <w:tcW w:w="9980" w:type="dxa"/>
            <w:vAlign w:val="bottom"/>
            <w:gridSpan w:val="15"/>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19</w:t>
            </w:r>
          </w:p>
        </w:tc>
      </w:tr>
      <w:tr>
        <w:trPr>
          <w:trHeight w:val="192"/>
        </w:trPr>
        <w:tc>
          <w:tcPr>
            <w:tcW w:w="2740" w:type="dxa"/>
            <w:vAlign w:val="bottom"/>
            <w:tcBorders>
              <w:bottom w:val="single" w:sz="8" w:color="0000EE"/>
            </w:tcBorders>
            <w:gridSpan w:val="13"/>
          </w:tcPr>
          <w:p>
            <w:pPr>
              <w:spacing w:after="0" w:line="192"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Selected Financial and Operating Data</w:t>
              </w:r>
            </w:hyperlink>
          </w:p>
        </w:tc>
        <w:tc>
          <w:tcPr>
            <w:tcW w:w="7840" w:type="dxa"/>
            <w:vAlign w:val="bottom"/>
            <w:gridSpan w:val="3"/>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20</w:t>
            </w:r>
          </w:p>
        </w:tc>
      </w:tr>
      <w:tr>
        <w:trPr>
          <w:trHeight w:val="192"/>
        </w:trPr>
        <w:tc>
          <w:tcPr>
            <w:tcW w:w="6340" w:type="dxa"/>
            <w:vAlign w:val="bottom"/>
            <w:tcBorders>
              <w:bottom w:val="single" w:sz="8" w:color="0000EE"/>
            </w:tcBorders>
            <w:gridSpan w:val="15"/>
          </w:tcPr>
          <w:p>
            <w:pPr>
              <w:spacing w:after="0" w:line="192" w:lineRule="exact"/>
              <w:rPr>
                <w:rFonts w:ascii="Times New Roman" w:cs="Times New Roman" w:eastAsia="Times New Roman" w:hAnsi="Times New Roman"/>
                <w:sz w:val="18"/>
                <w:szCs w:val="18"/>
                <w:color w:val="0000EE"/>
                <w:w w:val="97"/>
              </w:rPr>
            </w:pPr>
            <w:hyperlink w:anchor="page26">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4240" w:type="dxa"/>
            <w:vAlign w:val="bottom"/>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21</w:t>
            </w:r>
          </w:p>
        </w:tc>
      </w:tr>
      <w:tr>
        <w:trPr>
          <w:trHeight w:val="192"/>
        </w:trPr>
        <w:tc>
          <w:tcPr>
            <w:tcW w:w="64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6"/>
              </w:rPr>
            </w:pPr>
            <w:hyperlink w:anchor="page39">
              <w:r>
                <w:rPr>
                  <w:rFonts w:ascii="Times New Roman" w:cs="Times New Roman" w:eastAsia="Times New Roman" w:hAnsi="Times New Roman"/>
                  <w:sz w:val="18"/>
                  <w:szCs w:val="18"/>
                  <w:color w:val="0000EE"/>
                  <w:w w:val="96"/>
                </w:rPr>
                <w:t>Business</w:t>
              </w:r>
            </w:hyperlink>
          </w:p>
        </w:tc>
        <w:tc>
          <w:tcPr>
            <w:tcW w:w="9940" w:type="dxa"/>
            <w:vAlign w:val="bottom"/>
            <w:gridSpan w:val="14"/>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34</w:t>
            </w:r>
          </w:p>
        </w:tc>
      </w:tr>
      <w:tr>
        <w:trPr>
          <w:trHeight w:val="192"/>
        </w:trPr>
        <w:tc>
          <w:tcPr>
            <w:tcW w:w="94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Management</w:t>
              </w:r>
            </w:hyperlink>
          </w:p>
        </w:tc>
        <w:tc>
          <w:tcPr>
            <w:tcW w:w="9640" w:type="dxa"/>
            <w:vAlign w:val="bottom"/>
            <w:gridSpan w:val="12"/>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43</w:t>
            </w:r>
          </w:p>
        </w:tc>
      </w:tr>
      <w:tr>
        <w:trPr>
          <w:trHeight w:val="192"/>
        </w:trPr>
        <w:tc>
          <w:tcPr>
            <w:tcW w:w="10580" w:type="dxa"/>
            <w:vAlign w:val="bottom"/>
            <w:gridSpan w:val="16"/>
          </w:tcPr>
          <w:p>
            <w:pPr>
              <w:spacing w:after="0" w:line="192"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Related Party Transactions</w:t>
              </w:r>
            </w:hyperlink>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9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1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246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Principal and Selling Stockholders</w:t>
              </w:r>
            </w:hyperlink>
          </w:p>
        </w:tc>
        <w:tc>
          <w:tcPr>
            <w:tcW w:w="8120" w:type="dxa"/>
            <w:vAlign w:val="bottom"/>
            <w:gridSpan w:val="4"/>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58</w:t>
            </w:r>
          </w:p>
        </w:tc>
      </w:tr>
      <w:tr>
        <w:trPr>
          <w:trHeight w:val="192"/>
        </w:trPr>
        <w:tc>
          <w:tcPr>
            <w:tcW w:w="10580" w:type="dxa"/>
            <w:vAlign w:val="bottom"/>
            <w:gridSpan w:val="16"/>
          </w:tcPr>
          <w:p>
            <w:pPr>
              <w:spacing w:after="0" w:line="192"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Description of Capital Stock</w:t>
              </w:r>
            </w:hyperlink>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60</w:t>
            </w:r>
          </w:p>
        </w:tc>
      </w:tr>
      <w:tr>
        <w:trPr>
          <w:trHeight w:val="20"/>
        </w:trPr>
        <w:tc>
          <w:tcPr>
            <w:tcW w:w="96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2"/>
        </w:trPr>
        <w:tc>
          <w:tcPr>
            <w:tcW w:w="10580" w:type="dxa"/>
            <w:vAlign w:val="bottom"/>
            <w:gridSpan w:val="16"/>
          </w:tcPr>
          <w:p>
            <w:pPr>
              <w:spacing w:after="0" w:line="192"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Shares Eligible for Future Sale</w:t>
              </w:r>
            </w:hyperlink>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64</w:t>
            </w:r>
          </w:p>
        </w:tc>
      </w:tr>
      <w:tr>
        <w:trPr>
          <w:trHeight w:val="192"/>
        </w:trPr>
        <w:tc>
          <w:tcPr>
            <w:tcW w:w="960" w:type="dxa"/>
            <w:vAlign w:val="bottom"/>
            <w:tcBorders>
              <w:top w:val="single" w:sz="8" w:color="0000EE"/>
              <w:bottom w:val="single" w:sz="8" w:color="0000EE"/>
            </w:tcBorders>
            <w:gridSpan w:val="5"/>
          </w:tcPr>
          <w:p>
            <w:pPr>
              <w:spacing w:after="0" w:line="192" w:lineRule="exact"/>
              <w:rPr>
                <w:rFonts w:ascii="Times New Roman" w:cs="Times New Roman" w:eastAsia="Times New Roman" w:hAnsi="Times New Roman"/>
                <w:sz w:val="18"/>
                <w:szCs w:val="18"/>
                <w:color w:val="0000EE"/>
                <w:w w:val="96"/>
              </w:rPr>
            </w:pPr>
            <w:hyperlink w:anchor="page72">
              <w:r>
                <w:rPr>
                  <w:rFonts w:ascii="Times New Roman" w:cs="Times New Roman" w:eastAsia="Times New Roman" w:hAnsi="Times New Roman"/>
                  <w:sz w:val="18"/>
                  <w:szCs w:val="18"/>
                  <w:color w:val="0000EE"/>
                  <w:w w:val="96"/>
                </w:rPr>
                <w:t>Underwriting</w:t>
              </w:r>
            </w:hyperlink>
          </w:p>
        </w:tc>
        <w:tc>
          <w:tcPr>
            <w:tcW w:w="1220" w:type="dxa"/>
            <w:vAlign w:val="bottom"/>
            <w:tcBorders>
              <w:top w:val="single" w:sz="8" w:color="0000EE"/>
            </w:tcBorders>
            <w:gridSpan w:val="6"/>
          </w:tcPr>
          <w:p>
            <w:pPr>
              <w:spacing w:after="0"/>
              <w:rPr>
                <w:sz w:val="16"/>
                <w:szCs w:val="16"/>
                <w:color w:val="auto"/>
              </w:rPr>
            </w:pPr>
          </w:p>
        </w:tc>
        <w:tc>
          <w:tcPr>
            <w:tcW w:w="8400" w:type="dxa"/>
            <w:vAlign w:val="bottom"/>
            <w:gridSpan w:val="5"/>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66</w:t>
            </w:r>
          </w:p>
        </w:tc>
      </w:tr>
      <w:tr>
        <w:trPr>
          <w:trHeight w:val="192"/>
        </w:trPr>
        <w:tc>
          <w:tcPr>
            <w:tcW w:w="100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Legal Matters</w:t>
              </w:r>
            </w:hyperlink>
          </w:p>
        </w:tc>
        <w:tc>
          <w:tcPr>
            <w:tcW w:w="9580" w:type="dxa"/>
            <w:vAlign w:val="bottom"/>
            <w:gridSpan w:val="10"/>
          </w:tcPr>
          <w:p>
            <w:pPr>
              <w:spacing w:after="0"/>
              <w:rPr>
                <w:sz w:val="16"/>
                <w:szCs w:val="16"/>
                <w:color w:val="auto"/>
              </w:rPr>
            </w:pPr>
          </w:p>
        </w:tc>
        <w:tc>
          <w:tcPr>
            <w:tcW w:w="800" w:type="dxa"/>
            <w:vAlign w:val="bottom"/>
          </w:tcPr>
          <w:p>
            <w:pPr>
              <w:jc w:val="right"/>
              <w:ind w:right="132"/>
              <w:spacing w:after="0" w:line="192" w:lineRule="exact"/>
              <w:rPr>
                <w:sz w:val="20"/>
                <w:szCs w:val="20"/>
                <w:color w:val="auto"/>
              </w:rPr>
            </w:pPr>
            <w:r>
              <w:rPr>
                <w:rFonts w:ascii="Times New Roman" w:cs="Times New Roman" w:eastAsia="Times New Roman" w:hAnsi="Times New Roman"/>
                <w:sz w:val="18"/>
                <w:szCs w:val="18"/>
                <w:color w:val="auto"/>
              </w:rPr>
              <w:t>69</w:t>
            </w:r>
          </w:p>
        </w:tc>
      </w:tr>
    </w:tbl>
    <w:p>
      <w:pPr>
        <w:sectPr>
          <w:pgSz w:w="11900" w:h="16838" w:orient="portrait"/>
          <w:cols w:equalWidth="0" w:num="1">
            <w:col w:w="11420"/>
          </w:cols>
          <w:pgMar w:left="240" w:top="41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3"/>
          </w:tcPr>
          <w:p>
            <w:pPr>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Experts</w:t>
              </w:r>
            </w:hyperlink>
          </w:p>
        </w:tc>
        <w:tc>
          <w:tcPr>
            <w:tcW w:w="8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5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192"/>
        </w:trPr>
        <w:tc>
          <w:tcPr>
            <w:tcW w:w="282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w:anchor="page75">
              <w:r>
                <w:rPr>
                  <w:rFonts w:ascii="Times New Roman" w:cs="Times New Roman" w:eastAsia="Times New Roman" w:hAnsi="Times New Roman"/>
                  <w:sz w:val="18"/>
                  <w:szCs w:val="18"/>
                  <w:color w:val="0000EE"/>
                  <w:w w:val="97"/>
                </w:rPr>
                <w:t>Where You Can Find More Information</w:t>
              </w:r>
            </w:hyperlink>
          </w:p>
        </w:tc>
        <w:tc>
          <w:tcPr>
            <w:tcW w:w="83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69</w:t>
            </w:r>
          </w:p>
        </w:tc>
      </w:tr>
      <w:tr>
        <w:trPr>
          <w:trHeight w:val="192"/>
        </w:trPr>
        <w:tc>
          <w:tcPr>
            <w:tcW w:w="2120" w:type="dxa"/>
            <w:vAlign w:val="bottom"/>
            <w:tcBorders>
              <w:bottom w:val="single" w:sz="8" w:color="0000EE"/>
            </w:tcBorders>
            <w:gridSpan w:val="2"/>
          </w:tcPr>
          <w:p>
            <w:pPr>
              <w:spacing w:after="0" w:line="192" w:lineRule="exact"/>
              <w:rPr>
                <w:rFonts w:ascii="Times New Roman" w:cs="Times New Roman" w:eastAsia="Times New Roman" w:hAnsi="Times New Roman"/>
                <w:sz w:val="18"/>
                <w:szCs w:val="18"/>
                <w:color w:val="0000EE"/>
                <w:w w:val="97"/>
              </w:rPr>
            </w:pPr>
            <w:hyperlink w:anchor="page76">
              <w:r>
                <w:rPr>
                  <w:rFonts w:ascii="Times New Roman" w:cs="Times New Roman" w:eastAsia="Times New Roman" w:hAnsi="Times New Roman"/>
                  <w:sz w:val="18"/>
                  <w:szCs w:val="18"/>
                  <w:color w:val="0000EE"/>
                  <w:w w:val="97"/>
                </w:rPr>
                <w:t>Index to Financial Statements</w:t>
              </w:r>
            </w:hyperlink>
          </w:p>
        </w:tc>
        <w:tc>
          <w:tcPr>
            <w:tcW w:w="700" w:type="dxa"/>
            <w:vAlign w:val="bottom"/>
          </w:tcPr>
          <w:p>
            <w:pPr>
              <w:spacing w:after="0"/>
              <w:rPr>
                <w:sz w:val="16"/>
                <w:szCs w:val="16"/>
                <w:color w:val="auto"/>
              </w:rPr>
            </w:pPr>
          </w:p>
        </w:tc>
        <w:tc>
          <w:tcPr>
            <w:tcW w:w="8340" w:type="dxa"/>
            <w:vAlign w:val="bottom"/>
          </w:tcPr>
          <w:p>
            <w:pPr>
              <w:jc w:val="right"/>
              <w:spacing w:after="0" w:line="192" w:lineRule="exact"/>
              <w:rPr>
                <w:sz w:val="20"/>
                <w:szCs w:val="20"/>
                <w:color w:val="auto"/>
              </w:rPr>
            </w:pPr>
            <w:r>
              <w:rPr>
                <w:rFonts w:ascii="Times New Roman" w:cs="Times New Roman" w:eastAsia="Times New Roman" w:hAnsi="Times New Roman"/>
                <w:sz w:val="18"/>
                <w:szCs w:val="18"/>
                <w:color w:val="auto"/>
              </w:rPr>
              <w:t>F-1</w:t>
            </w:r>
          </w:p>
        </w:tc>
      </w:tr>
    </w:tbl>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EX-4.1: SPECIMEN CERTIFICATE FOR SHARES OF COMMON STOCK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EX-5.1: OPINION OF PAUL, HASTINGS, JANOFSKY &amp; WALKER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EX-10.13: FORM OF REGISTRATION RIGHTS AGREEMENT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EX-10.15: FORM OF TERMINATION AGREEMENT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EX-14.1: CODE OF BUSINESS CONDUCT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EX-23.1: CONSENT OF 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142875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60"/>
          </w:cols>
          <w:pgMar w:left="280" w:top="104" w:right="4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4876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3930" cy="4876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1"/>
          <w:szCs w:val="21"/>
          <w:b w:val="1"/>
          <w:bCs w:val="1"/>
          <w:color w:val="auto"/>
        </w:rPr>
        <w:t>Prospectus Summary</w:t>
      </w:r>
    </w:p>
    <w:p>
      <w:pPr>
        <w:spacing w:after="0" w:line="113" w:lineRule="exact"/>
        <w:rPr>
          <w:sz w:val="20"/>
          <w:szCs w:val="20"/>
          <w:color w:val="auto"/>
        </w:rPr>
      </w:pPr>
    </w:p>
    <w:p>
      <w:pPr>
        <w:ind w:left="180"/>
        <w:spacing w:after="0" w:line="252"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and because it is only a summary, it does not contain all of the information that you should consider before buying shares. You should read the entire prospectus carefully. All share numbers in this prospectus reflect a 26-for-one stock split of our common stock, which will occur simultaneously with the closing of this offering. Our fiscal year ends on the Saturday closest to January 31, and, except as otherwise provided, references in this prospectus to a fiscal year mean the 52- or 53-week period ended on the Saturday closest to January 31 of the succeeding year. Fiscal 2004, for example, refers to the fiscal year ended January 29, 2005.</w:t>
      </w:r>
    </w:p>
    <w:p>
      <w:pPr>
        <w:spacing w:after="0" w:line="28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Citi Trends, Inc.</w:t>
      </w:r>
    </w:p>
    <w:p>
      <w:pPr>
        <w:spacing w:after="0" w:line="113" w:lineRule="exact"/>
        <w:rPr>
          <w:sz w:val="20"/>
          <w:szCs w:val="20"/>
          <w:color w:val="auto"/>
        </w:rPr>
      </w:pPr>
    </w:p>
    <w:p>
      <w:pPr>
        <w:ind w:left="180"/>
        <w:spacing w:after="0" w:line="251" w:lineRule="auto"/>
        <w:rPr>
          <w:sz w:val="20"/>
          <w:szCs w:val="20"/>
          <w:color w:val="auto"/>
        </w:rPr>
      </w:pPr>
      <w:r>
        <w:rPr>
          <w:rFonts w:ascii="Times New Roman" w:cs="Times New Roman" w:eastAsia="Times New Roman" w:hAnsi="Times New Roman"/>
          <w:sz w:val="18"/>
          <w:szCs w:val="18"/>
          <w:color w:val="auto"/>
        </w:rPr>
        <w:t>We are a rapidly growing, value-priced retailer of urban fashion apparel and accessories for the entire family. We offer quality, branded merchandise for men, women and children, including products from nationally recognized brands, as well as private label products and a limited assortment of home décor items. Our merchandise offerings are designed to appeal to the preferences of fashion conscious consumers, particularly African-Americans. Through strong relationships with our suppliers, we believe that we are able to offer our products at compelling values. We seek to provide nationally recognized branded merchandise at 20% to 60% discounts to department and specialty stores’ regular prices.</w:t>
      </w:r>
    </w:p>
    <w:p>
      <w:pPr>
        <w:spacing w:after="0" w:line="82"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We currently operate 212 stores in both urban and rural markets in twelve states. Originally our stores were located in the Southeast, and we have recently expanded into the Mid-Atlantic region and Texas. Our stores average approximately 8,700 square feet of selling space, and our stores opened since the beginning of fiscal 2003 average approximately 10,350 square feet of selling space. Our stores are generally located in neighborhood strip shopping centers that are convenient to low and moderate income consumers. These locations allow us to serve our customers at rents that we believe are attractive, and combined with our differentiated merchandise assortment, compelling value proposition and efficient operating model, enable us to generate strong return on store investments. Our new stores typically pay back our unit investment within 12 to 14 months.</w:t>
      </w:r>
    </w:p>
    <w:p>
      <w:pPr>
        <w:spacing w:after="0" w:line="82" w:lineRule="exact"/>
        <w:rPr>
          <w:sz w:val="20"/>
          <w:szCs w:val="20"/>
          <w:color w:val="auto"/>
        </w:rPr>
      </w:pPr>
    </w:p>
    <w:p>
      <w:pPr>
        <w:ind w:left="180" w:right="60"/>
        <w:spacing w:after="0" w:line="251" w:lineRule="auto"/>
        <w:rPr>
          <w:sz w:val="20"/>
          <w:szCs w:val="20"/>
          <w:color w:val="auto"/>
        </w:rPr>
      </w:pPr>
      <w:r>
        <w:rPr>
          <w:rFonts w:ascii="Times New Roman" w:cs="Times New Roman" w:eastAsia="Times New Roman" w:hAnsi="Times New Roman"/>
          <w:sz w:val="18"/>
          <w:szCs w:val="18"/>
          <w:color w:val="auto"/>
        </w:rPr>
        <w:t>Our predecessor was founded in 1946 and grew to become a chain of family apparel stores operating in the Southeast under the Allied Department Stores name. In 1999, our chain of stores, then consisting of 85 stores throughout the Southeast, was acquired by Hampshire Equity Partners II, L.P., or Hampshire Equity Partners, a private equity firm. Our management team implemented several strategies that have driven our success including refining our merchandise offerings with a focus on urban fashions for the entire family, accelerating and completing the remodeling of virtually all of the 85 acquired stores, and executing an aggressive new store growth plan. We have</w:t>
      </w:r>
    </w:p>
    <w:p>
      <w:pPr>
        <w:spacing w:after="0" w:line="29" w:lineRule="exact"/>
        <w:rPr>
          <w:sz w:val="20"/>
          <w:szCs w:val="20"/>
          <w:color w:val="auto"/>
        </w:rPr>
      </w:pPr>
    </w:p>
    <w:p>
      <w:pPr>
        <w:ind w:left="520" w:hanging="22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grown our store base from 85 stores at the time of the acquisition to 212 stores as of April 22, 2005;</w:t>
      </w:r>
    </w:p>
    <w:p>
      <w:pPr>
        <w:spacing w:after="0" w:line="70" w:lineRule="exact"/>
        <w:rPr>
          <w:rFonts w:ascii="Times New Roman" w:cs="Times New Roman" w:eastAsia="Times New Roman" w:hAnsi="Times New Roman"/>
          <w:sz w:val="18"/>
          <w:szCs w:val="18"/>
          <w:color w:val="auto"/>
        </w:rPr>
      </w:pPr>
    </w:p>
    <w:p>
      <w:pPr>
        <w:ind w:left="520" w:hanging="22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average sales per store from $0.8 million in fiscal 2000 to $1.1 million in fiscal 2004;</w:t>
      </w:r>
    </w:p>
    <w:p>
      <w:pPr>
        <w:spacing w:after="0" w:line="70" w:lineRule="exact"/>
        <w:rPr>
          <w:rFonts w:ascii="Times New Roman" w:cs="Times New Roman" w:eastAsia="Times New Roman" w:hAnsi="Times New Roman"/>
          <w:sz w:val="18"/>
          <w:szCs w:val="18"/>
          <w:color w:val="auto"/>
        </w:rPr>
      </w:pPr>
    </w:p>
    <w:p>
      <w:pPr>
        <w:ind w:left="520" w:hanging="22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comparable store sales increases in each of the past five fiscal years;</w:t>
      </w:r>
    </w:p>
    <w:p>
      <w:pPr>
        <w:spacing w:after="0" w:line="70" w:lineRule="exact"/>
        <w:rPr>
          <w:rFonts w:ascii="Times New Roman" w:cs="Times New Roman" w:eastAsia="Times New Roman" w:hAnsi="Times New Roman"/>
          <w:sz w:val="18"/>
          <w:szCs w:val="18"/>
          <w:color w:val="auto"/>
        </w:rPr>
      </w:pPr>
    </w:p>
    <w:p>
      <w:pPr>
        <w:ind w:left="520" w:hanging="223"/>
        <w:spacing w:after="0"/>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sales from $80.9 million in fiscal 2000 to $203.4 million in fiscal 2004, representing a compound annual growth rate of approximately 26%; and</w:t>
      </w:r>
    </w:p>
    <w:p>
      <w:pPr>
        <w:spacing w:after="0" w:line="82" w:lineRule="exact"/>
        <w:rPr>
          <w:rFonts w:ascii="Times New Roman" w:cs="Times New Roman" w:eastAsia="Times New Roman" w:hAnsi="Times New Roman"/>
          <w:sz w:val="17"/>
          <w:szCs w:val="17"/>
          <w:color w:val="auto"/>
        </w:rPr>
      </w:pPr>
    </w:p>
    <w:p>
      <w:pPr>
        <w:ind w:left="520" w:hanging="22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net income from $1.2 million in fiscal 2000 to $7.3 million in fiscal 2004.</w:t>
      </w: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Our goal is to be the leading value-priced retailer of urban fashion apparel and accessories. We believe the following business strengths differentiate us from our competitors and are important to our success:</w:t>
      </w:r>
    </w:p>
    <w:p>
      <w:pPr>
        <w:spacing w:after="0" w:line="9" w:lineRule="exact"/>
        <w:rPr>
          <w:sz w:val="20"/>
          <w:szCs w:val="20"/>
          <w:color w:val="auto"/>
        </w:rPr>
      </w:pPr>
    </w:p>
    <w:p>
      <w:pPr>
        <w:ind w:left="340" w:hanging="2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providing a timely and fashionable assortment of urban apparel and accessories;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value proposition, with nationally recognized brands offered at 20% to 60% discounts to department and specialty stores’ regular prices;</w:t>
      </w:r>
    </w:p>
    <w:p>
      <w:pPr>
        <w:spacing w:after="0" w:line="70" w:lineRule="exact"/>
        <w:rPr>
          <w:rFonts w:ascii="Times New Roman" w:cs="Times New Roman" w:eastAsia="Times New Roman" w:hAnsi="Times New Roman"/>
          <w:sz w:val="18"/>
          <w:szCs w:val="18"/>
          <w:color w:val="auto"/>
        </w:rPr>
      </w:pPr>
    </w:p>
    <w:p>
      <w:pPr>
        <w:ind w:left="340" w:hanging="215"/>
        <w:spacing w:after="0" w:line="27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merchandise mix that appeals to the entire family, distinguishing our stores from many competitors that focus only on women and reducing our exposure to fashion trends and demand cycles in any single category;</w:t>
      </w:r>
    </w:p>
    <w:p>
      <w:pPr>
        <w:spacing w:after="0" w:line="22" w:lineRule="exact"/>
        <w:rPr>
          <w:rFonts w:ascii="Times New Roman" w:cs="Times New Roman" w:eastAsia="Times New Roman" w:hAnsi="Times New Roman"/>
          <w:sz w:val="18"/>
          <w:szCs w:val="18"/>
          <w:color w:val="auto"/>
        </w:rPr>
      </w:pPr>
    </w:p>
    <w:p>
      <w:pPr>
        <w:ind w:left="340" w:right="140" w:hanging="215"/>
        <w:spacing w:after="0" w:line="27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and flexible sourcing relationships managed by our 20-member buying team, staffed by individuals with an average of more than 20 years of retail experience;</w:t>
      </w:r>
    </w:p>
    <w:p>
      <w:pPr>
        <w:spacing w:after="0" w:line="22"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attractive fashion presentation and store environment similar to a specialty apparel retailer, rather than a typical off-price store; and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profitable store model.</w:t>
      </w:r>
    </w:p>
    <w:p>
      <w:pPr>
        <w:spacing w:after="0" w:line="11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Our growth strategy is to open stores in new and existing markets, as well as to increase sales in existing stores. Adding stores in the markets we currently serve enables us to benefit from enhanced name recognition and achieve advertising and operating synergies, and entering new markets opens additional growth opportunities. We expect to open 40 new stores in each of fiscal 2005 and fiscal 2006, and as of April 22, we had opened twelve new stores in fiscal 2005. Approximately 70% of the new stores we intend to open in fiscal 2005 and fiscal 2006 will be located in states we currently serve. We intend to increase comparable store sales primarily through merchandising enhancements and the expansion of product categories such as home décor and intimate apparel.</w:t>
      </w:r>
    </w:p>
    <w:p>
      <w:pPr>
        <w:spacing w:after="0" w:line="27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incorporated in Delaware, and our principal executive offices are located at 102 Fahm Street, Savannah, Georgia 31401. Our telephone number is</w:t>
      </w:r>
    </w:p>
    <w:p>
      <w:pPr>
        <w:spacing w:after="0" w:line="22" w:lineRule="exact"/>
        <w:rPr>
          <w:sz w:val="20"/>
          <w:szCs w:val="20"/>
          <w:color w:val="auto"/>
        </w:rPr>
      </w:pPr>
    </w:p>
    <w:p>
      <w:pPr>
        <w:ind w:right="620" w:firstLine="6"/>
        <w:spacing w:after="0" w:line="250" w:lineRule="auto"/>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236-1561 and website address is www.cititrends.com. Information contained in, or accessible through, our website does not constitute part of this prospectus.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1" w:right="3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3599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3930" cy="3599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3660" w:type="dxa"/>
            <w:vAlign w:val="bottom"/>
          </w:tcPr>
          <w:p>
            <w:pPr>
              <w:spacing w:after="0"/>
              <w:rPr>
                <w:sz w:val="20"/>
                <w:szCs w:val="20"/>
                <w:color w:val="auto"/>
              </w:rPr>
            </w:pPr>
          </w:p>
        </w:tc>
        <w:tc>
          <w:tcPr>
            <w:tcW w:w="768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31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Citi Trends, Inc.</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2,700,000 shares</w:t>
            </w:r>
          </w:p>
        </w:tc>
        <w:tc>
          <w:tcPr>
            <w:tcW w:w="0" w:type="dxa"/>
            <w:vAlign w:val="bottom"/>
          </w:tcPr>
          <w:p>
            <w:pPr>
              <w:spacing w:after="0"/>
              <w:rPr>
                <w:sz w:val="1"/>
                <w:szCs w:val="1"/>
                <w:color w:val="auto"/>
              </w:rPr>
            </w:pPr>
          </w:p>
        </w:tc>
      </w:tr>
      <w:tr>
        <w:trPr>
          <w:trHeight w:val="33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1,150,000 shares</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7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w w:val="99"/>
              </w:rPr>
              <w:t>Common stock to be outstanding after the offering</w:t>
            </w: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11,995,000 shares</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7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 estimate that the net proceeds to be received by us from this offering will be approximately</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$31.1 million, after deducting underwriting discounts and commissions and offering expenses payable by</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us. Approximately $3.5 million of these net proceeds will be used to redeem all of our outstanding Series A</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$.01 par value per share, or Series A Preferred Stock, and to pay all accrued and unpaid</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dividends thereon, and $1.5 million will be used to repay outstanding indebtedness. We expect that the</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remainder of our net proceeds will be used for new store openings, the acquisition, design and construction</w:t>
            </w:r>
          </w:p>
        </w:tc>
        <w:tc>
          <w:tcPr>
            <w:tcW w:w="0" w:type="dxa"/>
            <w:vAlign w:val="bottom"/>
          </w:tcPr>
          <w:p>
            <w:pPr>
              <w:spacing w:after="0"/>
              <w:rPr>
                <w:sz w:val="1"/>
                <w:szCs w:val="1"/>
                <w:color w:val="auto"/>
              </w:rPr>
            </w:pPr>
          </w:p>
        </w:tc>
      </w:tr>
      <w:tr>
        <w:trPr>
          <w:trHeight w:val="212"/>
        </w:trPr>
        <w:tc>
          <w:tcPr>
            <w:tcW w:w="3660" w:type="dxa"/>
            <w:vAlign w:val="bottom"/>
          </w:tcPr>
          <w:p>
            <w:pPr>
              <w:spacing w:after="0"/>
              <w:rPr>
                <w:sz w:val="18"/>
                <w:szCs w:val="18"/>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or lease of a new distribution center in fiscal 2006 and general corporate purposes. We will not receive any</w:t>
            </w: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proceeds from the sale of shares of common stock offered by the selling stockholders.</w:t>
            </w:r>
          </w:p>
        </w:tc>
        <w:tc>
          <w:tcPr>
            <w:tcW w:w="0" w:type="dxa"/>
            <w:vAlign w:val="bottom"/>
          </w:tcPr>
          <w:p>
            <w:pPr>
              <w:spacing w:after="0"/>
              <w:rPr>
                <w:sz w:val="1"/>
                <w:szCs w:val="1"/>
                <w:color w:val="auto"/>
              </w:rPr>
            </w:pPr>
          </w:p>
        </w:tc>
      </w:tr>
      <w:tr>
        <w:trPr>
          <w:trHeight w:val="33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Proposed Nasdaq National Market Symbol</w:t>
            </w:r>
          </w:p>
        </w:tc>
        <w:tc>
          <w:tcPr>
            <w:tcW w:w="7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“CTRN”</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Unless otherwise stated, information in this prospectus assumes:</w:t>
      </w:r>
    </w:p>
    <w:p>
      <w:pPr>
        <w:spacing w:after="0" w:line="58" w:lineRule="exact"/>
        <w:rPr>
          <w:sz w:val="20"/>
          <w:szCs w:val="20"/>
          <w:color w:val="auto"/>
        </w:rPr>
      </w:pPr>
    </w:p>
    <w:p>
      <w:pPr>
        <w:ind w:left="520" w:hanging="223"/>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26-for-one stock split of our common stock, which will occur simultaneously with the completion of this offering;</w:t>
      </w:r>
    </w:p>
    <w:p>
      <w:pPr>
        <w:spacing w:after="0" w:line="70" w:lineRule="exact"/>
        <w:rPr>
          <w:rFonts w:ascii="Times New Roman" w:cs="Times New Roman" w:eastAsia="Times New Roman" w:hAnsi="Times New Roman"/>
          <w:sz w:val="18"/>
          <w:szCs w:val="18"/>
          <w:color w:val="auto"/>
        </w:rPr>
      </w:pPr>
    </w:p>
    <w:p>
      <w:pPr>
        <w:ind w:left="520" w:right="60" w:hanging="223"/>
        <w:spacing w:after="0" w:line="271"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options to purchase 1,847,248 shares of common stock outstanding as of April 28, 2005, at a weighted average exercise price of $1.10 per share, other than the 29,654 options to be exercised by certain selling stockholders in connection with this offering; and</w:t>
      </w:r>
    </w:p>
    <w:p>
      <w:pPr>
        <w:spacing w:after="0" w:line="22" w:lineRule="exact"/>
        <w:rPr>
          <w:rFonts w:ascii="Times New Roman" w:cs="Times New Roman" w:eastAsia="Times New Roman" w:hAnsi="Times New Roman"/>
          <w:sz w:val="18"/>
          <w:szCs w:val="18"/>
          <w:color w:val="auto"/>
        </w:rPr>
      </w:pPr>
    </w:p>
    <w:p>
      <w:pPr>
        <w:ind w:left="520" w:hanging="223"/>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over-allotment option.</w:t>
      </w: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644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3930" cy="644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Summary Financial and Operating Data</w:t>
      </w:r>
    </w:p>
    <w:p>
      <w:pPr>
        <w:spacing w:after="0" w:line="113" w:lineRule="exact"/>
        <w:rPr>
          <w:sz w:val="20"/>
          <w:szCs w:val="20"/>
          <w:color w:val="auto"/>
        </w:rPr>
      </w:pPr>
    </w:p>
    <w:p>
      <w:pPr>
        <w:ind w:left="180" w:right="20"/>
        <w:spacing w:after="0" w:line="248" w:lineRule="auto"/>
        <w:rPr>
          <w:sz w:val="20"/>
          <w:szCs w:val="20"/>
          <w:color w:val="auto"/>
        </w:rPr>
      </w:pPr>
      <w:r>
        <w:rPr>
          <w:rFonts w:ascii="Times New Roman" w:cs="Times New Roman" w:eastAsia="Times New Roman" w:hAnsi="Times New Roman"/>
          <w:sz w:val="18"/>
          <w:szCs w:val="18"/>
          <w:color w:val="auto"/>
        </w:rPr>
        <w:t>The following table provides summary financial and operating data for each of the fiscal years in the five-year period ended January 29, 2005, including: (a) our statement of income data for each such period, (b) additional operating data for each such period and (c) our balance sheet data as of January 29, 2005, on an actual basis and as adjusted to give effect to the receipt and application of the net proceeds from this offering, assuming an initial offering price of $13.00 per share. The statement of income data for fiscal 2002, fiscal 2003 and fiscal 2004 are derived from financial statements included elsewhere in this prospectus that have been audited by KPMG LLP, independent registered public accountants. The statement of income data for fiscal 2000 and fiscal 2001 are derived from our audited financial statements that are not included in this prospectus. The summary financial and operating data set forth below should be read in conjunction with, and are qualified in their entirety by reference to, the sections of this prospectus entitled “Selected Financial and Operating Data” and “Management’s Discussion and Analysis of Financial Condition and Results of Operations” and our financial statements and related notes included elsewhere in this prospectus. Historical results are not necessarily indicative of results to be expected for any future period.</w:t>
      </w:r>
    </w:p>
    <w:p>
      <w:pPr>
        <w:spacing w:after="0" w:line="199"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Fiscal Year Ended</w:t>
            </w:r>
            <w:r>
              <w:rPr>
                <w:rFonts w:ascii="Times New Roman" w:cs="Times New Roman" w:eastAsia="Times New Roman" w:hAnsi="Times New Roman"/>
                <w:sz w:val="11"/>
                <w:szCs w:val="11"/>
                <w:b w:val="1"/>
                <w:bCs w:val="1"/>
                <w:color w:val="auto"/>
              </w:rPr>
              <w:t>(1)</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400" w:type="dxa"/>
            <w:vAlign w:val="bottom"/>
            <w:gridSpan w:val="4"/>
          </w:tcPr>
          <w:p>
            <w:pPr>
              <w:jc w:val="right"/>
              <w:ind w:right="340"/>
              <w:spacing w:after="0" w:line="127"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1"/>
                <w:szCs w:val="11"/>
                <w:color w:val="auto"/>
              </w:rPr>
            </w:pPr>
          </w:p>
        </w:tc>
        <w:tc>
          <w:tcPr>
            <w:tcW w:w="112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ind w:left="400"/>
              <w:spacing w:after="0" w:line="127"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1"/>
                <w:szCs w:val="11"/>
                <w:color w:val="auto"/>
              </w:rPr>
            </w:pPr>
          </w:p>
        </w:tc>
        <w:tc>
          <w:tcPr>
            <w:tcW w:w="1480" w:type="dxa"/>
            <w:vAlign w:val="bottom"/>
            <w:gridSpan w:val="4"/>
          </w:tcPr>
          <w:p>
            <w:pPr>
              <w:jc w:val="right"/>
              <w:ind w:right="380"/>
              <w:spacing w:after="0" w:line="127"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January 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2001</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2005</w:t>
            </w: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60" w:type="dxa"/>
            <w:vAlign w:val="bottom"/>
            <w:gridSpan w:val="10"/>
          </w:tcPr>
          <w:p>
            <w:pPr>
              <w:jc w:val="center"/>
              <w:ind w:right="1000"/>
              <w:spacing w:after="0" w:line="152" w:lineRule="exact"/>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80,939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124,951</w:t>
            </w:r>
          </w:p>
        </w:tc>
        <w:tc>
          <w:tcPr>
            <w:tcW w:w="6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157,198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203,442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51,762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77,807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98,145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127,308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26,834</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31,405</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38,760</w:t>
            </w: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48,845</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4"/>
                <w:szCs w:val="14"/>
                <w:color w:val="auto"/>
              </w:rPr>
              <w:t>(2)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3,101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300" w:type="dxa"/>
            <w:vAlign w:val="bottom"/>
          </w:tcPr>
          <w:p>
            <w:pPr>
              <w:spacing w:after="0"/>
              <w:rPr>
                <w:sz w:val="18"/>
                <w:szCs w:val="18"/>
                <w:color w:val="auto"/>
              </w:rPr>
            </w:pPr>
          </w:p>
        </w:tc>
        <w:tc>
          <w:tcPr>
            <w:tcW w:w="6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0.51</w:t>
            </w:r>
          </w:p>
        </w:tc>
        <w:tc>
          <w:tcPr>
            <w:tcW w:w="6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0.44</w:t>
            </w:r>
          </w:p>
        </w:tc>
        <w:tc>
          <w:tcPr>
            <w:tcW w:w="6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Weighted average shares used to</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compute net income per share: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9,269,000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9,219,167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9,295,000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9,295,000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9,302,800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9,269,000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9,791,999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10,757,110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3"/>
              </w:rPr>
              <w:t>10,771,410</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10,879,388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Operating Data:</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Number of stores: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Opened during period</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Closed during period</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Open at end of period</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Selling square footage at end of</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period</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786,534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891,843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1,043,713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1,290,039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1,715,943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Comparable store sales increase</w:t>
            </w:r>
            <w:r>
              <w:rPr>
                <w:rFonts w:ascii="Times New Roman" w:cs="Times New Roman" w:eastAsia="Times New Roman" w:hAnsi="Times New Roman"/>
                <w:sz w:val="14"/>
                <w:szCs w:val="14"/>
                <w:color w:val="auto"/>
              </w:rPr>
              <w:t>(3)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sales per store</w:t>
            </w:r>
            <w:r>
              <w:rPr>
                <w:rFonts w:ascii="Times New Roman" w:cs="Times New Roman" w:eastAsia="Times New Roman" w:hAnsi="Times New Roman"/>
                <w:sz w:val="14"/>
                <w:szCs w:val="14"/>
                <w:color w:val="auto"/>
              </w:rPr>
              <w:t>(4)</w:t>
            </w:r>
          </w:p>
        </w:tc>
        <w:tc>
          <w:tcPr>
            <w:tcW w:w="4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782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961</w:t>
            </w:r>
          </w:p>
        </w:tc>
        <w:tc>
          <w:tcPr>
            <w:tcW w:w="6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bl>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i w:val="1"/>
          <w:iCs w:val="1"/>
          <w:color w:val="auto"/>
        </w:rPr>
        <w:t>(footnotes on following page</w:t>
      </w:r>
    </w:p>
    <w:p>
      <w:pPr>
        <w:spacing w:after="0" w:line="3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313930" cy="2146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3930" cy="214630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949"/>
              <w:spacing w:after="0"/>
              <w:rPr>
                <w:sz w:val="20"/>
                <w:szCs w:val="20"/>
                <w:color w:val="auto"/>
              </w:rPr>
            </w:pPr>
            <w:r>
              <w:rPr>
                <w:rFonts w:ascii="Times New Roman" w:cs="Times New Roman" w:eastAsia="Times New Roman" w:hAnsi="Times New Roman"/>
                <w:sz w:val="14"/>
                <w:szCs w:val="14"/>
                <w:b w:val="1"/>
                <w:bCs w:val="1"/>
                <w:color w:val="auto"/>
              </w:rPr>
              <w:t>As of January 29, 2005</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00" w:type="dxa"/>
            <w:vAlign w:val="bottom"/>
            <w:tcBorders>
              <w:bottom w:val="single" w:sz="8" w:color="auto"/>
            </w:tcBorders>
          </w:tcPr>
          <w:p>
            <w:pPr>
              <w:jc w:val="right"/>
              <w:ind w:right="55"/>
              <w:spacing w:after="0" w:line="152" w:lineRule="exact"/>
              <w:rPr>
                <w:sz w:val="20"/>
                <w:szCs w:val="20"/>
                <w:color w:val="auto"/>
              </w:rPr>
            </w:pPr>
            <w:r>
              <w:rPr>
                <w:rFonts w:ascii="Times New Roman" w:cs="Times New Roman" w:eastAsia="Times New Roman" w:hAnsi="Times New Roman"/>
                <w:sz w:val="14"/>
                <w:szCs w:val="14"/>
                <w:b w:val="1"/>
                <w:bCs w:val="1"/>
                <w:color w:val="auto"/>
              </w:rPr>
              <w:t>Actual</w:t>
            </w:r>
          </w:p>
        </w:tc>
        <w:tc>
          <w:tcPr>
            <w:tcW w:w="340" w:type="dxa"/>
            <w:vAlign w:val="bottom"/>
            <w:tcBorders>
              <w:bottom w:val="single" w:sz="8" w:color="auto"/>
            </w:tcBorders>
          </w:tcPr>
          <w:p>
            <w:pPr>
              <w:spacing w:after="0"/>
              <w:rPr>
                <w:sz w:val="13"/>
                <w:szCs w:val="13"/>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(in</w:t>
            </w:r>
          </w:p>
        </w:tc>
        <w:tc>
          <w:tcPr>
            <w:tcW w:w="1840" w:type="dxa"/>
            <w:vAlign w:val="bottom"/>
            <w:tcBorders>
              <w:bottom w:val="single" w:sz="8" w:color="auto"/>
            </w:tcBorders>
          </w:tcPr>
          <w:p>
            <w:pPr>
              <w:jc w:val="right"/>
              <w:ind w:right="429"/>
              <w:spacing w:after="0" w:line="15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52"/>
        </w:trPr>
        <w:tc>
          <w:tcPr>
            <w:tcW w:w="37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vMerge w:val="continue"/>
          </w:tcPr>
          <w:p>
            <w:pPr>
              <w:spacing w:after="0"/>
              <w:rPr>
                <w:sz w:val="13"/>
                <w:szCs w:val="13"/>
                <w:color w:val="auto"/>
              </w:rPr>
            </w:pPr>
          </w:p>
        </w:tc>
        <w:tc>
          <w:tcPr>
            <w:tcW w:w="1840" w:type="dxa"/>
            <w:vAlign w:val="bottom"/>
          </w:tcPr>
          <w:p>
            <w:pPr>
              <w:jc w:val="right"/>
              <w:ind w:right="1229"/>
              <w:spacing w:after="0" w:line="152" w:lineRule="exact"/>
              <w:rPr>
                <w:sz w:val="20"/>
                <w:szCs w:val="20"/>
                <w:color w:val="auto"/>
              </w:rPr>
            </w:pPr>
            <w:r>
              <w:rPr>
                <w:rFonts w:ascii="Times New Roman" w:cs="Times New Roman" w:eastAsia="Times New Roman" w:hAnsi="Times New Roman"/>
                <w:sz w:val="14"/>
                <w:szCs w:val="14"/>
                <w:color w:val="auto"/>
                <w:w w:val="85"/>
              </w:rPr>
              <w:t>thousands)</w:t>
            </w:r>
          </w:p>
        </w:tc>
        <w:tc>
          <w:tcPr>
            <w:tcW w:w="0" w:type="dxa"/>
            <w:vAlign w:val="bottom"/>
          </w:tcPr>
          <w:p>
            <w:pPr>
              <w:spacing w:after="0"/>
              <w:rPr>
                <w:sz w:val="1"/>
                <w:szCs w:val="1"/>
                <w:color w:val="auto"/>
              </w:rPr>
            </w:pPr>
          </w:p>
        </w:tc>
      </w:tr>
      <w:tr>
        <w:trPr>
          <w:trHeight w:val="212"/>
        </w:trPr>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$11,801</w:t>
            </w:r>
          </w:p>
        </w:tc>
        <w:tc>
          <w:tcPr>
            <w:tcW w:w="2480" w:type="dxa"/>
            <w:vAlign w:val="bottom"/>
            <w:gridSpan w:val="3"/>
          </w:tcPr>
          <w:p>
            <w:pPr>
              <w:jc w:val="right"/>
              <w:ind w:right="509"/>
              <w:spacing w:after="0"/>
              <w:rPr>
                <w:sz w:val="20"/>
                <w:szCs w:val="20"/>
                <w:color w:val="auto"/>
              </w:rPr>
            </w:pPr>
            <w:r>
              <w:rPr>
                <w:rFonts w:ascii="Times New Roman" w:cs="Times New Roman" w:eastAsia="Times New Roman" w:hAnsi="Times New Roman"/>
                <w:sz w:val="18"/>
                <w:szCs w:val="18"/>
                <w:color w:val="auto"/>
              </w:rPr>
              <w:t>$37,429</w:t>
            </w:r>
          </w:p>
        </w:tc>
        <w:tc>
          <w:tcPr>
            <w:tcW w:w="0" w:type="dxa"/>
            <w:vAlign w:val="bottom"/>
          </w:tcPr>
          <w:p>
            <w:pPr>
              <w:spacing w:after="0"/>
              <w:rPr>
                <w:sz w:val="1"/>
                <w:szCs w:val="1"/>
                <w:color w:val="auto"/>
              </w:rPr>
            </w:pPr>
          </w:p>
        </w:tc>
      </w:tr>
      <w:tr>
        <w:trPr>
          <w:trHeight w:val="212"/>
        </w:trPr>
        <w:tc>
          <w:tcPr>
            <w:tcW w:w="7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70,790</w:t>
            </w:r>
          </w:p>
        </w:tc>
        <w:tc>
          <w:tcPr>
            <w:tcW w:w="2480" w:type="dxa"/>
            <w:vAlign w:val="bottom"/>
            <w:gridSpan w:val="3"/>
            <w:shd w:val="clear" w:color="auto" w:fill="CCEEFF"/>
          </w:tcPr>
          <w:p>
            <w:pPr>
              <w:jc w:val="right"/>
              <w:ind w:right="509"/>
              <w:spacing w:after="0"/>
              <w:rPr>
                <w:sz w:val="20"/>
                <w:szCs w:val="20"/>
                <w:color w:val="auto"/>
              </w:rPr>
            </w:pPr>
            <w:r>
              <w:rPr>
                <w:rFonts w:ascii="Times New Roman" w:cs="Times New Roman" w:eastAsia="Times New Roman" w:hAnsi="Times New Roman"/>
                <w:sz w:val="18"/>
                <w:szCs w:val="18"/>
                <w:color w:val="auto"/>
              </w:rPr>
              <w:t>96,417</w:t>
            </w:r>
          </w:p>
        </w:tc>
        <w:tc>
          <w:tcPr>
            <w:tcW w:w="0" w:type="dxa"/>
            <w:vAlign w:val="bottom"/>
          </w:tcPr>
          <w:p>
            <w:pPr>
              <w:spacing w:after="0"/>
              <w:rPr>
                <w:sz w:val="1"/>
                <w:szCs w:val="1"/>
                <w:color w:val="auto"/>
              </w:rPr>
            </w:pPr>
          </w:p>
        </w:tc>
      </w:tr>
      <w:tr>
        <w:trPr>
          <w:trHeight w:val="212"/>
        </w:trPr>
        <w:tc>
          <w:tcPr>
            <w:tcW w:w="78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47,025</w:t>
            </w:r>
          </w:p>
        </w:tc>
        <w:tc>
          <w:tcPr>
            <w:tcW w:w="2480" w:type="dxa"/>
            <w:vAlign w:val="bottom"/>
            <w:gridSpan w:val="3"/>
          </w:tcPr>
          <w:p>
            <w:pPr>
              <w:jc w:val="right"/>
              <w:ind w:right="509"/>
              <w:spacing w:after="0"/>
              <w:rPr>
                <w:sz w:val="20"/>
                <w:szCs w:val="20"/>
                <w:color w:val="auto"/>
              </w:rPr>
            </w:pPr>
            <w:r>
              <w:rPr>
                <w:rFonts w:ascii="Times New Roman" w:cs="Times New Roman" w:eastAsia="Times New Roman" w:hAnsi="Times New Roman"/>
                <w:sz w:val="18"/>
                <w:szCs w:val="18"/>
                <w:color w:val="auto"/>
              </w:rPr>
              <w:t>41,543</w:t>
            </w:r>
          </w:p>
        </w:tc>
        <w:tc>
          <w:tcPr>
            <w:tcW w:w="0" w:type="dxa"/>
            <w:vAlign w:val="bottom"/>
          </w:tcPr>
          <w:p>
            <w:pPr>
              <w:spacing w:after="0"/>
              <w:rPr>
                <w:sz w:val="1"/>
                <w:szCs w:val="1"/>
                <w:color w:val="auto"/>
              </w:rPr>
            </w:pPr>
          </w:p>
        </w:tc>
      </w:tr>
      <w:tr>
        <w:trPr>
          <w:trHeight w:val="212"/>
        </w:trPr>
        <w:tc>
          <w:tcPr>
            <w:tcW w:w="37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23,765</w:t>
            </w:r>
          </w:p>
        </w:tc>
        <w:tc>
          <w:tcPr>
            <w:tcW w:w="2480" w:type="dxa"/>
            <w:vAlign w:val="bottom"/>
            <w:gridSpan w:val="3"/>
            <w:shd w:val="clear" w:color="auto" w:fill="CCEEFF"/>
          </w:tcPr>
          <w:p>
            <w:pPr>
              <w:jc w:val="right"/>
              <w:ind w:right="509"/>
              <w:spacing w:after="0"/>
              <w:rPr>
                <w:sz w:val="20"/>
                <w:szCs w:val="20"/>
                <w:color w:val="auto"/>
              </w:rPr>
            </w:pPr>
            <w:r>
              <w:rPr>
                <w:rFonts w:ascii="Times New Roman" w:cs="Times New Roman" w:eastAsia="Times New Roman" w:hAnsi="Times New Roman"/>
                <w:sz w:val="18"/>
                <w:szCs w:val="18"/>
                <w:color w:val="auto"/>
              </w:rPr>
              <w:t>54,875</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520" w:hanging="342"/>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fiscal year ends on the Saturday closest to January 31 of each year. Fiscal years 2001, 2002, 2003 and 2004 comprise 52 weeks. Fiscal year 2000 comprises 53 weeks.</w:t>
      </w:r>
    </w:p>
    <w:p>
      <w:pPr>
        <w:spacing w:after="0" w:line="50" w:lineRule="exact"/>
        <w:rPr>
          <w:rFonts w:ascii="Times New Roman" w:cs="Times New Roman" w:eastAsia="Times New Roman" w:hAnsi="Times New Roman"/>
          <w:sz w:val="12"/>
          <w:szCs w:val="12"/>
          <w:color w:val="auto"/>
        </w:rPr>
      </w:pPr>
    </w:p>
    <w:p>
      <w:pPr>
        <w:ind w:left="520" w:hanging="342"/>
        <w:spacing w:after="0" w:line="235" w:lineRule="auto"/>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Our Series A Preferred Stock, which will be redeemed using a portion of the net proceeds from this offering, was reclassified as debt as of the second quarter of fiscal 2003, in accordance with the Financial Accounting Standards Board’s (“FASB”) Statement of Financial Accounting Standards (“SFAS”) No. 150, </w:t>
      </w:r>
      <w:r>
        <w:rPr>
          <w:rFonts w:ascii="Times New Roman" w:cs="Times New Roman" w:eastAsia="Times New Roman" w:hAnsi="Times New Roman"/>
          <w:sz w:val="14"/>
          <w:szCs w:val="14"/>
          <w:i w:val="1"/>
          <w:iCs w:val="1"/>
          <w:color w:val="auto"/>
        </w:rPr>
        <w:t>Accounting for Certain Financial Instruments with Characteristics of both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Liabilities and Equity</w:t>
      </w:r>
      <w:r>
        <w:rPr>
          <w:rFonts w:ascii="Times New Roman" w:cs="Times New Roman" w:eastAsia="Times New Roman" w:hAnsi="Times New Roman"/>
          <w:sz w:val="14"/>
          <w:szCs w:val="14"/>
          <w:color w:val="auto"/>
        </w:rPr>
        <w:t>. The amount of dividends treated as interest expense was $324,450 in fiscal 2004, $189,000 in fiscal 2003 and none in fiscal 2002.</w:t>
      </w:r>
    </w:p>
    <w:p>
      <w:pPr>
        <w:spacing w:after="0" w:line="29" w:lineRule="exact"/>
        <w:rPr>
          <w:rFonts w:ascii="Times New Roman" w:cs="Times New Roman" w:eastAsia="Times New Roman" w:hAnsi="Times New Roman"/>
          <w:sz w:val="12"/>
          <w:szCs w:val="12"/>
          <w:color w:val="auto"/>
        </w:rPr>
      </w:pPr>
    </w:p>
    <w:p>
      <w:pPr>
        <w:ind w:left="520" w:right="100" w:hanging="342"/>
        <w:spacing w:after="0" w:line="250" w:lineRule="auto"/>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21" w:lineRule="exact"/>
        <w:rPr>
          <w:rFonts w:ascii="Times New Roman" w:cs="Times New Roman" w:eastAsia="Times New Roman" w:hAnsi="Times New Roman"/>
          <w:sz w:val="12"/>
          <w:szCs w:val="12"/>
          <w:color w:val="auto"/>
        </w:rPr>
      </w:pPr>
    </w:p>
    <w:p>
      <w:pPr>
        <w:ind w:left="520" w:hanging="342"/>
        <w:spacing w:after="0"/>
        <w:tabs>
          <w:tab w:leader="none" w:pos="5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Average sales per store is defined as net sales divided by the average of stores open at the end of the prior period and stores open at the end of the current period.</w:t>
      </w:r>
    </w:p>
    <w:p>
      <w:pPr>
        <w:spacing w:after="0" w:line="3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1" w:right="1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Risk Factors</w:t>
      </w:r>
    </w:p>
    <w:p>
      <w:pPr>
        <w:spacing w:after="0" w:line="113"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An investment in shares of our common stock involves a high degree of risk. You should consider carefully the following information about these risks, together with the other information contained in this prospectus, before you decide whether to buy our common stock. The occurrence of any of the following risks could have a material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Citi Trends, Inc.</w:t>
      </w:r>
    </w:p>
    <w:p>
      <w:pPr>
        <w:spacing w:after="0" w:line="111"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b w:val="1"/>
          <w:bCs w:val="1"/>
          <w:color w:val="auto"/>
        </w:rPr>
        <w:t>Our success depends on our ability to anticipate, identify and respond rapidly to changes in consumers’ fashion tastes, and our failure to evaluate adequately fashion trends could have a material adverse effect on our business, financial condition and results of operations.</w:t>
      </w:r>
    </w:p>
    <w:p>
      <w:pPr>
        <w:spacing w:after="0" w:line="6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apparel industry in general and our core customer market in particular are subject to rapidly evolving fashion trends and shifting consumer demands. Accordingly, our success is heavily dependent on our ability to anticipate, identify and capitalize on emerging fashion trends, including products, styles and materials that will appeal to our target consumers. Our failure to anticipate, identify or react appropriately to changes in styles, trends, brand preferences or desired image preferences is likely to lead to lower demand for our merchandise, which could cause, among other things, sales declines, excess inventories and higher markdowns. The inaccuracy of our forecasts regarding fashion trends could have a material adverse effect on our business, financial condition and results of operations.</w:t>
      </w:r>
    </w:p>
    <w:p>
      <w:pPr>
        <w:spacing w:after="0" w:line="186"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8"/>
          <w:szCs w:val="18"/>
          <w:b w:val="1"/>
          <w:bCs w:val="1"/>
          <w:color w:val="auto"/>
        </w:rPr>
        <w:t>If we are unsuccessful in competing with our retail apparel competitors, our market share could decline or our growth could be impaired and, as a result, our financial results could suffer.</w:t>
      </w:r>
    </w:p>
    <w:p>
      <w:pPr>
        <w:spacing w:after="0" w:line="6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retail apparel market is highly competitive, with few barriers to entry. We compete against a diverse group of retailers, including national off-price apparel chains such as The TJX Companies, Inc., or TJX Companies, Burlington Coat Factory Warehouse Corp., or Burlington Coat Factory, and Ross Stores, Inc., or Ross Stores; mass merchants such as Wal-Mart and Kmart; smaller discount retail chains that only sell women’s products, such as Rainbow, Dots, Fashion Cents, It’s Fashions (a subsidiary of The Cato Corporation) and Simply Fashions; and general merchandise discount stores and dollar stores, which offer a variety of products, including apparel, for the value-conscious consumer. We also compete against local off-price and specialty retail stores, regional retail chains, traditional department stores, and Internet and other direct retailers.</w:t>
      </w:r>
    </w:p>
    <w:p>
      <w:pPr>
        <w:spacing w:after="0" w:line="8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exert greater pricing pressures on suppliers and open new stores more quickly and effectively than we can. Many of these retailers have better name recognition among consumers than we have and purchase significantly more merchandise from vendors. These retailers may be able to purchase branded merchandise that we cannot purchase because of their name recognition and relationships with suppliers, or they may be able to purchase branded merchandise with better pricing concessions than we receive. Our local and regional competitors have extensive knowledge of the consumer base and may be able to garner more loyalty from customers than we can. In addition, our online competitors enjoy a retailing advantage over us as we have only recently completed the upgrade of our website to enable Internet sales of selected urban branded apparel provided by third parties. If the consumer base we serve is satisfied with the selection, quality and price of our competitors’ products, consumers may decide not to shop in our stores. Additionally, if our existing competitors or other retailers decide to focus more on our core customers, particularly African-Americans consumers, we may have greater difficulty in competing effectively, our business and results of operations could be adversely affected, and the market price of our common stock could suffer.</w:t>
      </w:r>
    </w:p>
    <w:p>
      <w:pPr>
        <w:spacing w:after="0" w:line="89"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18"/>
          <w:szCs w:val="18"/>
          <w:color w:val="auto"/>
        </w:rPr>
        <w:t>The retail industry periodically has experienced consolidation and other ownership changes. In the future, other United States or foreign retailers may consolidate, undergo restructurings or reorganizations, or realign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their affiliations. Any of these developments could result in our competitors increasing their buying power or market visibility. These developments may cause us to lose market share and could have a material adverse effect on our sales, revenues and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experience a reduction in sales and revenues or reduced cash flows if we are unable to fulfill our current and future merchandising needs.</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depend on our suppliers for the continued availability and satisfactory quality of our merchandise. Most of our suppliers could discontinue selling to us at any time. Additionally, if the manufacturers or other owners of brands or trademarks terminate the license agreements under which some of our suppliers sell us products, we may be unable to obtain replacement merchandise of comparable fashion appeal or quality, in the same quantities or at the same prices. If we lose the services of one or more of our significant suppliers or one or more of them fail to meet our merchandising needs, we may be unable to obtain replacement merchandise in a timely manner. If our existing suppliers cannot meet our increased needs and we cannot locate alternative supply sources, we may be unable to obtain sufficient quantities of the most popular items of the nationally recognized brands at attractive prices, which could negatively impact our sales, revenues and results of operations.</w:t>
      </w:r>
    </w:p>
    <w:p>
      <w:pPr>
        <w:spacing w:after="0" w:line="18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color w:val="auto"/>
        </w:rPr>
        <w:t>As an apparel retailer, we rely on numerous third-parties in the supply chain to produce and deliver the products that we sell, and our business may be negatively impacted by their failure to comply with applicable law.</w:t>
      </w:r>
    </w:p>
    <w:p>
      <w:pPr>
        <w:spacing w:after="0" w:line="6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As an importer and retailer of goods, we rely on numerous third parties to supply the products that we sell. Violations of law by our importers, buying agents, manufacturers or distributors could result in delays in shipments and receipt of goods and could subject us to fines or other penalties, any of which could restrict our business activities, increase our operating expenses or cause our revenues to decline. Further, we are susceptible to the receipt of counterfeit brands or unlicensed goods. We could incur liability with manufacturers or other owners of the brands or trademarked products if we inadvertently receive and sell counterfeit brands or unlicensed goods and, therefore, is important that we establish relationships with reputable vendors to prevent the possibility that we inadvertently receive counterfeit brands or unlicensed goods. Although we have a quality assurance team to check merchandise in an effort to assure that we purchase only authentic brands and licensed goods and are careful in selecting our vendors, we may receive products that we are prohibited from selling or incur liability for selling counterfeit brands or unlicensed goods, which could increase our operating expenses and cause our net income to decline.</w:t>
      </w:r>
    </w:p>
    <w:p>
      <w:pPr>
        <w:spacing w:after="0" w:line="176"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b w:val="1"/>
          <w:bCs w:val="1"/>
          <w:color w:val="auto"/>
        </w:rPr>
        <w:t>If our growth strategy is unsuccessful, our financial condition and results of operation could suffer and the market price of our common stock could decline.</w:t>
      </w:r>
    </w:p>
    <w:p>
      <w:pPr>
        <w:spacing w:after="0" w:line="6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Our ability to continue to increase our net sales and earnings depends, in large part, on opening new stores and operating our new and existing stores profitably. We opened 40 new stores in fiscal 2004 and 25 new stores in fiscal 2003. We expect to open 40 new stores in each of fiscal 2005 and fiscal 2006, and as of April 22, we had opened twelve new stores in fiscal 2005. If we are unable to open all of these stores or operate them profitability, we may not achieve our forecasted sales and earnings growth targets. Additionally, growth of our store base will place increased demands on our operating, managerial and administrative resources and may lead to management and operating inefficiencies, including merchandising, personnel, distribution and integration problems. These demands and inefficiencies may cause deterioration in the financial performance of our individual stores and, therefore, our entire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experience increased operating costs and limited amounts of growth if we are unable to obtain reasonably priced financing.</w:t>
      </w:r>
    </w:p>
    <w:p>
      <w:pPr>
        <w:spacing w:after="0" w:line="11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may need to raise additional debt or equity capital in the future to open new stores, to respond to competitive pressures or to respond to unforeseen financial requirements. We may not be able to obtain additional capital on commercially reasonable terms or at all. Our inability to obtain reasonably priced financing could create increased operating costs and diminished levels of growth, as we could be forced to</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incur indebtedness with above-market interest rates or with substantial restrictive covenants, issue equity securities that dilute the ownership interests of existing stockholders or scale back our operations and/or store growth strategy.</w:t>
      </w:r>
    </w:p>
    <w:p>
      <w:pPr>
        <w:spacing w:after="0" w:line="166" w:lineRule="exact"/>
        <w:rPr>
          <w:sz w:val="20"/>
          <w:szCs w:val="20"/>
          <w:color w:val="auto"/>
        </w:rPr>
      </w:pPr>
    </w:p>
    <w:p>
      <w:pPr>
        <w:ind w:right="540"/>
        <w:spacing w:after="0" w:line="273" w:lineRule="auto"/>
        <w:rPr>
          <w:sz w:val="20"/>
          <w:szCs w:val="20"/>
          <w:color w:val="auto"/>
        </w:rPr>
      </w:pPr>
      <w:r>
        <w:rPr>
          <w:rFonts w:ascii="Times New Roman" w:cs="Times New Roman" w:eastAsia="Times New Roman" w:hAnsi="Times New Roman"/>
          <w:sz w:val="18"/>
          <w:szCs w:val="18"/>
          <w:b w:val="1"/>
          <w:bCs w:val="1"/>
          <w:color w:val="auto"/>
        </w:rPr>
        <w:t>A significant disruption to our distribution process or southeastern retail locations could have a material adverse effect on our business, financial condition and results of operations.</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distribute merchandise to our store locations in a timely manner is essential to the efficient and profitable operation of our business. At the center of our distribution process are our two distribution centers located in Savannah, Georgia, one of which also serves as our corporate headquarters. Any natural disaster or other disruption to the operation of either of these facilities due to fire, hurricane, other natural disaster or any other cause could damage a significant portion of our inventory or impair our ability to stock adequately our stores and process product returns to suppliers.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Savannah, Georgia and the southeastern United States are vulnerable to significant damage or destruction from hurricanes and tropical storms. Although we maintain insurance on our stores and other facilities, the economic effects of a natural disaster that affects our distribution centers and/or a significant number of our stores could increase our operating expenses, impair our cash flows and reduce our revenues, which could negatively impact the market price of our common stock.</w:t>
      </w:r>
    </w:p>
    <w:p>
      <w:pPr>
        <w:spacing w:after="0" w:line="18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b w:val="1"/>
          <w:bCs w:val="1"/>
          <w:color w:val="auto"/>
        </w:rPr>
        <w:t>Our growth strategy requires that we expand our distribution capacity, and, in the event that we are unable to find a suitable location for such a facility, our business, financial condition and results of operations could be materially adversely affected.</w:t>
      </w:r>
    </w:p>
    <w:p>
      <w:pPr>
        <w:spacing w:after="0" w:line="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will need additional distribution capacity in the next two to three years to support our anticipated growth. Although we currently intend to acquire, design and construct or lease a new distribution center during this time period, there is no assurance that we will be able to do so in a cost efficient manner. In order to maintain the efficient operation of our business, additional centers may need to be located in closer proximity to the new markets that we enter. In addition, we may have difficulty finding suitable locations for new distribution centers, and, if we do, they may be more expensive to operate than our existing facilities. Our failure to expand our distribution capacity on a timely basis to keep pace with our anticipated growth in stores could have a material adverse effect on our business, financial condition and results of operations.</w:t>
      </w:r>
    </w:p>
    <w:p>
      <w:pPr>
        <w:spacing w:after="0" w:line="186"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8"/>
          <w:szCs w:val="18"/>
          <w:b w:val="1"/>
          <w:bCs w:val="1"/>
          <w:color w:val="auto"/>
        </w:rPr>
        <w:t>Our net sales, inventory levels and earnings fluctuate on a seasonal basis, which makes our business more susceptible to adverse events that occur during those seasons.</w:t>
      </w:r>
    </w:p>
    <w:p>
      <w:pPr>
        <w:spacing w:after="0" w:line="6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Our net sales and earnings are disproportionately higher during the first and fourth quarters each year due to the importance of the spring selling season, which includes Easter, and the fall selling season, which includes Christmas. Factors negatively affecting us during the first and fourth quarters, including adverse weather and unfavorable economic conditions, will have a greater adverse effect on our financial condition than if our business were less seasonal.</w:t>
      </w:r>
    </w:p>
    <w:p>
      <w:pPr>
        <w:spacing w:after="0" w:line="7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In order to prepare for the spring and fall selling seasons, we must order and keep in stock significantly more merchandise than during other parts of the year. This seasonality makes our business more susceptible to the risk that our inventory will not satisfy actual consumer demand. Any unanticipated demand imbalances during these peak shopping seasons could require us either to sell excess inventory at a substantial markdown or fail to satisfy our consumers. In either event, our net sales and gross margins may be lower than historical levels, which could have a material adverse effect on our business, financial condition and results of operations.</w:t>
      </w:r>
    </w:p>
    <w:p>
      <w:pPr>
        <w:spacing w:after="0" w:line="186"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b w:val="1"/>
          <w:bCs w:val="1"/>
          <w:color w:val="auto"/>
        </w:rPr>
        <w:t>We experience fluctuations and variability in our comparable store sales and quarterly results of operations and, as a result, the market price of our common stock may fluctuate or decline substantially.</w:t>
      </w:r>
    </w:p>
    <w:p>
      <w:pPr>
        <w:spacing w:after="0" w:line="6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comparable store sales and quarterly results have fluctuated significantly in the past based on a number of economic, seasonal and competitive factors, and we expect them to continue to fluctuate in the future. Since the beginning of fiscal 2003, our quarter-to-quarter comparable store sales have ranged from an increase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0.3% to an increase of 9.6%. In addition, we may be unable to maintain historical levels of comparable store sales as we execute our growth strategy and expand our business. This variability could cause our comparable store sales and quarterly results to fall below the expectations of securities analysts or investors, which could result in volatility of the market price of our common stock. If our comparable store sales and quarterly results fail to meet the expectations of the market generally, the market price of our common stock could decline substantially.</w:t>
      </w:r>
    </w:p>
    <w:p>
      <w:pPr>
        <w:spacing w:after="0" w:line="184" w:lineRule="exact"/>
        <w:rPr>
          <w:sz w:val="20"/>
          <w:szCs w:val="20"/>
          <w:color w:val="auto"/>
        </w:rPr>
      </w:pPr>
    </w:p>
    <w:p>
      <w:pPr>
        <w:ind w:right="300"/>
        <w:spacing w:after="0" w:line="273" w:lineRule="auto"/>
        <w:rPr>
          <w:sz w:val="20"/>
          <w:szCs w:val="20"/>
          <w:color w:val="auto"/>
        </w:rPr>
      </w:pPr>
      <w:r>
        <w:rPr>
          <w:rFonts w:ascii="Times New Roman" w:cs="Times New Roman" w:eastAsia="Times New Roman" w:hAnsi="Times New Roman"/>
          <w:sz w:val="18"/>
          <w:szCs w:val="18"/>
          <w:b w:val="1"/>
          <w:bCs w:val="1"/>
          <w:color w:val="auto"/>
        </w:rPr>
        <w:t>Our sales and revenues could decline as a result of general economic and other factors outside of our control, such as changes in consumer spending patterns and declines in employment levels.</w:t>
      </w:r>
    </w:p>
    <w:p>
      <w:pPr>
        <w:spacing w:after="0" w:line="6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Downturns, or the expectation of a downturn, in general economic conditions could adversely affect consumer spending patterns, our sales and our results of operations. Because apparel generally is a discretionary purchase, declines in consumer spending patterns may have a more negative effect on apparel retailers than some other retailers. Therefore, we may not be able to maintain our historical rate of growth in revenues and earnings, or remain as profitable, if there is a decline in consumer spending patterns. In addition, since the majority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revenues and results of operations than on retailers with a more geographically diversified store base.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failure to protect our trademarks could have a negative effect on our brand image and limit our ability to penetrate new markets.</w:t>
      </w:r>
    </w:p>
    <w:p>
      <w:pPr>
        <w:spacing w:after="0" w:line="6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Imitation of our name, concept, store design or merchandise in a manner that projects lesser quality or carries a negative connotation of our brand image could have a material adverse effect on our business, financial condition and results of operations.</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we cannot assure you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 or accessories. Although we cannot currently estimate the likelihood of success of any such lawsuit or ultimate resolution of such a conflict, such a controversy could have a material adverse effect on our business, financial condition and results of operations.</w:t>
      </w:r>
    </w:p>
    <w:p>
      <w:pPr>
        <w:spacing w:after="0" w:line="184" w:lineRule="exact"/>
        <w:rPr>
          <w:sz w:val="20"/>
          <w:szCs w:val="20"/>
          <w:color w:val="auto"/>
        </w:rPr>
      </w:pPr>
    </w:p>
    <w:p>
      <w:pPr>
        <w:ind w:right="600"/>
        <w:spacing w:after="0" w:line="273" w:lineRule="auto"/>
        <w:rPr>
          <w:sz w:val="20"/>
          <w:szCs w:val="20"/>
          <w:color w:val="auto"/>
        </w:rPr>
      </w:pPr>
      <w:r>
        <w:rPr>
          <w:rFonts w:ascii="Times New Roman" w:cs="Times New Roman" w:eastAsia="Times New Roman" w:hAnsi="Times New Roman"/>
          <w:sz w:val="18"/>
          <w:szCs w:val="18"/>
          <w:b w:val="1"/>
          <w:bCs w:val="1"/>
          <w:color w:val="auto"/>
        </w:rPr>
        <w:t>Our failure to implement and maintain effective internal controls in our business could have a material adverse effect on our business, financial condition, results of operations and stock price.</w:t>
      </w:r>
    </w:p>
    <w:p>
      <w:pPr>
        <w:spacing w:after="0" w:line="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are in the process of documenting and testing our internal control procedures in order to satisfy the requirements of Section 404 of the Sarbanes-Oxley Act of 2002. Section 404 requires annual management assessments of the effectiveness of our internal controls over financial reporting and a report by our independent auditors addressing these assessments. We will be required to comply with Section 404 no later than the time we file our annual report for fiscal 2006 with the Securities and Exchange Commission, or the Commission. During the course of our testing, we may identify deficiencies in our internal controls, which we may be unable to correct in time to meet the deadline imposed by the Sarbanes-Oxley Act of 2002. If we fail to achieve and maintain the adequacy of our internal controls in accordance with applicable standards as then in effect or as supplemented or amended from time to time, we may be unable to conclude on an ongoing basis that we have effective internal controls over financial reporting in accordance with Section 404. Moreover, effective internal controls, particularly those related to revenue recognition, are necessary for us to produce reliable financial reports and are important in our effort to prevent financial fraud. If we cannot</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produce reliable financial reports or prevent fraud, our business, financial condition and results of operations could be harmed, investors could lose confidence in our reported financial information, the market price of our stock could decline significantly and we may be unable to obtain additional financing to operate and expand our business.</w:t>
      </w:r>
    </w:p>
    <w:p>
      <w:pPr>
        <w:spacing w:after="0" w:line="177" w:lineRule="exact"/>
        <w:rPr>
          <w:sz w:val="20"/>
          <w:szCs w:val="20"/>
          <w:color w:val="auto"/>
        </w:rPr>
      </w:pPr>
    </w:p>
    <w:p>
      <w:pPr>
        <w:ind w:right="480"/>
        <w:spacing w:after="0" w:line="273" w:lineRule="auto"/>
        <w:rPr>
          <w:sz w:val="20"/>
          <w:szCs w:val="20"/>
          <w:color w:val="auto"/>
        </w:rPr>
      </w:pPr>
      <w:r>
        <w:rPr>
          <w:rFonts w:ascii="Times New Roman" w:cs="Times New Roman" w:eastAsia="Times New Roman" w:hAnsi="Times New Roman"/>
          <w:sz w:val="18"/>
          <w:szCs w:val="18"/>
          <w:b w:val="1"/>
          <w:bCs w:val="1"/>
          <w:color w:val="auto"/>
        </w:rPr>
        <w:t>Adverse trade restrictions may disrupt our supply of merchandise. We also face various risks because much of our merchandise is imported from abroad.</w:t>
      </w:r>
    </w:p>
    <w:p>
      <w:pPr>
        <w:spacing w:after="0" w:line="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We purchase the products we sell directly from over 1,000 vendors, and a substantial portion of this merchandise is manufactured outside of the United States and imported by our vendors from countries such as China and other areas of the Far East, including Taiwan and the Philippines. The countries in which our merchandise currently is manufactured or may be manufactured in the future could become subject to new trade restrictions imposed by the United States or other foreign governments. Trade restrictions, including increased tariffs or quotas, embargoes, and customs restrictions, against apparel items, as well as United States or foreign labor strikes, work stoppages or boycotts, could increase the cost or reduce the supply of apparel available to us and have a material adverse effect on our business, financial condition and results of operations.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28"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We also face a variety of other risks generally associated with relying on vendors that do business in foreign markets and import merchandise from abroad, such as:</w:t>
      </w:r>
    </w:p>
    <w:p>
      <w:pPr>
        <w:spacing w:after="0" w:line="62" w:lineRule="exact"/>
        <w:rPr>
          <w:sz w:val="20"/>
          <w:szCs w:val="20"/>
          <w:color w:val="auto"/>
        </w:rPr>
      </w:pPr>
    </w:p>
    <w:p>
      <w:pPr>
        <w:ind w:left="340" w:hanging="215"/>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the threat of terrorism, in particular in countries where our vendors source merchandise such as Taiwan and the Philippines;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security measures at United States and foreign ports, which could delay delivery of imports;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new or supplemental duties, taxes, and other charges on imports;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receipt or non-delivery of goods due to the failure of foreign-source suppliers to comply with applicable import regulations;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receipt or non-delivery of goods due to organized labor strikes or unexpected or significant port congestion at United States ports; and</w:t>
      </w:r>
    </w:p>
    <w:p>
      <w:pPr>
        <w:spacing w:after="0" w:line="70" w:lineRule="exact"/>
        <w:rPr>
          <w:rFonts w:ascii="Times New Roman" w:cs="Times New Roman" w:eastAsia="Times New Roman" w:hAnsi="Times New Roman"/>
          <w:sz w:val="18"/>
          <w:szCs w:val="18"/>
          <w:color w:val="auto"/>
        </w:rPr>
      </w:pPr>
    </w:p>
    <w:p>
      <w:pPr>
        <w:ind w:left="340" w:right="500" w:hanging="215"/>
        <w:spacing w:after="0" w:line="271"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 and political issues, including issues relating to compliance with domestic or international labor standards which may result in adverse publicity.</w:t>
      </w:r>
    </w:p>
    <w:p>
      <w:pPr>
        <w:spacing w:after="0" w:line="6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United States may impose new initiatives that adversely affect the trading status of countries where apparel is manufactured. These initiatives may include retaliatory duties or other trade sanctions that, if enacted, would increase the cost of products imported from countries where our vendors acquire merchandise. Any of these factors could have a material adverse effect on our sales, revenues and result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removal of import quotas on textiles and clothing may adversely affect our merchandise supply, impact our sales and reduce our cash flows.</w:t>
      </w:r>
    </w:p>
    <w:p>
      <w:pPr>
        <w:spacing w:after="0" w:line="11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January 1, 2005, in accordance with the World Trade Organization, or the WTO, Agreement on Textiles and Clothing, the import quotas on textiles and clothing manufactured by countries that are members of the WTO were eliminated. While the exact impact of this quota removal is uncertain, the increased access to foreign textile markets could result in a surge of imported goods from countries that benefit from the removal of the quotas which, in turn, could create logistical delays in our ability to maintain required inventory levels. In addition, the quota removal may alter the cost differential between vendors that source domestically and vendors that source more extensively from overseas. We believe this could lower the cost of apparel products and thereby reduce our average dollar amount of sales per customer in our stores.</w:t>
      </w:r>
    </w:p>
    <w:p>
      <w:pPr>
        <w:spacing w:after="0" w:line="8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Various actions have been taken or threatened by parties affected by the removal of the quotas, including the filing of a petition on behalf of the U.S. textile and apparel industry with the U.S. government at the end of 2004 based upon the “threat” then posed by the removal of the quotas in January 2005. The U.S. government did impose safeguard measures, but an injunction was imposed by the U.S. Court of International</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Trade because the actions had been based only on “threat” data. On April 4, 2005, the U.S. Department of Commerce initiated safeguard proceedings with respect to three products (cotton knit shirts and blouses, cotton trousers and cotton and man-made fiber underwear) to evaluate the effect of removal of the quotas and the necessity of any remedial action. On April 6, 2005, the U.S. textile and apparel industry again filed a petition with the U.S. government, but no action has yet been taken on this new petition. Although no remedial action has yet been taken, we cannot accurately assess ultimate outcome of these actions at this time. These actions may disrupt the supply chain of products from foreign markets or make it difficult to predict accurately the prices of merchandise to be imported from a particular country. The outcome of these actions or other trade disruptions may have an adverse effect on our merchandise supply, sales and cash flows.</w:t>
      </w:r>
    </w:p>
    <w:p>
      <w:pPr>
        <w:spacing w:after="0" w:line="170" w:lineRule="exact"/>
        <w:rPr>
          <w:sz w:val="20"/>
          <w:szCs w:val="20"/>
          <w:color w:val="auto"/>
        </w:rPr>
      </w:pPr>
    </w:p>
    <w:p>
      <w:pPr>
        <w:ind w:right="700"/>
        <w:spacing w:after="0" w:line="303" w:lineRule="auto"/>
        <w:rPr>
          <w:sz w:val="20"/>
          <w:szCs w:val="20"/>
          <w:color w:val="auto"/>
        </w:rPr>
      </w:pPr>
      <w:r>
        <w:rPr>
          <w:rFonts w:ascii="Times New Roman" w:cs="Times New Roman" w:eastAsia="Times New Roman" w:hAnsi="Times New Roman"/>
          <w:sz w:val="17"/>
          <w:szCs w:val="17"/>
          <w:b w:val="1"/>
          <w:bCs w:val="1"/>
          <w:color w:val="auto"/>
        </w:rPr>
        <w:t>We depend on the experience and expertise of our senior management team and key employees, and the loss of the services of Mr. Anderson or Mr. Bellino could have a material adverse effect on our business strategy, operating costs, financial condition and results of operations.</w:t>
      </w:r>
    </w:p>
    <w:p>
      <w:pPr>
        <w:spacing w:after="0" w:line="38"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The success of our business is dependent upon the close supervision of all aspects of our business by our senior management, particularly the operation of our stores, the selection of our merchandise and the site selection for new stores. If we lose the services of R. Edward Anderson, our Chief Executive Officer, or George A. Bellino, our President and Chief Merchandising Officer, it could have a material adverse effect on our business strategy, operating costs,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Failure to attract, train, assimilate and retain skilled personnel could have a material adverse effect on our growth strategy and our financial condition.</w:t>
      </w:r>
    </w:p>
    <w:p>
      <w:pPr>
        <w:spacing w:after="0" w:line="12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Like most retailers, we experience significant employee turnover rates, particularly among store sales associates and managers, and our continued growth will require us to hire and train even more new personnel. We therefore must continually attract, hire and train new personnel to meet our staffing needs. We constantly compete for qualified personnel with companies in our industry and in other industries. A significant increase in the turnover rate among our store sales associates and managers would increase our recruiting and training costs and could decrease our operating efficiency and productivity. If we are unable to retain our employees or attract, train, assimilate or retain other skilled personnel in the future, we may not be able to service our customers as effectively, thus reducing our ability to continue our growth and to operate our existing stores as profitably as we have in the past.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Increases in the minimum wage could have a material adverse effect on our business, financial condition and results of operations.</w:t>
      </w:r>
    </w:p>
    <w:p>
      <w:pPr>
        <w:spacing w:after="0" w:line="11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legislative proposals are made to increase the minimum wage in the United States, as well as certain individual states. Wage rates for many of our employees are at or slightly above the minimum wage. As federal and/or state minimum wage rates increase, we may need to increase not only the wage rates of our minimum wage employees but the wages paid to our other hourly employees as well. Any increase in the cost of our labor could have a material adverse effect on our operating costs, financial condition and results of operations.</w:t>
      </w:r>
    </w:p>
    <w:p>
      <w:pPr>
        <w:spacing w:after="0" w:line="18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b w:val="1"/>
          <w:bCs w:val="1"/>
          <w:color w:val="auto"/>
        </w:rPr>
        <w:t>We are subject to various legal proceedings, which could have a material adverse effect on our business, financial condition and results of operations, if the outcome of such proceedings are adverse to us.</w:t>
      </w:r>
    </w:p>
    <w:p>
      <w:pPr>
        <w:spacing w:after="0" w:line="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incidental to the conduct of our business. Such claims may be made by our customers, employees or former employees. We are currently the defendant in a putative collective action lawsuit commenced by a former employee under the Fair Labor Standards Act. The suit is pending in District Court of the United States for the Middle District of Alabama, Northern Division. The case is in its early stages, and we are in the process of evaluating the claims made. Our review of the allegations is preliminary, and we plan to defend this suit vigorously. If this legal proceeding is adversely decided, it could have a material adverse effect on our business, financial condition and results of operations.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440"/>
        <w:spacing w:after="0" w:line="273" w:lineRule="auto"/>
        <w:rPr>
          <w:sz w:val="20"/>
          <w:szCs w:val="20"/>
          <w:color w:val="auto"/>
        </w:rPr>
      </w:pPr>
      <w:r>
        <w:rPr>
          <w:rFonts w:ascii="Times New Roman" w:cs="Times New Roman" w:eastAsia="Times New Roman" w:hAnsi="Times New Roman"/>
          <w:sz w:val="18"/>
          <w:szCs w:val="18"/>
          <w:b w:val="1"/>
          <w:bCs w:val="1"/>
          <w:color w:val="auto"/>
        </w:rPr>
        <w:t>Any failure of our management information systems or the inability of third parties to continue to upgrade and maintain the systems could have a material adverse effect on our business, financial condition and results of operations.</w:t>
      </w:r>
    </w:p>
    <w:p>
      <w:pPr>
        <w:spacing w:after="0" w:line="6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We depend on the accuracy, reliability and proper functioning of our management information systems, including systems used to track our sales and facilitate inventory management. We also rely on our management information systems for merchandise planning, replenishment and markdowns, and other key business functions. These functions enhance our ability to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 effectively, which could have a material adverse effect on our business, financial condition and results of operations. To support our growth, we will need to expand our management information systems, and our failure to link and maintain these systems adequately could have a material adverse effect on our business, financial condition and results of operations.</w:t>
      </w:r>
    </w:p>
    <w:p>
      <w:pPr>
        <w:spacing w:after="0" w:line="81"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We depend on third-party suppliers to maintain and periodically upgrade our management information systems, including the software programs supporting our inventory management functions. This software is licensed to us by third-party suppliers. If any of these suppliers is unable to continue to maintain and upgrade these software programs and if we are unable to convert to alternate systems in an efficient and timely manner, it could result in a material adverse effect on our business, financial condition and results of operations.</w:t>
      </w:r>
    </w:p>
    <w:p>
      <w:pPr>
        <w:spacing w:after="0" w:line="184"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b w:val="1"/>
          <w:bCs w:val="1"/>
          <w:color w:val="auto"/>
        </w:rPr>
        <w:t>Our ability to attract consumers to our stores depends on the success of the strip shopping centers and downtown business districts where our stores are located.</w:t>
      </w:r>
    </w:p>
    <w:p>
      <w:pPr>
        <w:spacing w:after="0" w:line="6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We locate our stores in strip shopping centers, street front locations and downtown business districts where we believe our consumers and potential consumers shop. The success of an individual store can depend on favorable placement within a given strip shopping center or business district. We cannot control the development of alternative shopping destinations near our existing stores or the availability or cost of real estate within existing or new shopping destinations. If our store locations fail to attract sufficient consumer traffic or we are unable to locate replacement locations on terms acceptable to us, our business, results of operations, and financial condition could suffer. If one or more of the anchor tenants located in the strip shopping centers or business districts where our stores are located close or leave, or if there is significant deterioration of the surrounding areas in which our stores are located, our business, results of operations and financial condition may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 of Common Stock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 and you may lose all or a part of your investment.</w:t>
      </w:r>
    </w:p>
    <w:p>
      <w:pPr>
        <w:spacing w:after="0" w:line="11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common stock, and an active market for our shares may not develop or be sustained after this offering. The initial public offering price for our common stock will be determined by negotiations between us and the underwriters and may not be representative of the price that will prevail in the open market. The market price of our common stock may be subject to significant fluctuations after our initial public offering. It is possible that in some future periods, our results of operations may be below the expectations of investors and any securities analysts that choose to follow our common stock. If our results of operations fall below expectations of securities analysts or investors, the market price of our common stock could fluctuate or decline substantially. Factors that could affect our stock price include the following:</w:t>
      </w:r>
    </w:p>
    <w:p>
      <w:pPr>
        <w:spacing w:after="0" w:line="29" w:lineRule="exact"/>
        <w:rPr>
          <w:sz w:val="20"/>
          <w:szCs w:val="20"/>
          <w:color w:val="auto"/>
        </w:rPr>
      </w:pPr>
    </w:p>
    <w:p>
      <w:pPr>
        <w:ind w:left="340" w:hanging="215"/>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recommendations or estimates of our financial performance;</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analysts;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companies similar to ours;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40" w:hanging="215"/>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other retailers;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 in the public market;</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market conditions; and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some or all of the risks described in this section entitled “Risk Factors.”</w:t>
      </w:r>
    </w:p>
    <w:p>
      <w:pPr>
        <w:spacing w:after="0" w:line="111"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experienced significant price and trading volume fluctuations from time to time, and the market prices of the equity securities of retailers have been extremely volatile and have recently experienced sharp price and trading volume changes. These broad market fluctuations may adversely affect the market price of our 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new investor, you will incur substantial dilution as a result of this offering.</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initial public offering price will be substantially higher than the pro forma net tangible book value per share of our outstanding common stock. As a result, investors purchasing common stock in this offering will incur immediate dilution of $8.54 per share in pro forma net tangible book value, based upon an assumed initial public offering price of $13.00 per share. See the information in the section entitled “Dilution.” This dilution is due primarily to earlier investors in our company having paid substantially less than the initial public offering price when they purchased their shares and to the deduction of the $4.0 million in estimated underwriting discounts and commissions and estimated offering expenses payable by us, based upon an assumed initial public offering price of $13.00 per share.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There may be sales of substantial amounts of our common stock after this offering, which could cause our stock price to fall.</w:t>
      </w:r>
    </w:p>
    <w:p>
      <w:pPr>
        <w:spacing w:after="0" w:line="11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current stockholders hold a substantial number of shares that they will be able to sell in the public market in the near future. Upon the consummation of this offering, 11,995,000 shares of our common stock will be outstanding. As of April 28, 2005, 1,847,248 additional shares of our common stock were subject to outstanding stock options, of which 29,654 will be exercised by certain selling stockholders in connection with this offering. All of the shares sold in this offering will be freely tradeable, except for any shares acquired by holders who are subject to market stand-off provisions or lock-up agreements entered into in connection with this offering, or by any of our “affiliates,” as that term is defined in Rule 144 promulgated under the Securities Act of 1933, as amended, which generally includes officers, directors and 10% or greater stockholders. The remaining 8,145,000 shares of our common stock held by existing stockholders are restricted shares, which may be sold in the public market only if they are registered or if they qualify for an exemption from registration under Rules 144 or 701 promulgated under the Securities Act of 1933, as amended. Sales of a significant portion of the shares of our common stock outstanding after this offering will continue to be restricted as a result of securities laws or contractual arrangements, including lock-up agreements entered into between our directors and officers and the representatives of the underwriters in this offering. These lock-up agreements restrict holders’ ability to transfer their stock for 180 days after the date of this prospectus. These lock-up agreements cover 9,115,344 fully diluted shares of our common stock. The managing underwriter may, however, waive the lock-up period at any time for any stockholder who is party to a lockup agreement. In addition, following consummation of this offering, Hampshire Equity Partners will have certain registration rights related to shares of our common stock held by it. Sales of a substantial number of shares of our common stock after this offering, or after the expiration of applicable lock-up periods, could cause our stock price to fall and/or impair our ability to raise capital through the sale of additional stock.</w:t>
      </w:r>
    </w:p>
    <w:p>
      <w:pPr>
        <w:spacing w:after="0" w:line="189"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color w:val="auto"/>
        </w:rPr>
        <w:t>After this offering, a significant amount of our common stock will be concentrated in the hands of one of our existing stockholders whose interests may not coincide with yours.</w:t>
      </w:r>
    </w:p>
    <w:p>
      <w:pPr>
        <w:spacing w:after="0" w:line="60"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7"/>
          <w:szCs w:val="17"/>
          <w:color w:val="auto"/>
        </w:rPr>
        <w:t>Upon the completion of this offering, Hampshire Equity Partners will own, on a fully diluted basis, approximately 58% of our common stock, or approximately 55% if the over-allotment option is exercised in full. As a result, Hampshire Equity Partners will continue to have an ability to exercise control over matters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requiring stockholder approval. These matters include the election of directors and the approval of significant corporate transactions, including potential mergers, consolidations or sales of all or substantially all of our assets. Immediately following the consummation of this offering, Hampshire Equity Partners will have one representative, our current Chairman of the Board, on our five member board of directors. In connection with this offering, we will enter into a nominating agreement with Hampshire Equity Partners pursuant to which we, acting through our nominating and corporate governance committee, will agree, subject to the requirements of our directors’ fiduciary duties, that (i) Hampshire Equity Partners will be entitled to designate two directors to be nominated for election to our board of directors as long as Hampshire Equity Partners owns in the aggregate at least 40% of the shares of our common stock which it owned immediately prior to the consummation of this offering or (ii) Hampshire Equity Partners will be entitled to designate one director to be nominated for election to our board of directors as long as Hampshire Equity Partners owns in the aggregate less than 40% and at least 15% of the shares of our common stock which it owned immediately prior to the consummation of this offering. If at any time Hampshire Equity Partners owns less than 15% of the shares of our common stock which it owned immediately prior to the consummation of this offering, it will not have the right to nominate any directors for election to our board of directors. Your interests as a holder of the common stock may differ from the interests of Hampshire Equity Partners.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will have broad discretion in how we use the proceeds of this offering, and we may not use these proceeds effectively.</w:t>
      </w:r>
    </w:p>
    <w:p>
      <w:pPr>
        <w:spacing w:after="0" w:line="11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We will have considerable discretion in how we use the net proceeds from this offering. We currently intend to use the net proceeds to redeem all of our Series A Preferred Stock and to pay all accrued and unpaid dividends thereon, to repay all indebtedness under the mortgage on our Fahm Street facility and under our existing revolving lines of credit, for new store openings, for the acquisition, design and construction or lease of a new distribution center and for general corporate purposes. See the information in the section entitled “Use of Proceeds.” We have not yet finalized the amount of net proceeds that we will use specifically for each of these purposes, other than the redemption of our Series A Preferred Stock. While we intend to use the net proceeds of the offering as described in the “Use of Proceeds” section of this prospectus, we will have broad discretion to adjust the application and allocation of the net proceeds in order to address changed circumstances and opportunities. We may use the net proceeds for corporate purposes that do not improve our operating results or yield a significant return for our stockholders.</w:t>
      </w:r>
    </w:p>
    <w:p>
      <w:pPr>
        <w:spacing w:after="0" w:line="185"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b w:val="1"/>
          <w:bCs w:val="1"/>
          <w:color w:val="auto"/>
        </w:rPr>
        <w:t>Securities analysts may not initiate coverage of our common stock, or, if they do, they may issue negative reports that adversely affect the price of our common stock.</w:t>
      </w:r>
    </w:p>
    <w:p>
      <w:pPr>
        <w:spacing w:after="0" w:line="60"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industry or financial analysts publish about us or our industry. In the event that our common stock receives research coverage, public statements by these securities analysts may affect our stock price. If any of the analysts who cover our company downgrades the rating of our common stock, our common stock price would likely decline. If any of these analysts ceases coverage of our company, we could lose visibility in the market, which in turn could cause our common stock price to decline. Further, if no analysts choose to cover our company, the lack of research coverage may depress the market price of our common stock.</w:t>
      </w:r>
    </w:p>
    <w:p>
      <w:pPr>
        <w:spacing w:after="0" w:line="82"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In addition, recently-adopted rules mandated by the Sarbanes-Oxley Act of 2002 and a global settlement with the Commission have caused a number of fundamental changes in how securities analysts are reviewed and compensated. In particular, many investment banking firms are now required to contract with independent financial analysts for their stock research. In this environment, it may be difficult for companies with smaller market capitalizations, such as our company, to attract independent financial analysts to cover them, which could have a negative effect on the market price of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currently intend to pay dividends on our common stock.</w:t>
      </w:r>
    </w:p>
    <w:p>
      <w:pPr>
        <w:spacing w:after="0" w:line="113"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and do not currently intend to do so for the foreseeable future. We currently intend to invest our future earnings, if any, to fund our growth. Therefore, you are not likely to receive any dividends on your common stock for the foreseeable future.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in our certificate of incorporation and by-laws and Delaware law may delay or prevent our acquisition by a third party.</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amended and restated by-laws contain several provisions that may make it more difficult for a third party to acquire control of us without the approval of our board of directors. These provisions include, among other things, a classified board of directors,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w:t>
      </w:r>
    </w:p>
    <w:p>
      <w:pPr>
        <w:spacing w:after="0" w:line="8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 You should refer to the section entitled “Description of Capital Stock” for more information.</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Special Note Regarding Forward-Looking Statements</w:t>
      </w:r>
    </w:p>
    <w:p>
      <w:pPr>
        <w:spacing w:after="0" w:line="11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have made forward-looking statements in this prospectus, including in the sections entitled “Prospectus Summary,” “Risk Factors,” “Management’s Discussion and Analysis of Financial Condition and Results of Operation” and “Business.” All statements other than historical facts contained in this prospectus, including statements regarding our future financial position, business policy and plans and objectives of management for future operations, are forward-looking statements. The words “believe,” “may,” “could,” “estimate,” “continue,” “anticipate,” “intend,” “expect” and similar expressions, as they relate to us, are intended to identify forward-looking statements. For example, our statements to the effect that we intend to open a specified number of new stores and that we intend to increase comparable store sales constitute forward-looking statements. We have based these forward-looking statements largely on our current expectations and projections about future events, including, among other things:</w:t>
      </w:r>
    </w:p>
    <w:p>
      <w:pPr>
        <w:spacing w:after="0" w:line="31" w:lineRule="exact"/>
        <w:rPr>
          <w:sz w:val="20"/>
          <w:szCs w:val="20"/>
          <w:color w:val="auto"/>
        </w:rPr>
      </w:pPr>
    </w:p>
    <w:p>
      <w:pPr>
        <w:ind w:left="340" w:hanging="215"/>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our growth strategy;</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fashion trends;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markets;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spending patterns;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our competitors or anchor tenants in the strip shopping centers where our stores are located;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fluctuations in our operating results; and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general.</w:t>
      </w:r>
    </w:p>
    <w:p>
      <w:pPr>
        <w:spacing w:after="0" w:line="11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described in the section entitled “Risk Factors” and elsewhere in this prospectus.</w:t>
      </w:r>
    </w:p>
    <w:p>
      <w:pPr>
        <w:spacing w:after="0" w:line="6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Commission, we do not plan to publicly update or revise any forward-looking statements contained herein after we distribute this prospectus, whether as a result of any new information, future events or otherwise.</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Use of Proceeds</w:t>
      </w:r>
    </w:p>
    <w:p>
      <w:pPr>
        <w:spacing w:after="0" w:line="1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$31.1 million, at an assumed initial public offering price of $13.00 per share, after deducting estimated underwriting discounts and commissions and estimated offering expenses payable by us. If the underwriters exercise their over-allotment option in full, we estimate that we will receive additional net proceeds of approximately $7.0 million. We will not receive any of the proceeds from the sale of shares of common stock offered by the selling stockholders.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use the net proceeds from this offering as follows:</w:t>
      </w:r>
    </w:p>
    <w:p>
      <w:pPr>
        <w:spacing w:after="0" w:line="58" w:lineRule="exact"/>
        <w:rPr>
          <w:sz w:val="20"/>
          <w:szCs w:val="20"/>
          <w:color w:val="auto"/>
        </w:rPr>
      </w:pPr>
    </w:p>
    <w:p>
      <w:pPr>
        <w:ind w:left="340" w:hanging="215"/>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million to redeem all of our outstanding Series A Preferred Stock and to pay all accrued and unpaid dividends thereon;</w:t>
      </w:r>
    </w:p>
    <w:p>
      <w:pPr>
        <w:spacing w:after="0" w:line="70" w:lineRule="exact"/>
        <w:rPr>
          <w:rFonts w:ascii="Times New Roman" w:cs="Times New Roman" w:eastAsia="Times New Roman" w:hAnsi="Times New Roman"/>
          <w:sz w:val="18"/>
          <w:szCs w:val="18"/>
          <w:color w:val="auto"/>
        </w:rPr>
      </w:pPr>
    </w:p>
    <w:p>
      <w:pPr>
        <w:ind w:left="340" w:hanging="215"/>
        <w:spacing w:after="0" w:line="27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$1.5 million to repay all outstanding indebtedness under the loan from National Bank of Commerce to us, which is secured by our Savannah, Georgia headquarters, bears interest at a fixed rate of 6.80% and matures on July 12, 2007; and</w:t>
      </w:r>
    </w:p>
    <w:p>
      <w:pPr>
        <w:spacing w:after="0" w:line="22" w:lineRule="exact"/>
        <w:rPr>
          <w:rFonts w:ascii="Times New Roman" w:cs="Times New Roman" w:eastAsia="Times New Roman" w:hAnsi="Times New Roman"/>
          <w:sz w:val="18"/>
          <w:szCs w:val="18"/>
          <w:color w:val="auto"/>
        </w:rPr>
      </w:pPr>
    </w:p>
    <w:p>
      <w:pPr>
        <w:ind w:left="340" w:right="100" w:hanging="215"/>
        <w:spacing w:after="0" w:line="27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net proceeds for new store openings, the acquisition, design and construction or lease of a new distribution center in fiscal 2006 and general corporate purposes.</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Dividend Policy</w:t>
      </w:r>
    </w:p>
    <w:p>
      <w:pPr>
        <w:spacing w:after="0" w:line="11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intend to pay any cash dividends on our common stock in the foreseeable future. We currently intend to retain any future earnings to finance the expansion of our business and for general corporate purposes. Our board of directors has the authority to declare and pay dividends on our common stock, in its discretion, so long as there are funds legally available to do so.</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1"/>
          <w:szCs w:val="21"/>
          <w:b w:val="1"/>
          <w:bCs w:val="1"/>
          <w:color w:val="auto"/>
        </w:rPr>
        <w:t>Capitalization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following information as of January 29, 2005:</w:t>
      </w:r>
    </w:p>
    <w:p>
      <w:pPr>
        <w:spacing w:after="0" w:line="58" w:lineRule="exact"/>
        <w:rPr>
          <w:sz w:val="20"/>
          <w:szCs w:val="20"/>
          <w:color w:val="auto"/>
        </w:rPr>
      </w:pPr>
    </w:p>
    <w:p>
      <w:pPr>
        <w:ind w:left="340" w:hanging="215"/>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70" w:lineRule="exact"/>
        <w:rPr>
          <w:rFonts w:ascii="Times New Roman" w:cs="Times New Roman" w:eastAsia="Times New Roman" w:hAnsi="Times New Roman"/>
          <w:sz w:val="18"/>
          <w:szCs w:val="18"/>
          <w:color w:val="auto"/>
        </w:rPr>
      </w:pPr>
    </w:p>
    <w:p>
      <w:pPr>
        <w:ind w:left="340" w:right="120" w:hanging="215"/>
        <w:spacing w:after="0" w:line="25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adjusted to give effect to (a) the sale by us of shares of common stock in this offering, (b) the receipt of net proceeds of $31.1 million, after deducting estimated underwriting discounts and commissions and estimated offering expenses payable by us and assuming an initial public offering price of $13.00 per share, (c) the receipt of proceeds from the exercise of options by certain selling stockholders in connection with this offering, (d) the application of the net proceeds as described under the section entitled “Use of Proceeds” and (e) the filing of our second amended and restated certificate of incorporation upon consummation of this offering.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As of January 29, 2005</w:t>
            </w: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169"/>
              <w:spacing w:after="0" w:line="152" w:lineRule="exact"/>
              <w:rPr>
                <w:sz w:val="20"/>
                <w:szCs w:val="20"/>
                <w:color w:val="auto"/>
              </w:rPr>
            </w:pPr>
            <w:r>
              <w:rPr>
                <w:rFonts w:ascii="Times New Roman" w:cs="Times New Roman" w:eastAsia="Times New Roman" w:hAnsi="Times New Roman"/>
                <w:sz w:val="14"/>
                <w:szCs w:val="14"/>
                <w:b w:val="1"/>
                <w:bCs w:val="1"/>
                <w:color w:val="auto"/>
              </w:rPr>
              <w:t>Actual</w:t>
            </w:r>
          </w:p>
        </w:tc>
        <w:tc>
          <w:tcPr>
            <w:tcW w:w="6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40" w:type="dxa"/>
            <w:vAlign w:val="bottom"/>
            <w:tcBorders>
              <w:bottom w:val="single" w:sz="8" w:color="auto"/>
            </w:tcBorders>
            <w:gridSpan w:val="3"/>
          </w:tcPr>
          <w:p>
            <w:pPr>
              <w:jc w:val="right"/>
              <w:ind w:right="740"/>
              <w:spacing w:after="0" w:line="152" w:lineRule="exact"/>
              <w:rPr>
                <w:sz w:val="20"/>
                <w:szCs w:val="20"/>
                <w:color w:val="auto"/>
              </w:rPr>
            </w:pPr>
            <w:r>
              <w:rPr>
                <w:rFonts w:ascii="Times New Roman" w:cs="Times New Roman" w:eastAsia="Times New Roman" w:hAnsi="Times New Roman"/>
                <w:sz w:val="14"/>
                <w:szCs w:val="14"/>
                <w:b w:val="1"/>
                <w:bCs w:val="1"/>
                <w:color w:val="auto"/>
              </w:rPr>
              <w:t>As Adjusted</w:t>
            </w:r>
          </w:p>
        </w:tc>
      </w:tr>
      <w:tr>
        <w:trPr>
          <w:trHeight w:val="129"/>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color w:val="auto"/>
                <w:w w:val="87"/>
              </w:rPr>
              <w:t>except</w:t>
            </w: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share and per</w:t>
            </w:r>
          </w:p>
        </w:tc>
        <w:tc>
          <w:tcPr>
            <w:tcW w:w="4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3"/>
          </w:tcPr>
          <w:p>
            <w:pPr>
              <w:jc w:val="center"/>
              <w:ind w:right="129"/>
              <w:spacing w:after="0"/>
              <w:rPr>
                <w:sz w:val="20"/>
                <w:szCs w:val="20"/>
                <w:color w:val="auto"/>
              </w:rPr>
            </w:pPr>
            <w:r>
              <w:rPr>
                <w:rFonts w:ascii="Times New Roman" w:cs="Times New Roman" w:eastAsia="Times New Roman" w:hAnsi="Times New Roman"/>
                <w:sz w:val="14"/>
                <w:szCs w:val="14"/>
                <w:color w:val="auto"/>
              </w:rPr>
              <w:t>share amounts)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11,801</w:t>
            </w:r>
          </w:p>
        </w:tc>
        <w:tc>
          <w:tcPr>
            <w:tcW w:w="2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92"/>
              </w:rPr>
              <w:t>37,429</w:t>
            </w:r>
          </w:p>
        </w:tc>
      </w:tr>
      <w:tr>
        <w:trPr>
          <w:trHeight w:val="20"/>
        </w:trPr>
        <w:tc>
          <w:tcPr>
            <w:tcW w:w="378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24"/>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20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8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(including current portion)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1,407</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1,407</w:t>
            </w:r>
          </w:p>
        </w:tc>
      </w:tr>
      <w:tr>
        <w:trPr>
          <w:trHeight w:val="218"/>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shares subject to mandatory redemption:</w:t>
            </w:r>
          </w:p>
        </w:tc>
        <w:tc>
          <w:tcPr>
            <w:tcW w:w="8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6620" w:type="dxa"/>
            <w:vAlign w:val="bottom"/>
            <w:gridSpan w:val="2"/>
            <w:shd w:val="clear" w:color="auto" w:fill="CCEEFF"/>
          </w:tcPr>
          <w:p>
            <w:pPr>
              <w:ind w:left="280"/>
              <w:spacing w:after="0" w:line="194" w:lineRule="exact"/>
              <w:rPr>
                <w:sz w:val="20"/>
                <w:szCs w:val="20"/>
                <w:color w:val="auto"/>
              </w:rPr>
            </w:pPr>
            <w:r>
              <w:rPr>
                <w:rFonts w:ascii="Times New Roman" w:cs="Times New Roman" w:eastAsia="Times New Roman" w:hAnsi="Times New Roman"/>
                <w:sz w:val="18"/>
                <w:szCs w:val="18"/>
                <w:color w:val="auto"/>
              </w:rPr>
              <w:t>Series A preferred stock, $.01 par value per share, 5,000 shares authorized,</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3,605 shares issued and outstanding, actual; 5,000 authorized, none issued or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outstanding, as adjusted</w:t>
            </w:r>
            <w:r>
              <w:rPr>
                <w:rFonts w:ascii="Times New Roman" w:cs="Times New Roman" w:eastAsia="Times New Roman" w:hAnsi="Times New Roman"/>
                <w:sz w:val="14"/>
                <w:szCs w:val="14"/>
                <w:color w:val="auto"/>
              </w:rPr>
              <w:t>(1)</w:t>
            </w:r>
          </w:p>
        </w:tc>
        <w:tc>
          <w:tcPr>
            <w:tcW w:w="8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3,985</w:t>
            </w: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6620" w:type="dxa"/>
            <w:vAlign w:val="bottom"/>
            <w:gridSpan w:val="2"/>
            <w:shd w:val="clear" w:color="auto" w:fill="CCEEFF"/>
          </w:tcPr>
          <w:p>
            <w:pPr>
              <w:ind w:left="280"/>
              <w:spacing w:after="0" w:line="194" w:lineRule="exact"/>
              <w:rPr>
                <w:sz w:val="20"/>
                <w:szCs w:val="20"/>
                <w:color w:val="auto"/>
              </w:rPr>
            </w:pPr>
            <w:r>
              <w:rPr>
                <w:rFonts w:ascii="Times New Roman" w:cs="Times New Roman" w:eastAsia="Times New Roman" w:hAnsi="Times New Roman"/>
                <w:sz w:val="18"/>
                <w:szCs w:val="18"/>
                <w:color w:val="auto"/>
              </w:rPr>
              <w:t>Common stock, $.01 par value per share, 20,000,000 shares authorized, 9,460,750</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issued and 9,295,000 outstanding, actual; 11,995,000 issued or outstanding, as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adjusted</w:t>
            </w:r>
          </w:p>
        </w:tc>
        <w:tc>
          <w:tcPr>
            <w:tcW w:w="8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80" w:type="dxa"/>
            <w:vAlign w:val="bottom"/>
            <w:shd w:val="clear" w:color="auto" w:fill="CCEEFF"/>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tcPr>
          <w:p>
            <w:pPr>
              <w:spacing w:after="0"/>
              <w:rPr>
                <w:sz w:val="18"/>
                <w:szCs w:val="18"/>
                <w:color w:val="auto"/>
              </w:rPr>
            </w:pPr>
          </w:p>
        </w:tc>
        <w:tc>
          <w:tcPr>
            <w:tcW w:w="7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rPr>
              <w:t>4,121</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w w:val="92"/>
              </w:rPr>
              <w:t>35,204</w:t>
            </w: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Subscription receivable</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(24)</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(24)</w:t>
            </w:r>
          </w:p>
        </w:tc>
      </w:tr>
      <w:tr>
        <w:trPr>
          <w:trHeight w:val="212"/>
        </w:trPr>
        <w:tc>
          <w:tcPr>
            <w:tcW w:w="20" w:type="dxa"/>
            <w:vAlign w:val="bottom"/>
          </w:tcPr>
          <w:p>
            <w:pPr>
              <w:spacing w:after="0"/>
              <w:rPr>
                <w:sz w:val="18"/>
                <w:szCs w:val="18"/>
                <w:color w:val="auto"/>
              </w:rPr>
            </w:pPr>
          </w:p>
        </w:tc>
        <w:tc>
          <w:tcPr>
            <w:tcW w:w="6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860" w:type="dxa"/>
            <w:vAlign w:val="bottom"/>
          </w:tcPr>
          <w:p>
            <w:pPr>
              <w:spacing w:after="0"/>
              <w:rPr>
                <w:sz w:val="18"/>
                <w:szCs w:val="18"/>
                <w:color w:val="auto"/>
              </w:rPr>
            </w:pPr>
          </w:p>
        </w:tc>
        <w:tc>
          <w:tcPr>
            <w:tcW w:w="700" w:type="dxa"/>
            <w:vAlign w:val="bottom"/>
            <w:gridSpan w:val="2"/>
          </w:tcPr>
          <w:p>
            <w:pPr>
              <w:jc w:val="right"/>
              <w:ind w:right="129"/>
              <w:spacing w:after="0"/>
              <w:rPr>
                <w:sz w:val="20"/>
                <w:szCs w:val="20"/>
                <w:color w:val="auto"/>
              </w:rPr>
            </w:pPr>
            <w:r>
              <w:rPr>
                <w:rFonts w:ascii="Times New Roman" w:cs="Times New Roman" w:eastAsia="Times New Roman" w:hAnsi="Times New Roman"/>
                <w:sz w:val="18"/>
                <w:szCs w:val="18"/>
                <w:color w:val="auto"/>
                <w:w w:val="96"/>
              </w:rPr>
              <w:t>19,829</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w w:val="92"/>
              </w:rPr>
              <w:t>19,829</w:t>
            </w: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(165)</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(165)</w:t>
            </w:r>
          </w:p>
        </w:tc>
      </w:tr>
      <w:tr>
        <w:trPr>
          <w:trHeight w:val="225"/>
        </w:trPr>
        <w:tc>
          <w:tcPr>
            <w:tcW w:w="20" w:type="dxa"/>
            <w:vAlign w:val="bottom"/>
          </w:tcPr>
          <w:p>
            <w:pPr>
              <w:spacing w:after="0"/>
              <w:rPr>
                <w:sz w:val="19"/>
                <w:szCs w:val="19"/>
                <w:color w:val="auto"/>
              </w:rPr>
            </w:pPr>
          </w:p>
        </w:tc>
        <w:tc>
          <w:tcPr>
            <w:tcW w:w="66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23,765</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54,875</w:t>
            </w:r>
          </w:p>
        </w:tc>
        <w:tc>
          <w:tcPr>
            <w:tcW w:w="88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66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capitalization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8"/>
                <w:szCs w:val="18"/>
                <w:color w:val="auto"/>
                <w:w w:val="96"/>
              </w:rPr>
              <w:t>30,762</w:t>
            </w:r>
          </w:p>
        </w:tc>
        <w:tc>
          <w:tcPr>
            <w:tcW w:w="1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92"/>
              </w:rPr>
              <w:t>56,390</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57" w:lineRule="exact"/>
        <w:rPr>
          <w:sz w:val="20"/>
          <w:szCs w:val="20"/>
          <w:color w:val="auto"/>
        </w:rPr>
      </w:pPr>
    </w:p>
    <w:p>
      <w:pPr>
        <w:ind w:left="340" w:right="260" w:hanging="334"/>
        <w:spacing w:after="0" w:line="250" w:lineRule="auto"/>
        <w:tabs>
          <w:tab w:leader="none" w:pos="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Series A Preferred Stock, which will be redeemed using a portion of the net proceeds from this offering, was reclassified as debt as of the second quarter of fiscal 2003, in accordance with SFAS No. 150. Subsequent to January 29, 2005, we have made a dividend and principal payment of $500,000 with respect to the Series A Preferred Stock.</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Dilution</w:t>
      </w:r>
    </w:p>
    <w:p>
      <w:pPr>
        <w:spacing w:after="0" w:line="115"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Our net tangible book value as of January 29, 2005 was $22.4 million, or $2.41 per share of common stock. “Net tangible book value” is our total assets minus the sum of our liabilities and intangible assets. “Net tangible book value per share of common stock” is our net tangible book value divided by the total number of our shares of common stock outstanding.</w:t>
      </w:r>
    </w:p>
    <w:p>
      <w:pPr>
        <w:spacing w:after="0" w:line="7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After giving effect to adjustments related to this offering, our pro forma net tangible book value on January 29, 2005 would have been $53.5 million, or $4.46 per share of common stock. Adjustments to net tangible book value to arrive at pro forma net tangible book value per share include:</w:t>
      </w:r>
    </w:p>
    <w:p>
      <w:pPr>
        <w:spacing w:after="0" w:line="9" w:lineRule="exact"/>
        <w:rPr>
          <w:sz w:val="20"/>
          <w:szCs w:val="20"/>
          <w:color w:val="auto"/>
        </w:rPr>
      </w:pPr>
    </w:p>
    <w:p>
      <w:pPr>
        <w:ind w:left="340" w:hanging="215"/>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total assets to reflect the net proceeds from this offering (assuming an initial public offering price of $13.00 per share); and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 additional 2,700,000 shares of common stock in this offering.</w:t>
      </w:r>
    </w:p>
    <w:p>
      <w:pPr>
        <w:spacing w:after="0" w:line="11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following table illustrates the pro forma increase in our net tangible book value of $2.05 per share of common stock and the dilution of $8.54 per share of common stock (the difference between the assumed initial offering price per share and the pro forma net tangible book value per share after giving effect to adjustments related to this offering) to new investors: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 of common stock</w:t>
            </w:r>
          </w:p>
        </w:tc>
        <w:tc>
          <w:tcPr>
            <w:tcW w:w="1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13.00</w:t>
            </w:r>
          </w:p>
        </w:tc>
      </w:tr>
      <w:tr>
        <w:trPr>
          <w:trHeight w:val="212"/>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book value per share of common stock as of January 29, 2005</w:t>
            </w:r>
          </w:p>
        </w:tc>
        <w:tc>
          <w:tcPr>
            <w:tcW w:w="192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of common stock attributable to this offering</w:t>
            </w:r>
          </w:p>
        </w:tc>
        <w:tc>
          <w:tcPr>
            <w:tcW w:w="192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05</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00"/>
        </w:trPr>
        <w:tc>
          <w:tcPr>
            <w:tcW w:w="8780" w:type="dxa"/>
            <w:vAlign w:val="bottom"/>
            <w:gridSpan w:val="3"/>
          </w:tcPr>
          <w:p>
            <w:pPr>
              <w:spacing w:after="0" w:line="200" w:lineRule="exact"/>
              <w:rPr>
                <w:sz w:val="20"/>
                <w:szCs w:val="20"/>
                <w:color w:val="auto"/>
              </w:rPr>
            </w:pPr>
            <w:r>
              <w:rPr>
                <w:rFonts w:ascii="Times New Roman" w:cs="Times New Roman" w:eastAsia="Times New Roman" w:hAnsi="Times New Roman"/>
                <w:sz w:val="18"/>
                <w:szCs w:val="18"/>
                <w:color w:val="auto"/>
              </w:rPr>
              <w:t>Pro forma net tangible book value per share of common stock as of January 29, 2005 after giving effect to adjustments</w:t>
            </w:r>
          </w:p>
        </w:tc>
        <w:tc>
          <w:tcPr>
            <w:tcW w:w="5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8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related to this offering</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20" w:type="dxa"/>
            <w:vAlign w:val="bottom"/>
          </w:tcPr>
          <w:p>
            <w:pPr>
              <w:spacing w:after="0"/>
              <w:rPr>
                <w:sz w:val="20"/>
                <w:szCs w:val="20"/>
                <w:color w:val="auto"/>
              </w:rPr>
            </w:pPr>
          </w:p>
        </w:tc>
      </w:tr>
      <w:tr>
        <w:trPr>
          <w:trHeight w:val="212"/>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of common stock to new investors in this offering</w:t>
            </w:r>
          </w:p>
        </w:tc>
        <w:tc>
          <w:tcPr>
            <w:tcW w:w="1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8.54</w:t>
            </w:r>
            <w:r>
              <w:rPr>
                <w:rFonts w:ascii="Times New Roman" w:cs="Times New Roman" w:eastAsia="Times New Roman" w:hAnsi="Times New Roman"/>
                <w:sz w:val="14"/>
                <w:szCs w:val="14"/>
                <w:color w:val="auto"/>
              </w:rPr>
              <w:t>(1)</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4" w:lineRule="exact"/>
        <w:rPr>
          <w:sz w:val="20"/>
          <w:szCs w:val="20"/>
          <w:color w:val="auto"/>
        </w:rPr>
      </w:pPr>
    </w:p>
    <w:p>
      <w:pPr>
        <w:ind w:left="240" w:hanging="234"/>
        <w:spacing w:after="0"/>
        <w:tabs>
          <w:tab w:leader="none" w:pos="2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Assuming exercise of all exercisable options to purchase common stock outstanding as of January 29, 2005, the dilution per share of common stock to new investors in this offering would be $8.99.</w:t>
      </w:r>
    </w:p>
    <w:p>
      <w:pPr>
        <w:spacing w:after="0" w:line="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basis as of January 29, 2005, the differences between the existing stockholders and new investors with respect to the number of shares of common stock sold by us, the total consideration paid to us and the average price paid per share. The table assumes an initial public offering price of $13.00 per share of common stock.</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Share Purchased</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2"/>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r>
              <w:rPr>
                <w:rFonts w:ascii="Times New Roman" w:cs="Times New Roman" w:eastAsia="Times New Roman" w:hAnsi="Times New Roman"/>
                <w:sz w:val="14"/>
                <w:szCs w:val="14"/>
                <w:color w:val="auto"/>
              </w:rPr>
              <w:t>(1)</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4,124,533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4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35,100,000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3"/>
              </w:rPr>
              <w:t>13.00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Totals</w:t>
            </w:r>
          </w:p>
        </w:tc>
        <w:tc>
          <w:tcPr>
            <w:tcW w:w="46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3"/>
              </w:rPr>
              <w:t>11,995,000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39,224,533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hanging="334"/>
        <w:spacing w:after="0"/>
        <w:tabs>
          <w:tab w:leader="none" w:pos="3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Does not give effect to sales of shares by the selling stockholders in this offering.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Selected Financial and Operating Data</w:t>
      </w:r>
    </w:p>
    <w:p>
      <w:pPr>
        <w:spacing w:after="0" w:line="6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The following table provides selected financial and operating data for each of the fiscal years in the five-year period ended January 29, 2005, including: (a) our statement of income data for each such period, (b) additional operating data for each such period and (c) our balance sheet data as of the end of each such period. The statement of income data for fiscal 2002, fiscal 2003 and fiscal 2004, and the balance sheet data as of January 31, 2004 and January 29, 2005 are derived from financial statements included elsewhere in this prospectus that have been audited by KPMG LLP, independent registered public accountants. The statement of income data for fiscal 2000 and fiscal 2001 and the balance sheet data as of January 29, 2000, February 3, 2001, February 2, 2002 and February 1, 2003 are derived from our audited financial statements that are not included in this prospectus. The selected financial and operating data set forth below should be read in conjunction with, and are qualified in their entirety by reference to, the section of this prospectus entitled “Management’s Discussion and Analysis of Financial Condition and Results of Operations” and our financial statements and related notes included elsewhere in this prospectus. Historical results are not necessarily indicative of results to be expected for any future period.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Fiscal Year Ended</w:t>
            </w:r>
            <w:r>
              <w:rPr>
                <w:rFonts w:ascii="Times New Roman" w:cs="Times New Roman" w:eastAsia="Times New Roman" w:hAnsi="Times New Roman"/>
                <w:sz w:val="11"/>
                <w:szCs w:val="11"/>
                <w:b w:val="1"/>
                <w:bCs w:val="1"/>
                <w:color w:val="auto"/>
              </w:rPr>
              <w:t>(1)</w:t>
            </w: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r>
      <w:tr>
        <w:trPr>
          <w:trHeight w:val="127"/>
        </w:trPr>
        <w:tc>
          <w:tcPr>
            <w:tcW w:w="3140" w:type="dxa"/>
            <w:vAlign w:val="bottom"/>
          </w:tcPr>
          <w:p>
            <w:pPr>
              <w:spacing w:after="0"/>
              <w:rPr>
                <w:sz w:val="11"/>
                <w:szCs w:val="11"/>
                <w:color w:val="auto"/>
              </w:rPr>
            </w:pPr>
          </w:p>
        </w:tc>
        <w:tc>
          <w:tcPr>
            <w:tcW w:w="1420" w:type="dxa"/>
            <w:vAlign w:val="bottom"/>
            <w:gridSpan w:val="4"/>
          </w:tcPr>
          <w:p>
            <w:pPr>
              <w:ind w:left="360"/>
              <w:spacing w:after="0" w:line="127"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240" w:type="dxa"/>
            <w:vAlign w:val="bottom"/>
          </w:tcPr>
          <w:p>
            <w:pPr>
              <w:spacing w:after="0"/>
              <w:rPr>
                <w:sz w:val="11"/>
                <w:szCs w:val="11"/>
                <w:color w:val="auto"/>
              </w:rPr>
            </w:pPr>
          </w:p>
        </w:tc>
        <w:tc>
          <w:tcPr>
            <w:tcW w:w="1120" w:type="dxa"/>
            <w:vAlign w:val="bottom"/>
            <w:gridSpan w:val="3"/>
          </w:tcPr>
          <w:p>
            <w:pPr>
              <w:jc w:val="right"/>
              <w:ind w:right="60"/>
              <w:spacing w:after="0" w:line="127" w:lineRule="exact"/>
              <w:rPr>
                <w:sz w:val="20"/>
                <w:szCs w:val="20"/>
                <w:color w:val="auto"/>
              </w:rPr>
            </w:pPr>
            <w:r>
              <w:rPr>
                <w:rFonts w:ascii="Times New Roman" w:cs="Times New Roman" w:eastAsia="Times New Roman" w:hAnsi="Times New Roman"/>
                <w:sz w:val="14"/>
                <w:szCs w:val="14"/>
                <w:b w:val="1"/>
                <w:bCs w:val="1"/>
                <w:color w:val="auto"/>
              </w:rPr>
              <w:t>February 2,</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ind w:left="400"/>
              <w:spacing w:after="0" w:line="127" w:lineRule="exact"/>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1"/>
                <w:szCs w:val="11"/>
                <w:color w:val="auto"/>
              </w:rPr>
            </w:pPr>
          </w:p>
        </w:tc>
        <w:tc>
          <w:tcPr>
            <w:tcW w:w="1500" w:type="dxa"/>
            <w:vAlign w:val="bottom"/>
            <w:gridSpan w:val="3"/>
          </w:tcPr>
          <w:p>
            <w:pPr>
              <w:ind w:left="400"/>
              <w:spacing w:after="0" w:line="127"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400"/>
              <w:spacing w:after="0" w:line="127" w:lineRule="exact"/>
              <w:rPr>
                <w:sz w:val="20"/>
                <w:szCs w:val="20"/>
                <w:color w:val="auto"/>
              </w:rPr>
            </w:pPr>
            <w:r>
              <w:rPr>
                <w:rFonts w:ascii="Times New Roman" w:cs="Times New Roman" w:eastAsia="Times New Roman" w:hAnsi="Times New Roman"/>
                <w:sz w:val="14"/>
                <w:szCs w:val="14"/>
                <w:b w:val="1"/>
                <w:bCs w:val="1"/>
                <w:color w:val="auto"/>
                <w:w w:val="95"/>
              </w:rPr>
              <w:t>January 29,</w:t>
            </w:r>
          </w:p>
        </w:tc>
      </w:tr>
      <w:tr>
        <w:trPr>
          <w:trHeight w:val="170"/>
        </w:trPr>
        <w:tc>
          <w:tcPr>
            <w:tcW w:w="3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2001</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Borders>
              <w:bottom w:val="single" w:sz="8" w:color="auto"/>
            </w:tcBorders>
          </w:tcPr>
          <w:p>
            <w:pPr>
              <w:spacing w:after="0"/>
              <w:rPr>
                <w:sz w:val="14"/>
                <w:szCs w:val="14"/>
                <w:color w:val="auto"/>
              </w:rPr>
            </w:pPr>
          </w:p>
        </w:tc>
      </w:tr>
      <w:tr>
        <w:trPr>
          <w:trHeight w:val="152"/>
        </w:trPr>
        <w:tc>
          <w:tcPr>
            <w:tcW w:w="3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gridSpan w:val="9"/>
          </w:tcPr>
          <w:p>
            <w:pPr>
              <w:jc w:val="center"/>
              <w:ind w:right="1040"/>
              <w:spacing w:after="0" w:line="152" w:lineRule="exact"/>
              <w:rPr>
                <w:sz w:val="20"/>
                <w:szCs w:val="20"/>
                <w:color w:val="auto"/>
              </w:rPr>
            </w:pPr>
            <w:r>
              <w:rPr>
                <w:rFonts w:ascii="Times New Roman" w:cs="Times New Roman" w:eastAsia="Times New Roman" w:hAnsi="Times New Roman"/>
                <w:sz w:val="14"/>
                <w:szCs w:val="14"/>
                <w:color w:val="auto"/>
              </w:rPr>
              <w:t>(dollars in thousands, except per share amounts)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1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Income Data:</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2"/>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80,939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97,933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124,951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157,198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203,442</w:t>
            </w:r>
          </w:p>
        </w:tc>
      </w:tr>
      <w:tr>
        <w:trPr>
          <w:trHeight w:val="212"/>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51,762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62,050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77,807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98,145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127,308</w:t>
            </w:r>
          </w:p>
        </w:tc>
      </w:tr>
      <w:tr>
        <w:trPr>
          <w:trHeight w:val="218"/>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29,177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76,134</w:t>
            </w:r>
          </w:p>
        </w:tc>
        <w:tc>
          <w:tcPr>
            <w:tcW w:w="320" w:type="dxa"/>
            <w:vAlign w:val="bottom"/>
          </w:tcPr>
          <w:p>
            <w:pPr>
              <w:spacing w:after="0"/>
              <w:rPr>
                <w:sz w:val="18"/>
                <w:szCs w:val="18"/>
                <w:color w:val="auto"/>
              </w:rPr>
            </w:pPr>
          </w:p>
        </w:tc>
      </w:tr>
      <w:tr>
        <w:trPr>
          <w:trHeight w:val="193"/>
        </w:trPr>
        <w:tc>
          <w:tcPr>
            <w:tcW w:w="3140" w:type="dxa"/>
            <w:vAlign w:val="bottom"/>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230"/>
        </w:trPr>
        <w:tc>
          <w:tcPr>
            <w:tcW w:w="3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4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26,834</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31,405</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38,760</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48,845</w:t>
            </w: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63,594</w:t>
            </w:r>
          </w:p>
        </w:tc>
      </w:tr>
      <w:tr>
        <w:trPr>
          <w:trHeight w:val="218"/>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320" w:type="dxa"/>
            <w:vAlign w:val="bottom"/>
          </w:tcPr>
          <w:p>
            <w:pPr>
              <w:spacing w:after="0"/>
              <w:rPr>
                <w:sz w:val="18"/>
                <w:szCs w:val="18"/>
                <w:color w:val="auto"/>
              </w:rPr>
            </w:pPr>
          </w:p>
        </w:tc>
      </w:tr>
      <w:tr>
        <w:trPr>
          <w:trHeight w:val="212"/>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r>
              <w:rPr>
                <w:rFonts w:ascii="Times New Roman" w:cs="Times New Roman" w:eastAsia="Times New Roman" w:hAnsi="Times New Roman"/>
                <w:sz w:val="14"/>
                <w:szCs w:val="14"/>
                <w:color w:val="auto"/>
              </w:rPr>
              <w:t>(2)</w:t>
            </w: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787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732</w:t>
            </w:r>
          </w:p>
        </w:tc>
      </w:tr>
      <w:tr>
        <w:trPr>
          <w:trHeight w:val="218"/>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0" w:type="dxa"/>
            <w:vAlign w:val="bottom"/>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320" w:type="dxa"/>
            <w:vAlign w:val="bottom"/>
          </w:tcPr>
          <w:p>
            <w:pPr>
              <w:spacing w:after="0"/>
              <w:rPr>
                <w:sz w:val="18"/>
                <w:szCs w:val="18"/>
                <w:color w:val="auto"/>
              </w:rPr>
            </w:pPr>
          </w:p>
        </w:tc>
      </w:tr>
      <w:tr>
        <w:trPr>
          <w:trHeight w:val="212"/>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3,101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4,551</w:t>
            </w:r>
          </w:p>
        </w:tc>
      </w:tr>
      <w:tr>
        <w:trPr>
          <w:trHeight w:val="218"/>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320" w:type="dxa"/>
            <w:vAlign w:val="bottom"/>
          </w:tcPr>
          <w:p>
            <w:pPr>
              <w:spacing w:after="0"/>
              <w:rPr>
                <w:sz w:val="18"/>
                <w:szCs w:val="18"/>
                <w:color w:val="auto"/>
              </w:rPr>
            </w:pPr>
          </w:p>
        </w:tc>
      </w:tr>
      <w:tr>
        <w:trPr>
          <w:trHeight w:val="26"/>
        </w:trPr>
        <w:tc>
          <w:tcPr>
            <w:tcW w:w="3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12"/>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2"/>
        </w:trPr>
        <w:tc>
          <w:tcPr>
            <w:tcW w:w="3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0.51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0.62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0.78</w:t>
            </w:r>
          </w:p>
        </w:tc>
      </w:tr>
      <w:tr>
        <w:trPr>
          <w:trHeight w:val="212"/>
        </w:trPr>
        <w:tc>
          <w:tcPr>
            <w:tcW w:w="3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0.22</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0.67</w:t>
            </w:r>
          </w:p>
        </w:tc>
      </w:tr>
      <w:tr>
        <w:trPr>
          <w:trHeight w:val="193"/>
        </w:trPr>
        <w:tc>
          <w:tcPr>
            <w:tcW w:w="314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Weighted average shares used to</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0"/>
        </w:trPr>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compute net income per share:</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12"/>
        </w:trPr>
        <w:tc>
          <w:tcPr>
            <w:tcW w:w="3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9,269,000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9,219,167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9,295,000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9,295,000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9,302,800</w:t>
            </w:r>
          </w:p>
        </w:tc>
        <w:tc>
          <w:tcPr>
            <w:tcW w:w="320" w:type="dxa"/>
            <w:vAlign w:val="bottom"/>
            <w:shd w:val="clear" w:color="auto" w:fill="CCEEFF"/>
          </w:tcPr>
          <w:p>
            <w:pPr>
              <w:spacing w:after="0"/>
              <w:rPr>
                <w:sz w:val="18"/>
                <w:szCs w:val="18"/>
                <w:color w:val="auto"/>
              </w:rPr>
            </w:pPr>
          </w:p>
        </w:tc>
      </w:tr>
      <w:tr>
        <w:trPr>
          <w:trHeight w:val="212"/>
        </w:trPr>
        <w:tc>
          <w:tcPr>
            <w:tcW w:w="3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9,269,000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9,791,999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10,757,110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10,771,410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3"/>
              </w:rPr>
              <w:t>10,879,388</w:t>
            </w:r>
          </w:p>
        </w:tc>
      </w:tr>
      <w:tr>
        <w:trPr>
          <w:trHeight w:val="21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Operating Data:</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2"/>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Number of stores: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2"/>
        </w:trPr>
        <w:tc>
          <w:tcPr>
            <w:tcW w:w="3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Opened during period</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r>
      <w:tr>
        <w:trPr>
          <w:trHeight w:val="212"/>
        </w:trPr>
        <w:tc>
          <w:tcPr>
            <w:tcW w:w="3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Closed during period</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r>
      <w:tr>
        <w:trPr>
          <w:trHeight w:val="212"/>
        </w:trPr>
        <w:tc>
          <w:tcPr>
            <w:tcW w:w="3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Open at end of period</w:t>
            </w: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r>
      <w:tr>
        <w:trPr>
          <w:trHeight w:val="193"/>
        </w:trPr>
        <w:tc>
          <w:tcPr>
            <w:tcW w:w="314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color w:val="auto"/>
              </w:rPr>
              <w:t>Selling square footage at end of</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0"/>
        </w:trPr>
        <w:tc>
          <w:tcPr>
            <w:tcW w:w="3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period</w:t>
            </w:r>
          </w:p>
        </w:tc>
        <w:tc>
          <w:tcPr>
            <w:tcW w:w="4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786,534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1,043,713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1,290,039</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1,715,943</w:t>
            </w:r>
          </w:p>
        </w:tc>
        <w:tc>
          <w:tcPr>
            <w:tcW w:w="320" w:type="dxa"/>
            <w:vAlign w:val="bottom"/>
          </w:tcPr>
          <w:p>
            <w:pPr>
              <w:spacing w:after="0"/>
              <w:rPr>
                <w:sz w:val="19"/>
                <w:szCs w:val="19"/>
                <w:color w:val="auto"/>
              </w:rPr>
            </w:pPr>
          </w:p>
        </w:tc>
      </w:tr>
      <w:tr>
        <w:trPr>
          <w:trHeight w:val="212"/>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Comparable store sales increase</w:t>
            </w:r>
            <w:r>
              <w:rPr>
                <w:rFonts w:ascii="Times New Roman" w:cs="Times New Roman" w:eastAsia="Times New Roman" w:hAnsi="Times New Roman"/>
                <w:sz w:val="14"/>
                <w:szCs w:val="14"/>
                <w:color w:val="auto"/>
              </w:rPr>
              <w:t>(3)</w:t>
            </w: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r>
      <w:tr>
        <w:trPr>
          <w:trHeight w:val="212"/>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sales per store</w:t>
            </w:r>
            <w:r>
              <w:rPr>
                <w:rFonts w:ascii="Times New Roman" w:cs="Times New Roman" w:eastAsia="Times New Roman" w:hAnsi="Times New Roman"/>
                <w:sz w:val="14"/>
                <w:szCs w:val="14"/>
                <w:color w:val="auto"/>
              </w:rPr>
              <w:t>(4)</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782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823</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961</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1,055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1,127</w:t>
            </w:r>
          </w:p>
        </w:tc>
      </w:tr>
      <w:tr>
        <w:trPr>
          <w:trHeight w:val="212"/>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12"/>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9,954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11,801</w:t>
            </w:r>
          </w:p>
        </w:tc>
      </w:tr>
      <w:tr>
        <w:trPr>
          <w:trHeight w:val="212"/>
        </w:trPr>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25,023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29,733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36,127</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49,213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70,790</w:t>
            </w:r>
          </w:p>
        </w:tc>
      </w:tr>
      <w:tr>
        <w:trPr>
          <w:trHeight w:val="212"/>
        </w:trPr>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21,552</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23,997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25,529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32,709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47,025</w:t>
            </w:r>
          </w:p>
        </w:tc>
      </w:tr>
      <w:tr>
        <w:trPr>
          <w:trHeight w:val="212"/>
        </w:trPr>
        <w:tc>
          <w:tcPr>
            <w:tcW w:w="31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10,598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16,504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23,765</w:t>
            </w:r>
          </w:p>
        </w:tc>
      </w:tr>
    </w:tbl>
    <w:p>
      <w:pPr>
        <w:spacing w:after="0" w:line="4" w:lineRule="exact"/>
        <w:rPr>
          <w:sz w:val="20"/>
          <w:szCs w:val="20"/>
          <w:color w:val="auto"/>
        </w:rPr>
      </w:pPr>
    </w:p>
    <w:p>
      <w:pPr>
        <w:ind w:left="340" w:hanging="334"/>
        <w:spacing w:after="0"/>
        <w:tabs>
          <w:tab w:leader="none" w:pos="3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fiscal year ends on the Saturday closest to January 31 of each year. Fiscal years 2001, 2002, 2003 and 2004 comprise 52 weeks. Fiscal year 2000 comprises 53 weeks.</w:t>
      </w:r>
    </w:p>
    <w:p>
      <w:pPr>
        <w:spacing w:after="0" w:line="50" w:lineRule="exact"/>
        <w:rPr>
          <w:rFonts w:ascii="Times New Roman" w:cs="Times New Roman" w:eastAsia="Times New Roman" w:hAnsi="Times New Roman"/>
          <w:sz w:val="12"/>
          <w:szCs w:val="12"/>
          <w:color w:val="auto"/>
        </w:rPr>
      </w:pPr>
    </w:p>
    <w:p>
      <w:pPr>
        <w:ind w:left="340" w:right="80" w:hanging="334"/>
        <w:spacing w:after="0" w:line="235" w:lineRule="auto"/>
        <w:tabs>
          <w:tab w:leader="none" w:pos="3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Our Series A Preferred Stock, which will be redeemed using a portion of the net proceeds from this offering, was reclassified as debt as of the second quarter of fiscal 2003, in accordance with SFAS No. 150, </w:t>
      </w:r>
      <w:r>
        <w:rPr>
          <w:rFonts w:ascii="Times New Roman" w:cs="Times New Roman" w:eastAsia="Times New Roman" w:hAnsi="Times New Roman"/>
          <w:sz w:val="14"/>
          <w:szCs w:val="14"/>
          <w:i w:val="1"/>
          <w:iCs w:val="1"/>
          <w:color w:val="auto"/>
        </w:rPr>
        <w:t>Accounting for Certain Financial Instruments with Characteristics of both Liabilities and Equity</w:t>
      </w:r>
      <w:r>
        <w:rPr>
          <w:rFonts w:ascii="Times New Roman" w:cs="Times New Roman" w:eastAsia="Times New Roman" w:hAnsi="Times New Roman"/>
          <w:sz w:val="14"/>
          <w:szCs w:val="14"/>
          <w:color w:val="auto"/>
        </w:rPr>
        <w:t>. The amount of dividends treated as interest expense was $324,450 in fiscal 2004, $189,000 in fiscal 2003 and none in fiscal 2002.</w:t>
      </w:r>
    </w:p>
    <w:p>
      <w:pPr>
        <w:spacing w:after="0" w:line="29" w:lineRule="exact"/>
        <w:rPr>
          <w:rFonts w:ascii="Times New Roman" w:cs="Times New Roman" w:eastAsia="Times New Roman" w:hAnsi="Times New Roman"/>
          <w:sz w:val="12"/>
          <w:szCs w:val="12"/>
          <w:color w:val="auto"/>
        </w:rPr>
      </w:pPr>
    </w:p>
    <w:p>
      <w:pPr>
        <w:ind w:left="340" w:right="180" w:hanging="334"/>
        <w:spacing w:after="0" w:line="250" w:lineRule="auto"/>
        <w:tabs>
          <w:tab w:leader="none" w:pos="3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21" w:lineRule="exact"/>
        <w:rPr>
          <w:rFonts w:ascii="Times New Roman" w:cs="Times New Roman" w:eastAsia="Times New Roman" w:hAnsi="Times New Roman"/>
          <w:sz w:val="12"/>
          <w:szCs w:val="12"/>
          <w:color w:val="auto"/>
        </w:rPr>
      </w:pPr>
    </w:p>
    <w:p>
      <w:pPr>
        <w:ind w:left="340" w:hanging="334"/>
        <w:spacing w:after="0"/>
        <w:tabs>
          <w:tab w:leader="none" w:pos="3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Average sales per store is defined as net sales divided by the average of stores open at the end of the prior period and stores open at the end of the current period.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Management’s Discussion and Analysis of Financial Condition and Results of Operations</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section entitled “Selected Financial and Operating Data” and our financial statements and related notes included elsewhere in this prospectus. This discussion may contain forward-looking statements that involve risks and uncertainties. As a result of many factors, such as those set forth under the sections entitled “Risk Factors” and “Special Note Regarding Forward-Looking Statements” and elsewhere in this prospectus, our actual results may differ materially from those anticipated in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a rapidly growing, value-priced retailer of urban fashion apparel and accessories for the entire family. Our merchandise offerings are designed to appeal to the preferences of fashion conscious consumers, particularly African-Americans. Originally our stores were located in the Southeast, and we have recently expanded into the Mid-Atlantic region and Texas. We currently operate 212 stores in both urban and rural markets in twelve states.</w:t>
      </w:r>
    </w:p>
    <w:p>
      <w:pPr>
        <w:spacing w:after="0" w:line="7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Our predecessor was founded in 1946 and grew to become a chain of family apparel stores operating in the Southeast under the Allied Department Stores name. In 1999, our chain of stores was acquired by Hampshire Equity Partners, a private equity firm. Since the acquisition, our management team has implemented a focused merchandising and operating model to differentiate our stores and serve our core customers more effectively. Specifically, we concentrated the merchandise offerings on more urban fashion apparel for the entire family and increased the offering of nationally recognized brands. We also accelerated a remodeling campaign to upgrade the acquired store base and create a more appealing shopping environment in our stores. By the end of fiscal 2003, virtually all of the acquired stores had been remodeled and, in some cases, expanded. These initiatives resulted in gains in comparable store sales. More recently, the pace of our comparable store sales gains has moderated as the revamping of our existing store base has been substantially completed. We expect that the impact of our remodel, relocate and expansion initiatives will be far less significant in the future and that the primary causes of any increased comparable store sales will result from merchandising enhancements or the expansion of certain product categories, such as home decor and intimate apparel.</w:t>
      </w:r>
    </w:p>
    <w:p>
      <w:pPr>
        <w:spacing w:after="0" w:line="6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We have implemented an aggressive store growth strategy and believe that the addition of new stores will be the primary source of future growth. In fiscal 2003 and 2004, we opened 25 and 40 stores, respectively. During this period, we entered Houston, Norfolk and, most recently, the Baltimore and Washington, D.C. markets, where we opened a total of 15 new stores. We expect to open 40 new stores in each of fiscal 2005 and fiscal 2006, and as of April 22, we had opened twelve new stores in fiscal 2005. Approximately 70% of the new stores we intend to open in fiscal 2005 and fiscal 2006 are expected to be located in states that we currently serve.</w:t>
      </w:r>
    </w:p>
    <w:p>
      <w:pPr>
        <w:spacing w:after="0" w:line="8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Our new store expansion is fueled by store economics that we believe to be very attractive. From an investment perspective, we seek to design stores that are inviting and easy to shop, while limiting start up and fixturing costs. We also have relatively low store operating costs. Our real estate approach is focused on strip shopping center sites within low to moderate income neighborhoods, and we generally utilize previously occupied store sites rather than newly constructed sites. As a result, we are usually able to secure sites with substantial customer traffic at attractive lease terms. Our ongoing advertising expenses are also low, with a significant amount of advertising focused on new store openings.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generate rapid payback of investment. The average investment for the 41 stores opened in fiscal 2002 and fiscal 2003, including leasehold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equipment, fixturing, cost of inventory to stock the store (net of accounts payables), and pre-opening store expenses, was approximately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$240,000. These 41 stores generated average sales of $1.2 million and average store operating profit (defined as store operating revenues less cost of sales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store operating expenses which is comprised of payroll, occupancy, advertising and other operating costs) of approximately $190,000 during their first 12 months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 Our average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investment for the 40 stores opened in fiscal 2004 was approximately $280,000. This investment represents an increase over prior years as the size of our stores has increased and we have assumed a larger portion of the costs associated with leasehold improvements in our stores, which we expect to recover over time. We expect that the stores opened in fiscal 2004 will achieve similar levels of return on investment.</w:t>
      </w:r>
    </w:p>
    <w:p>
      <w:pPr>
        <w:spacing w:after="0" w:line="73" w:lineRule="exact"/>
        <w:rPr>
          <w:sz w:val="20"/>
          <w:szCs w:val="20"/>
          <w:color w:val="auto"/>
        </w:rPr>
      </w:pPr>
    </w:p>
    <w:p>
      <w:pPr>
        <w:jc w:val="both"/>
        <w:ind w:right="240"/>
        <w:spacing w:after="0" w:line="267" w:lineRule="auto"/>
        <w:rPr>
          <w:sz w:val="20"/>
          <w:szCs w:val="20"/>
          <w:color w:val="auto"/>
        </w:rPr>
      </w:pPr>
      <w:r>
        <w:rPr>
          <w:rFonts w:ascii="Times New Roman" w:cs="Times New Roman" w:eastAsia="Times New Roman" w:hAnsi="Times New Roman"/>
          <w:sz w:val="17"/>
          <w:szCs w:val="17"/>
          <w:color w:val="auto"/>
        </w:rPr>
        <w:t>We measure our performance using key operating statistics. One of our main performance measures is comparable store sales growth. We define a comparable store as a store that has been open for an entire fiscal year. Therefore, a store will not be considered a comparable store until its 13</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month of operation at the earliest or its 24</w:t>
      </w:r>
      <w:r>
        <w:rPr>
          <w:rFonts w:ascii="Times New Roman" w:cs="Times New Roman" w:eastAsia="Times New Roman" w:hAnsi="Times New Roman"/>
          <w:sz w:val="13"/>
          <w:szCs w:val="13"/>
          <w:color w:val="auto"/>
        </w:rPr>
        <w:t>th</w:t>
      </w:r>
      <w:r>
        <w:rPr>
          <w:rFonts w:ascii="Times New Roman" w:cs="Times New Roman" w:eastAsia="Times New Roman" w:hAnsi="Times New Roman"/>
          <w:sz w:val="17"/>
          <w:szCs w:val="17"/>
          <w:color w:val="auto"/>
        </w:rPr>
        <w:t xml:space="preserve"> month at the latest. As an example, all stores opened in fiscal 2002 and fiscal 2003 were not considered comparable stores in fiscal 2003.</w:t>
      </w:r>
    </w:p>
    <w:p>
      <w:pPr>
        <w:spacing w:after="0" w:line="246" w:lineRule="auto"/>
        <w:rPr>
          <w:sz w:val="20"/>
          <w:szCs w:val="20"/>
          <w:color w:val="auto"/>
        </w:rPr>
      </w:pPr>
      <w:r>
        <w:rPr>
          <w:rFonts w:ascii="Times New Roman" w:cs="Times New Roman" w:eastAsia="Times New Roman" w:hAnsi="Times New Roman"/>
          <w:sz w:val="18"/>
          <w:szCs w:val="18"/>
          <w:color w:val="auto"/>
        </w:rPr>
        <w:t>Relocated and expanded stores are included in the comparable store sales results. We also use other operating statistics, most notably average sales per store. As we typically occupy existing footprints in established shopping centers rather than sites built specifically for our stores, our store square footage (and therefore sales per square foot) vary by store. We focus on the overall store sales volume as the critical driver of profitability. Our average sales per store has increased as we have driven comparable store sales and opened new stores which are generally larger than our existing stores. Our average sales per store have increased from $0.8 million in fiscal 2000 to $1.1 million in fiscal 2004. Beyond sales, we measure gross margin percentage and store operating expenses, with a particular focus on labor as a percentage of sales. These results translate into store level contribution, which we use to evaluate overall performance of each individual store. Finally, we monitor corporate expenses in absolute amounts.</w:t>
      </w:r>
    </w:p>
    <w:p>
      <w:pPr>
        <w:spacing w:after="0" w:line="8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new distribution center we opened in November 2004 increased our receiving and shipping capabilities in order to support the growth of our store base. The new center is located in the greater Savannah area and increases our total distribution space by approximately 60,000 square feet and our office space by approximately 10,000 square feet. We are leasing the center through September 2006 with options to renew for up to four additional years. We currently intend to acquire, lease or design and construct a new distribution center in fiscal 2006. We have hired a third party to conduct a site and feasibility study regarding the necessary size and location of the new distribution center. We expect to receive the results of the study in the near future, and we expect that after receipt of the report, we will determine whether to construct, acquire or lease a new distribution center and will select a suitable location.</w:t>
      </w:r>
    </w:p>
    <w:p>
      <w:pPr>
        <w:spacing w:after="0" w:line="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cash requirements are primarily for working capital, construction of new stores, remodeling of existing stores and improvements to our information systems. Historically we have met these cash requirements from cash flow from operations, short-term trade credit and borrowings under our revolving lines of credit, long-term debt and capital leases.</w:t>
      </w:r>
    </w:p>
    <w:p>
      <w:pPr>
        <w:spacing w:after="0" w:line="7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may be affected by the phase out of quotas on textiles and clothing under the WTO Agreement on Textiles and Clothing as implemented on January 1, 1995. Under this agreement, the import quotas on textiles and clothing manufactured by countries that are members of the WTO were eliminated. While the impact of the quota removal is uncertain, the increased access to foreign textile markets could create logistical delays arising from a surge of imported goods from countries that benefit from the removal of the quotas. In addition, the quota removal may alter the cost differential between vendors that source primarily domestically and vendors that source more extensively from overseas. We believe this could significantly reduce the cost of apparel products and thereby reduce the average dollar amount of sales per customer spent in our stores. Various actions have been taken or threatened by parties affected by the removal of the quotas, including the filing of a petition on behalf of the U.S. textile and apparel industry with the U.S. government at the end of 2004 based upon the “threat” then posed by the removal of the quotas in January 2005. The U.S. government did impose safeguard measures, but an injunction was imposed by the U.S. Court of International Trade because the actions had been based only on “threat” data. On April 4, 2005, the U.S. Department of Commerce initiated safeguard proceedings with respect to three products (cotton knit shirts and blouses, cotton trousers and cotton and man-made fiber underwear) to evaluate the effect of removal of the quotas and the necessity of any remedial action. On April 6, 2005, the U.S. textile and apparel industry again filed a petition with the U.S. government, but no action has yet been taken on this new petition. Although no remedial action has yet been taken, we cannot accurately assess ultimate outcome of these actions at this time. These actions may disrupt the supply chain of products from foreign markets or make it difficult to</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color w:val="auto"/>
        </w:rPr>
        <w:t>predict accurately the prices of merchandise to be imported from a particular country. The outcome of these actions or other trade disruptions may have an adverse effect on our merchandise supply, sales and cash flows.</w:t>
      </w:r>
    </w:p>
    <w:p>
      <w:pPr>
        <w:spacing w:after="0" w:line="6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are documenting and testing our internal control procedures in order to comply with the requirements of Section 404 of the Sarbanes-Oxley Act of 2002. Section 404 requires annual management assessments of the effectiveness of our internal controls over financial reporting and a report by our independent auditors addressing these assessments. We must comply with Section 404 no later than the time we file our annual report for fiscal 2006 with the Commission. During this time period specific internal controls may be identified as being deficient. We anticipate retaining additional personnel to assist us in complying with our Section 404 obligations. We are currently evaluating whether such personnel will be retained as consultants or as our employees. We plan to remediate any identified deficiencies and comply with our Section 404 obligations before the deadline.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the Presentation</w:t>
      </w:r>
    </w:p>
    <w:p>
      <w:pPr>
        <w:spacing w:after="0" w:line="11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Net sales consist of store sales, net of returns by customers, and layaway fees. Cost of sales consists of the cost of products we sell and associated freight costs. Selling, general and administrative expense is comprised of store costs, including salaries and store occupancy costs, handling costs, corporate and distribution center costs and advertising costs. We operate on a 52- or 53-week fiscal year, which ends on the Saturday closest to January 31. Each of our fiscal quarters consists of four 13-week periods, with an extra week added on to the fourth quarter every five to six years. Our last three fiscal years ended on February 1, 2003, January 31, 2004 and January 29, 2005 and each included 52 weeks.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Net Sales and Additional Operating Data. </w:t>
      </w:r>
      <w:r>
        <w:rPr>
          <w:rFonts w:ascii="Times New Roman" w:cs="Times New Roman" w:eastAsia="Times New Roman" w:hAnsi="Times New Roman"/>
          <w:sz w:val="18"/>
          <w:szCs w:val="18"/>
          <w:color w:val="auto"/>
        </w:rPr>
        <w:t>The following table sets forth, for the periods indicated, selected statement of income data expressed both in dollars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a percentage of net sales: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Fiscal Year Ended</w:t>
            </w: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3"/>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8"/>
              </w:rPr>
              <w:t>February 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b w:val="1"/>
                <w:bCs w:val="1"/>
                <w:color w:val="auto"/>
                <w:w w:val="98"/>
              </w:rPr>
              <w:t>January 31,</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January 29,</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2003</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2004</w:t>
            </w:r>
          </w:p>
        </w:tc>
        <w:tc>
          <w:tcPr>
            <w:tcW w:w="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2005</w:t>
            </w:r>
          </w:p>
        </w:tc>
        <w:tc>
          <w:tcPr>
            <w:tcW w:w="3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(dollars in thousands)</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Statement of Income Data</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2"/>
              </w:rPr>
              <w:t>124,951</w:t>
            </w:r>
          </w:p>
        </w:tc>
        <w:tc>
          <w:tcPr>
            <w:tcW w:w="64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3"/>
              </w:rPr>
              <w:t>100.0%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w w:val="96"/>
              </w:rPr>
              <w:t>157,198</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7"/>
              </w:rPr>
              <w:t>100.0%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96"/>
              </w:rPr>
              <w:t>203,442</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3"/>
              </w:rPr>
              <w:t>100.0%</w:t>
            </w: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77,807</w:t>
            </w:r>
          </w:p>
        </w:tc>
        <w:tc>
          <w:tcPr>
            <w:tcW w:w="6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62.3</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98,145</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6"/>
              </w:rPr>
              <w:t>127,308</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201"/>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47,144</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59,053</w:t>
            </w:r>
          </w:p>
        </w:tc>
        <w:tc>
          <w:tcPr>
            <w:tcW w:w="64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76,134</w:t>
            </w:r>
          </w:p>
        </w:tc>
        <w:tc>
          <w:tcPr>
            <w:tcW w:w="66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38,760</w:t>
            </w:r>
          </w:p>
        </w:tc>
        <w:tc>
          <w:tcPr>
            <w:tcW w:w="6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31.0</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48,845</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63,594</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1"/>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8,385</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10,208</w:t>
            </w:r>
          </w:p>
        </w:tc>
        <w:tc>
          <w:tcPr>
            <w:tcW w:w="64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12,540</w:t>
            </w:r>
          </w:p>
        </w:tc>
        <w:tc>
          <w:tcPr>
            <w:tcW w:w="66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256</w:t>
            </w:r>
          </w:p>
        </w:tc>
        <w:tc>
          <w:tcPr>
            <w:tcW w:w="6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563</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732</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1"/>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8,129</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9,645</w:t>
            </w:r>
          </w:p>
        </w:tc>
        <w:tc>
          <w:tcPr>
            <w:tcW w:w="64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11,808</w:t>
            </w:r>
          </w:p>
        </w:tc>
        <w:tc>
          <w:tcPr>
            <w:tcW w:w="660" w:type="dxa"/>
            <w:vAlign w:val="bottom"/>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w:t>
            </w:r>
          </w:p>
        </w:tc>
        <w:tc>
          <w:tcPr>
            <w:tcW w:w="6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rPr>
              <w:t>4,551</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5,028</w:t>
            </w:r>
          </w:p>
        </w:tc>
        <w:tc>
          <w:tcPr>
            <w:tcW w:w="2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560" w:type="dxa"/>
            <w:vAlign w:val="bottom"/>
            <w:gridSpan w:val="2"/>
            <w:vMerge w:val="continue"/>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640" w:type="dxa"/>
            <w:vAlign w:val="bottom"/>
            <w:vMerge w:val="continue"/>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540" w:type="dxa"/>
            <w:vAlign w:val="bottom"/>
            <w:gridSpan w:val="2"/>
            <w:vMerge w:val="continue"/>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7,257</w:t>
            </w:r>
          </w:p>
        </w:tc>
        <w:tc>
          <w:tcPr>
            <w:tcW w:w="660" w:type="dxa"/>
            <w:vAlign w:val="bottom"/>
            <w:vMerge w:val="continue"/>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2"/>
        </w:trPr>
        <w:tc>
          <w:tcPr>
            <w:tcW w:w="5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provides information, for the periods indicated, about the number of total stores open at the beginning of the period, stores opened and closed during each period and the total stores open at the end of each period and comparable store sales for the periods: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w w:val="99"/>
              </w:rPr>
              <w:t>Fiscal Year Ended</w:t>
            </w: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February 1,</w:t>
            </w:r>
          </w:p>
        </w:tc>
        <w:tc>
          <w:tcPr>
            <w:tcW w:w="320" w:type="dxa"/>
            <w:vAlign w:val="bottom"/>
          </w:tcPr>
          <w:p>
            <w:pPr>
              <w:spacing w:after="0"/>
              <w:rPr>
                <w:sz w:val="16"/>
                <w:szCs w:val="16"/>
                <w:color w:val="auto"/>
              </w:rPr>
            </w:pPr>
          </w:p>
        </w:tc>
        <w:tc>
          <w:tcPr>
            <w:tcW w:w="14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320" w:type="dxa"/>
            <w:vAlign w:val="bottom"/>
          </w:tcPr>
          <w:p>
            <w:pPr>
              <w:spacing w:after="0"/>
              <w:rPr>
                <w:sz w:val="16"/>
                <w:szCs w:val="16"/>
                <w:color w:val="auto"/>
              </w:rPr>
            </w:pP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January 29,</w:t>
            </w:r>
          </w:p>
        </w:tc>
      </w:tr>
      <w:tr>
        <w:trPr>
          <w:trHeight w:val="221"/>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2003</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2004</w:t>
            </w:r>
          </w:p>
        </w:tc>
        <w:tc>
          <w:tcPr>
            <w:tcW w:w="56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2005</w:t>
            </w:r>
          </w:p>
        </w:tc>
      </w:tr>
      <w:tr>
        <w:trPr>
          <w:trHeight w:val="198"/>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stores open, beginning of period</w:t>
            </w: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123</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560" w:type="dxa"/>
            <w:vAlign w:val="bottom"/>
            <w:shd w:val="clear" w:color="auto" w:fill="CCEEFF"/>
          </w:tcPr>
          <w:p>
            <w:pPr>
              <w:spacing w:after="0"/>
              <w:rPr>
                <w:sz w:val="17"/>
                <w:szCs w:val="17"/>
                <w:color w:val="auto"/>
              </w:rPr>
            </w:pPr>
          </w:p>
        </w:tc>
        <w:tc>
          <w:tcPr>
            <w:tcW w:w="17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161</w:t>
            </w:r>
          </w:p>
        </w:tc>
      </w:tr>
      <w:tr>
        <w:trPr>
          <w:trHeight w:val="198"/>
        </w:trPr>
        <w:tc>
          <w:tcPr>
            <w:tcW w:w="20" w:type="dxa"/>
            <w:vAlign w:val="bottom"/>
          </w:tcPr>
          <w:p>
            <w:pPr>
              <w:spacing w:after="0"/>
              <w:rPr>
                <w:sz w:val="17"/>
                <w:szCs w:val="17"/>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6"/>
                <w:szCs w:val="16"/>
                <w:color w:val="auto"/>
              </w:rPr>
              <w:t>New stores</w:t>
            </w: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16</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560" w:type="dxa"/>
            <w:vAlign w:val="bottom"/>
          </w:tcPr>
          <w:p>
            <w:pPr>
              <w:spacing w:after="0"/>
              <w:rPr>
                <w:sz w:val="17"/>
                <w:szCs w:val="17"/>
                <w:color w:val="auto"/>
              </w:rPr>
            </w:pPr>
          </w:p>
        </w:tc>
        <w:tc>
          <w:tcPr>
            <w:tcW w:w="1700" w:type="dxa"/>
            <w:vAlign w:val="bottom"/>
            <w:gridSpan w:val="4"/>
          </w:tcPr>
          <w:p>
            <w:pPr>
              <w:jc w:val="right"/>
              <w:ind w:right="560"/>
              <w:spacing w:after="0"/>
              <w:rPr>
                <w:sz w:val="20"/>
                <w:szCs w:val="20"/>
                <w:color w:val="auto"/>
              </w:rPr>
            </w:pPr>
            <w:r>
              <w:rPr>
                <w:rFonts w:ascii="Times New Roman" w:cs="Times New Roman" w:eastAsia="Times New Roman" w:hAnsi="Times New Roman"/>
                <w:sz w:val="16"/>
                <w:szCs w:val="16"/>
                <w:color w:val="auto"/>
              </w:rPr>
              <w:t>40</w:t>
            </w:r>
          </w:p>
        </w:tc>
      </w:tr>
      <w:tr>
        <w:trPr>
          <w:trHeight w:val="198"/>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Closed stores</w:t>
            </w:r>
          </w:p>
        </w:tc>
        <w:tc>
          <w:tcPr>
            <w:tcW w:w="15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60" w:type="dxa"/>
            <w:vAlign w:val="bottom"/>
            <w:shd w:val="clear" w:color="auto" w:fill="CCEEFF"/>
          </w:tcPr>
          <w:p>
            <w:pPr>
              <w:spacing w:after="0"/>
              <w:rPr>
                <w:sz w:val="17"/>
                <w:szCs w:val="17"/>
                <w:color w:val="auto"/>
              </w:rPr>
            </w:pPr>
          </w:p>
        </w:tc>
        <w:tc>
          <w:tcPr>
            <w:tcW w:w="1700" w:type="dxa"/>
            <w:vAlign w:val="bottom"/>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6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stores open, end of period</w:t>
            </w:r>
          </w:p>
        </w:tc>
        <w:tc>
          <w:tcPr>
            <w:tcW w:w="6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5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161</w:t>
            </w:r>
          </w:p>
        </w:tc>
        <w:tc>
          <w:tcPr>
            <w:tcW w:w="560" w:type="dxa"/>
            <w:vAlign w:val="bottom"/>
          </w:tcPr>
          <w:p>
            <w:pPr>
              <w:spacing w:after="0"/>
              <w:rPr>
                <w:sz w:val="17"/>
                <w:szCs w:val="17"/>
                <w:color w:val="auto"/>
              </w:rPr>
            </w:pPr>
          </w:p>
        </w:tc>
        <w:tc>
          <w:tcPr>
            <w:tcW w:w="900" w:type="dxa"/>
            <w:vAlign w:val="bottom"/>
            <w:gridSpan w:val="2"/>
          </w:tcPr>
          <w:p>
            <w:pPr>
              <w:spacing w:after="0"/>
              <w:rPr>
                <w:sz w:val="17"/>
                <w:szCs w:val="17"/>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1"/>
              </w:rPr>
              <w:t>200</w:t>
            </w:r>
          </w:p>
        </w:tc>
        <w:tc>
          <w:tcPr>
            <w:tcW w:w="560" w:type="dxa"/>
            <w:vAlign w:val="bottom"/>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198"/>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Comparable store sales increase</w:t>
            </w:r>
          </w:p>
        </w:tc>
        <w:tc>
          <w:tcPr>
            <w:tcW w:w="15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14.6%</w:t>
            </w:r>
          </w:p>
        </w:tc>
        <w:tc>
          <w:tcPr>
            <w:tcW w:w="178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5.7%</w:t>
            </w:r>
          </w:p>
        </w:tc>
        <w:tc>
          <w:tcPr>
            <w:tcW w:w="170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3.0%</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2004 Compared to Fiscal 2003</w:t>
      </w:r>
    </w:p>
    <w:p>
      <w:pPr>
        <w:spacing w:after="0" w:line="11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$46.2 million, or 29.4%, to $203.4 million for fiscal 2004 from $157.2 million for fiscal 2003. The increase resulted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net sales of $63.2 million in fiscal 2004 from stores opened during fiscal 2004 and fiscal 2003 as compared to net sales of $20.9 million in fiscal 2003 from stores opened in fiscal 2003. In addition, the increase was due to a comparable store sales increase of $4.0 million, or 3.0%. The increase in comparable store sales resulted, in part, from an increase in the number of customer transactions and average items per sale, partially offset by a decrease in the average price of an item sold. Remodeled and relocated stores accounted for less of the growth of comparable store sales in fiscal 2004 (only about 0.3% of the 3% growth) due to fewer stores being relocated and remodeled during the year. We expect comparable store sales to grow by low single-digit increases during fiscal 2005. We intend to increase comparable store sales by increasing the assortment and amount of inventory in existing merchandise categories for which recent sales and/or sales trends are encouraging. We also intend to increase comparable store sales through the expansion of adjacent product categories such as home decor and intimate apparel.</w:t>
      </w:r>
    </w:p>
    <w:p>
      <w:pPr>
        <w:spacing w:after="0" w:line="86"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$17.1 million, or 28.9%, to $76.1 million for fiscal 2004 from $59.1 million for fiscal 2003. The increase resulted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operation of new stores opened in fiscal 2004 and the full period impact of new stores opened during fiscal 2003, partially offset by a decrease in gross profit margin. Gross profit as a percentage of sales was 37.4% for fiscal 2004 compared to 37.6% for fiscal 2003. Gross margins decreased as a result of higher inbound and outbound freight costs primarily due to fuel surcharges. Our gross margins may not be comparable to other retailers as we include distribution center, advertising and promotional costs in our selling, general and administrative expenses, while certain other retailers deduct these costs directly from their gross margin.</w:t>
      </w:r>
    </w:p>
    <w:p>
      <w:pPr>
        <w:spacing w:after="0" w:line="7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$14.7 million, or 30.2%, to $63.6 million for fiscal 2004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$48.8 million for fiscal 2003. This increase was caused primarily by store level, distribution and corporate costs associated with the growing store base and the full period impact of new stores opened in fiscal 2003. As a percentage of net sales, selling, general and administrative expenses increased to 31.3% for fiscal 2004 from 31.1% for fiscal 2003. The increase was partially driven by approximately $360,000 of additional vacation pay accrual pursuant to a change in the Company’s vacation policy.</w:t>
      </w:r>
    </w:p>
    <w:p>
      <w:pPr>
        <w:spacing w:after="0" w:line="77"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approximately $169,000 for fiscal 2004 to approximately $732,000 compared to approximately $563,000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2003. The increase was primarily the result of the adoption of SFAS No. 150, which increased interest expense by the inclusion of dividends on mandatory redeemable obligations that were previously deducted from equity as dividends, and increased borrowings related to the cost of new stores during the period, inclusive of inventory. We adopted SFAS No. 150 on July 6, 2003, and dividends treated as interest expense in fiscal 2004 and fiscal 2003 were approximately $324,000 and approximately $189,000,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58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approximately $824,000 for fiscal 2004 to $4.6 million compared to $3.7 million for fiscal 2003.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was 38.5% and 38.6% for fiscal 2004 and fiscal 2003, respectively.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to $7.3 million for fiscal 2004 from $5.9 million as a result of the factors discussed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2003 Compared to Fiscal 2002</w:t>
      </w:r>
    </w:p>
    <w:p>
      <w:pPr>
        <w:spacing w:after="0" w:line="11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$32.2 million, or 25.8%, to $157.2 million for fiscal 2003 from $125.0 million for fiscal 2002. The increase resulted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net sales of $38.6 million in fiscal 2003 from stores opened during fiscal 2003 and fiscal 2002 as compared to net sales of $10.8 million in fiscal 2002 from stores opened in fiscal 2002. In addition, the increase was due to a comparable store sales increase of $6.1 million, or 5.7%. The increase in comparable store sales resulted, in part, from an increase in the number of customer transactions and average items per sale, partially offset by a decrease in average price of an item sold. In addition, in fiscal 2002, we took over shoe operations in our stores from a third party licensee that had previously managed the shoe merchandise and paid us a commission on sales. As a result of this purchase, we recognized shoe sales as part of net sales (amounting to $3.8 million in fiscal 2003) instead of recognizing only the commissions as an increase to operating income. The increase in comparable store sales in fiscal 2003 benefited from the full year impact of this change. The increase was also caused by the impact of increased sales from stores that were relocated and remodeled during the two-year period, with such stores accounting for approximately one-third of the 5.7% comparable store sales increase.</w:t>
      </w:r>
    </w:p>
    <w:p>
      <w:pPr>
        <w:spacing w:after="0" w:line="8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$11.9 million, or 25.3%, to $59.1 million for fiscal 2003 from $47.1 million for fiscal 2002. The increase resulted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operation of 25 new stores opened in fiscal 2003 and the full year impact of 16 new stores opened during fiscal 2002. Gross margin was 37.6% for fiscal 2003 compared to 37.7% for fiscal 2002. The decrease resulted from higher freight costs.</w:t>
      </w:r>
    </w:p>
    <w:p>
      <w:pPr>
        <w:spacing w:after="0" w:line="7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$10.1 million, or 26.0%, to $48.8 million for fiscal 2003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$38.8 million for fiscal 2002. As a percentage of net sales, selling, general and administrative expenses increased to 31.1% for fiscal 2003 from 31.0% for fiscal 2002. The dollar increase was caused primarily by increases in store level expenses, distribution costs and corporate costs associated with the growing store base and full period impact of new stores opened during fiscal 2002.</w:t>
      </w:r>
    </w:p>
    <w:p>
      <w:pPr>
        <w:spacing w:after="0" w:line="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approximately $307,000 for fiscal 2003 to approximately $563,000, compared to approximately $256,000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2002. The increase was primarily the result of our adoption of SFAS No. 150, which increased interest expense by the inclusion of dividends on mandatory redeemable obligations that were previously deducted from equity as dividends, increased borrowings related to the costs of opening new stores during the year, and the full year impact of the purchase of, and mortgage on, the office and distribution facility in Savannah, Georgia. The amount of dividends treated as interest expense in fiscal 2003 was approximately $189,000 and none in fiscal 2002.</w:t>
      </w:r>
    </w:p>
    <w:p>
      <w:pPr>
        <w:spacing w:after="0" w:line="77"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approximately $626,000 for fiscal 2003 to $3.7 million, compared to $3.1 million for fiscal 2002.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was 38.6% and 38.1% for fiscal 2003 and fiscal 2002, respectively. The rate increased in fiscal 2003 due to reclassifying nondeductible preferred stock dividends as interest expense with the adoption of SFAS No. 150 in July 2003.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to $5.9 million for fiscal 2003 from $5.0 million in fiscal 2002 as a result of the factors discussed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2002 Compared to Fiscal 2001</w:t>
      </w:r>
    </w:p>
    <w:p>
      <w:pPr>
        <w:spacing w:after="0" w:line="11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increased $27.1 million, or 27.6%, to $125.0 million for fiscal 2002 from $97.9 million for fiscal 2001. The increase resulted primarily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sales of $24.8 million during fiscal 2002 from stores opened during fiscal 2002 and fiscal 2001 as compared to net sales of $9.1 million from stores opened in fiscal 2001. In addition, the increase was due to a comparable store sales increase of $13.0 million, or 14.6%.</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increase in comparable store sales was caused in part by an increase in the number of customer transactions and average items per sale and to a lesser extent the relocating and remodeling of a number of stores.</w:t>
      </w:r>
    </w:p>
    <w:p>
      <w:pPr>
        <w:spacing w:after="0" w:line="6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$11.3 million, or 31.4%, to $47.1 million for fiscal 2002 from $35.9 million for fiscal 2001. The increase resulted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operation of 16 new stores opened in fiscal 2002 and the full year impact of 12 new stores opened during fiscal 2001. Gross margin was 37.7% for fiscal 2002 compared to 36.6% for fiscal 2001. The increase resulted from lower markdowns and inventory shrinkage.</w:t>
      </w:r>
    </w:p>
    <w:p>
      <w:pPr>
        <w:spacing w:after="0" w:line="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increased $7.4 million, or 23.4%, to $38.8 million for fiscal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$31.4 million for fiscal 2001. As a percentage of net sales, selling, general and administrative expenses decreased to 31.0% for fiscal 2002 from 32.1% for fiscal 2001. This decrease as a percentage of sales was caused primarily by benefits realized from higher comparable stores sales which provided greater operating efficiencies at store level.</w:t>
      </w:r>
    </w:p>
    <w:p>
      <w:pPr>
        <w:spacing w:after="0" w:line="7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decreased approximately $199,000 for fiscal 2002 to approximately $256,000, compared to approximately $455,000 for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2001. The decrease was primarily the result of improved results from operations and cash flow resulting in significantly lower monthly average line of credit balances.</w:t>
      </w:r>
    </w:p>
    <w:p>
      <w:pPr>
        <w:spacing w:after="0" w:line="7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increased $1.5 million for fiscal 2002 to $3.1 million, compared to $1.6 million for fiscal 2001, as a result of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profitability. Our effective tax rate was 38.1% and 38.9% for fiscal 2002 and fiscal 2001, respectively. The rate decreased in fiscal 2002 due to larger state and local tax credits.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increased to $5.0 million in fiscal 2002 from $2.5 million in fiscal 2001 as a result of the factors discussed above.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1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following table sets forth our unaudited quarterly results of operations for fiscal 2003 and 2004. Each quarterly period presented below consists of 13 weeks, and the information includes our statement of income data for each such period and additional operating data for each such period. In the opinion of management, these unaudited interim financial data have been prepared on the same basis as the audited financial statements and reflect all adjustments (consisting only of normal recurring adjustments) and fairly present the financial information disclosed for these periods. The interim financial data set forth below should be read in conjunction with, and are qualified in their entirety by reference to, the audited financial statements and related notes included elsewhere in this prospectus. The results of operations for historical periods are not necessarily indicative of results for any future period.</w:t>
      </w:r>
    </w:p>
    <w:p>
      <w:pPr>
        <w:spacing w:after="0" w:line="8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Due to the importance of the spring selling season, which includes Easter, and the fall selling season, which includes Christmas, the first and fourth fiscal quarters have historically contributed, and we expect they will continue to contribute, disproportionately to our profitability for our entire fiscal year. As a result, any factors negatively affecting us in any year during the first and fourth fiscal quarters, including adverse weather and unfavorable economic conditions, could have a material adverse effect on our financial condition and results of operations for the entire year.</w:t>
      </w:r>
    </w:p>
    <w:p>
      <w:pPr>
        <w:spacing w:after="0" w:line="8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Our quarterly results of operations also may fluctuate based upon such factors as the timing of holiday seasons, the number and timing of new store openings, the amount of store preopening expenses, the amount of net sales contributed by new and existing stores, the mix of products sold, the timing and level of</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markdowns, store closings, remodels and relocations, competitive factors, weather and general economic conditions.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8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tcPr>
          <w:p>
            <w:pPr>
              <w:ind w:left="400"/>
              <w:spacing w:after="0"/>
              <w:rPr>
                <w:sz w:val="20"/>
                <w:szCs w:val="20"/>
                <w:color w:val="auto"/>
              </w:rPr>
            </w:pPr>
            <w:r>
              <w:rPr>
                <w:rFonts w:ascii="Times New Roman" w:cs="Times New Roman" w:eastAsia="Times New Roman" w:hAnsi="Times New Roman"/>
                <w:sz w:val="12"/>
                <w:szCs w:val="12"/>
                <w:b w:val="1"/>
                <w:bCs w:val="1"/>
                <w:color w:val="auto"/>
              </w:rPr>
              <w:t>Quarter Ended</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right"/>
              <w:ind w:right="280"/>
              <w:spacing w:after="0" w:line="119" w:lineRule="exact"/>
              <w:rPr>
                <w:sz w:val="20"/>
                <w:szCs w:val="20"/>
                <w:color w:val="auto"/>
              </w:rPr>
            </w:pPr>
            <w:r>
              <w:rPr>
                <w:rFonts w:ascii="Times New Roman" w:cs="Times New Roman" w:eastAsia="Times New Roman" w:hAnsi="Times New Roman"/>
                <w:sz w:val="12"/>
                <w:szCs w:val="12"/>
                <w:b w:val="1"/>
                <w:bCs w:val="1"/>
                <w:color w:val="auto"/>
              </w:rPr>
              <w:t>Jan. 31,</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right"/>
              <w:ind w:right="280"/>
              <w:spacing w:after="0" w:line="119" w:lineRule="exact"/>
              <w:rPr>
                <w:sz w:val="20"/>
                <w:szCs w:val="20"/>
                <w:color w:val="auto"/>
              </w:rPr>
            </w:pPr>
            <w:r>
              <w:rPr>
                <w:rFonts w:ascii="Times New Roman" w:cs="Times New Roman" w:eastAsia="Times New Roman" w:hAnsi="Times New Roman"/>
                <w:sz w:val="12"/>
                <w:szCs w:val="12"/>
                <w:b w:val="1"/>
                <w:bCs w:val="1"/>
                <w:color w:val="auto"/>
              </w:rPr>
              <w:t>July 31,</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ind w:left="80"/>
              <w:spacing w:after="0" w:line="119" w:lineRule="exact"/>
              <w:rPr>
                <w:sz w:val="20"/>
                <w:szCs w:val="20"/>
                <w:color w:val="auto"/>
              </w:rPr>
            </w:pPr>
            <w:r>
              <w:rPr>
                <w:rFonts w:ascii="Times New Roman" w:cs="Times New Roman" w:eastAsia="Times New Roman" w:hAnsi="Times New Roman"/>
                <w:sz w:val="12"/>
                <w:szCs w:val="12"/>
                <w:b w:val="1"/>
                <w:bCs w:val="1"/>
                <w:color w:val="auto"/>
              </w:rPr>
              <w:t>Oct. 30,</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right"/>
              <w:ind w:right="320"/>
              <w:spacing w:after="0" w:line="119" w:lineRule="exact"/>
              <w:rPr>
                <w:sz w:val="20"/>
                <w:szCs w:val="20"/>
                <w:color w:val="auto"/>
              </w:rPr>
            </w:pPr>
            <w:r>
              <w:rPr>
                <w:rFonts w:ascii="Times New Roman" w:cs="Times New Roman" w:eastAsia="Times New Roman" w:hAnsi="Times New Roman"/>
                <w:sz w:val="12"/>
                <w:szCs w:val="12"/>
                <w:b w:val="1"/>
                <w:bCs w:val="1"/>
                <w:color w:val="auto"/>
              </w:rPr>
              <w:t>Jan. 29,</w:t>
            </w: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May 3, 2003</w:t>
            </w:r>
          </w:p>
        </w:tc>
        <w:tc>
          <w:tcPr>
            <w:tcW w:w="180" w:type="dxa"/>
            <w:vAlign w:val="bottom"/>
          </w:tcPr>
          <w:p>
            <w:pPr>
              <w:spacing w:after="0"/>
              <w:rPr>
                <w:sz w:val="13"/>
                <w:szCs w:val="13"/>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Aug. 2, 2003</w:t>
            </w:r>
          </w:p>
        </w:tc>
        <w:tc>
          <w:tcPr>
            <w:tcW w:w="200" w:type="dxa"/>
            <w:vAlign w:val="bottom"/>
          </w:tcPr>
          <w:p>
            <w:pPr>
              <w:spacing w:after="0"/>
              <w:rPr>
                <w:sz w:val="13"/>
                <w:szCs w:val="13"/>
                <w:color w:val="auto"/>
              </w:rPr>
            </w:pPr>
          </w:p>
        </w:tc>
        <w:tc>
          <w:tcPr>
            <w:tcW w:w="10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Nov. 1, 2003</w:t>
            </w: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2"/>
                <w:szCs w:val="12"/>
                <w:b w:val="1"/>
                <w:bCs w:val="1"/>
                <w:color w:val="auto"/>
              </w:rPr>
              <w:t>2004</w:t>
            </w:r>
          </w:p>
        </w:tc>
        <w:tc>
          <w:tcPr>
            <w:tcW w:w="1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May 1, 2004</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2004</w:t>
            </w: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2004</w:t>
            </w: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2005</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(dollars in thousands,</w:t>
            </w:r>
          </w:p>
        </w:tc>
        <w:tc>
          <w:tcPr>
            <w:tcW w:w="122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5"/>
              </w:rPr>
              <w:t>except per share amounts)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Statement of Income Data:</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8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Net sales</w:t>
            </w: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37,575</w:t>
            </w:r>
          </w:p>
        </w:tc>
        <w:tc>
          <w:tcPr>
            <w:tcW w:w="4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34,209</w:t>
            </w:r>
          </w:p>
        </w:tc>
        <w:tc>
          <w:tcPr>
            <w:tcW w:w="4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36,168</w:t>
            </w:r>
          </w:p>
        </w:tc>
        <w:tc>
          <w:tcPr>
            <w:tcW w:w="4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49,246</w:t>
            </w:r>
          </w:p>
        </w:tc>
        <w:tc>
          <w:tcPr>
            <w:tcW w:w="4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48,069</w:t>
            </w:r>
          </w:p>
        </w:tc>
        <w:tc>
          <w:tcPr>
            <w:tcW w:w="200" w:type="dxa"/>
            <w:vAlign w:val="bottom"/>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43,011</w:t>
            </w:r>
          </w:p>
        </w:tc>
        <w:tc>
          <w:tcPr>
            <w:tcW w:w="4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46,049</w:t>
            </w:r>
          </w:p>
        </w:tc>
        <w:tc>
          <w:tcPr>
            <w:tcW w:w="4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66,313</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22,023</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22,452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22,991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30,679</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29,034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28,095</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29,159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41,020</w:t>
            </w:r>
          </w:p>
        </w:tc>
        <w:tc>
          <w:tcPr>
            <w:tcW w:w="0" w:type="dxa"/>
            <w:vAlign w:val="bottom"/>
          </w:tcPr>
          <w:p>
            <w:pPr>
              <w:spacing w:after="0"/>
              <w:rPr>
                <w:sz w:val="1"/>
                <w:szCs w:val="1"/>
                <w:color w:val="auto"/>
              </w:rPr>
            </w:pPr>
          </w:p>
        </w:tc>
      </w:tr>
      <w:tr>
        <w:trPr>
          <w:trHeight w:val="152"/>
        </w:trPr>
        <w:tc>
          <w:tcPr>
            <w:tcW w:w="1840" w:type="dxa"/>
            <w:vAlign w:val="bottom"/>
          </w:tcPr>
          <w:p>
            <w:pPr>
              <w:ind w:left="180"/>
              <w:spacing w:after="0" w:line="152" w:lineRule="exact"/>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15,552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11,757</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13,177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18,567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19,035</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14,916</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16,890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25,293</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840" w:type="dxa"/>
            <w:vAlign w:val="bottom"/>
            <w:shd w:val="clear" w:color="auto" w:fill="CCEEFF"/>
          </w:tcPr>
          <w:p>
            <w:pPr>
              <w:ind w:left="180"/>
              <w:spacing w:after="0" w:line="123" w:lineRule="exact"/>
              <w:rPr>
                <w:sz w:val="20"/>
                <w:szCs w:val="20"/>
                <w:color w:val="auto"/>
              </w:rPr>
            </w:pPr>
            <w:r>
              <w:rPr>
                <w:rFonts w:ascii="Times New Roman" w:cs="Times New Roman" w:eastAsia="Times New Roman" w:hAnsi="Times New Roman"/>
                <w:sz w:val="14"/>
                <w:szCs w:val="14"/>
                <w:color w:val="auto"/>
              </w:rPr>
              <w:t>Selling, general and</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320"/>
              <w:spacing w:after="0" w:line="145" w:lineRule="exact"/>
              <w:rPr>
                <w:sz w:val="20"/>
                <w:szCs w:val="20"/>
                <w:color w:val="auto"/>
              </w:rPr>
            </w:pPr>
            <w:r>
              <w:rPr>
                <w:rFonts w:ascii="Times New Roman" w:cs="Times New Roman" w:eastAsia="Times New Roman" w:hAnsi="Times New Roman"/>
                <w:sz w:val="14"/>
                <w:szCs w:val="14"/>
                <w:color w:val="auto"/>
              </w:rPr>
              <w:t>administrative</w:t>
            </w:r>
          </w:p>
        </w:tc>
        <w:tc>
          <w:tcPr>
            <w:tcW w:w="2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11,655</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12,558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12,913</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15,221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14,806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16,413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17,154</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expenses</w:t>
            </w: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40" w:type="dxa"/>
            <w:vAlign w:val="bottom"/>
          </w:tcPr>
          <w:p>
            <w:pPr>
              <w:ind w:left="180"/>
              <w:spacing w:after="0" w:line="152" w:lineRule="exact"/>
              <w:rPr>
                <w:sz w:val="20"/>
                <w:szCs w:val="20"/>
                <w:color w:val="auto"/>
              </w:rPr>
            </w:pPr>
            <w:r>
              <w:rPr>
                <w:rFonts w:ascii="Times New Roman" w:cs="Times New Roman" w:eastAsia="Times New Roman" w:hAnsi="Times New Roman"/>
                <w:sz w:val="14"/>
                <w:szCs w:val="14"/>
                <w:color w:val="auto"/>
              </w:rPr>
              <w:t>Income from operations</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3,833</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619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5,654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3,814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110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477</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8,139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57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160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248</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173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176</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208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
        </w:trPr>
        <w:tc>
          <w:tcPr>
            <w:tcW w:w="1840" w:type="dxa"/>
            <w:vAlign w:val="bottom"/>
            <w:vMerge w:val="restart"/>
          </w:tcPr>
          <w:p>
            <w:pPr>
              <w:ind w:left="180"/>
              <w:spacing w:after="0" w:line="149" w:lineRule="exact"/>
              <w:rPr>
                <w:sz w:val="20"/>
                <w:szCs w:val="20"/>
                <w:color w:val="auto"/>
              </w:rPr>
            </w:pPr>
            <w:r>
              <w:rPr>
                <w:rFonts w:ascii="Times New Roman" w:cs="Times New Roman" w:eastAsia="Times New Roman" w:hAnsi="Times New Roman"/>
                <w:sz w:val="14"/>
                <w:szCs w:val="14"/>
                <w:color w:val="auto"/>
              </w:rPr>
              <w:t>Earnings (loss) before</w:t>
            </w: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8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459</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5,406</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3,641</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(66)</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269</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7,964</w:t>
            </w:r>
          </w:p>
        </w:tc>
        <w:tc>
          <w:tcPr>
            <w:tcW w:w="0" w:type="dxa"/>
            <w:vAlign w:val="bottom"/>
          </w:tcPr>
          <w:p>
            <w:pPr>
              <w:spacing w:after="0"/>
              <w:rPr>
                <w:sz w:val="1"/>
                <w:szCs w:val="1"/>
                <w:color w:val="auto"/>
              </w:rPr>
            </w:pPr>
          </w:p>
        </w:tc>
      </w:tr>
      <w:tr>
        <w:trPr>
          <w:trHeight w:val="168"/>
        </w:trPr>
        <w:tc>
          <w:tcPr>
            <w:tcW w:w="1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840" w:type="dxa"/>
            <w:vAlign w:val="bottom"/>
            <w:shd w:val="clear" w:color="auto" w:fill="CCEEFF"/>
          </w:tcPr>
          <w:p>
            <w:pPr>
              <w:ind w:left="180"/>
              <w:spacing w:after="0" w:line="123" w:lineRule="exact"/>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1,459</w:t>
            </w: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177</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2,090</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1,402</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104</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3,070</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(benefit)</w:t>
            </w:r>
          </w:p>
        </w:tc>
        <w:tc>
          <w:tcPr>
            <w:tcW w:w="2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840" w:type="dxa"/>
            <w:vAlign w:val="bottom"/>
          </w:tcPr>
          <w:p>
            <w:pPr>
              <w:ind w:left="180"/>
              <w:spacing w:after="0" w:line="152"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2,317</w:t>
            </w:r>
          </w:p>
        </w:tc>
        <w:tc>
          <w:tcPr>
            <w:tcW w:w="180" w:type="dxa"/>
            <w:vAlign w:val="bottom"/>
          </w:tcPr>
          <w:p>
            <w:pPr>
              <w:spacing w:after="0"/>
              <w:rPr>
                <w:sz w:val="13"/>
                <w:szCs w:val="13"/>
                <w:color w:val="auto"/>
              </w:rPr>
            </w:pPr>
          </w:p>
        </w:tc>
        <w:tc>
          <w:tcPr>
            <w:tcW w:w="46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3"/>
                <w:szCs w:val="13"/>
                <w:color w:val="auto"/>
              </w:rPr>
            </w:pPr>
          </w:p>
        </w:tc>
        <w:tc>
          <w:tcPr>
            <w:tcW w:w="46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282</w:t>
            </w:r>
          </w:p>
        </w:tc>
        <w:tc>
          <w:tcPr>
            <w:tcW w:w="180" w:type="dxa"/>
            <w:vAlign w:val="bottom"/>
          </w:tcPr>
          <w:p>
            <w:pPr>
              <w:spacing w:after="0"/>
              <w:rPr>
                <w:sz w:val="13"/>
                <w:szCs w:val="13"/>
                <w:color w:val="auto"/>
              </w:rPr>
            </w:pPr>
          </w:p>
        </w:tc>
        <w:tc>
          <w:tcPr>
            <w:tcW w:w="4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3,317</w:t>
            </w:r>
          </w:p>
        </w:tc>
        <w:tc>
          <w:tcPr>
            <w:tcW w:w="140" w:type="dxa"/>
            <w:vAlign w:val="bottom"/>
          </w:tcPr>
          <w:p>
            <w:pPr>
              <w:spacing w:after="0"/>
              <w:rPr>
                <w:sz w:val="13"/>
                <w:szCs w:val="13"/>
                <w:color w:val="auto"/>
              </w:rPr>
            </w:pPr>
          </w:p>
        </w:tc>
        <w:tc>
          <w:tcPr>
            <w:tcW w:w="4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2,239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140" w:type="dxa"/>
            <w:vAlign w:val="bottom"/>
          </w:tcPr>
          <w:p>
            <w:pPr>
              <w:spacing w:after="0"/>
              <w:rPr>
                <w:sz w:val="13"/>
                <w:szCs w:val="13"/>
                <w:color w:val="auto"/>
              </w:rPr>
            </w:pPr>
          </w:p>
        </w:tc>
        <w:tc>
          <w:tcPr>
            <w:tcW w:w="42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165</w:t>
            </w:r>
          </w:p>
        </w:tc>
        <w:tc>
          <w:tcPr>
            <w:tcW w:w="140" w:type="dxa"/>
            <w:vAlign w:val="bottom"/>
          </w:tcPr>
          <w:p>
            <w:pPr>
              <w:spacing w:after="0"/>
              <w:rPr>
                <w:sz w:val="13"/>
                <w:szCs w:val="13"/>
                <w:color w:val="auto"/>
              </w:rPr>
            </w:pPr>
          </w:p>
        </w:tc>
        <w:tc>
          <w:tcPr>
            <w:tcW w:w="400" w:type="dxa"/>
            <w:vAlign w:val="bottom"/>
            <w:gridSpan w:val="2"/>
          </w:tcPr>
          <w:p>
            <w:pPr>
              <w:jc w:val="right"/>
              <w:spacing w:after="0" w:line="15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52" w:lineRule="exact"/>
              <w:rPr>
                <w:sz w:val="20"/>
                <w:szCs w:val="20"/>
                <w:color w:val="auto"/>
              </w:rPr>
            </w:pPr>
            <w:r>
              <w:rPr>
                <w:rFonts w:ascii="Times New Roman" w:cs="Times New Roman" w:eastAsia="Times New Roman" w:hAnsi="Times New Roman"/>
                <w:sz w:val="14"/>
                <w:szCs w:val="14"/>
                <w:color w:val="auto"/>
              </w:rPr>
              <w:t>4,894</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840" w:type="dxa"/>
            <w:vAlign w:val="bottom"/>
            <w:shd w:val="clear" w:color="auto" w:fill="CCEEFF"/>
          </w:tcPr>
          <w:p>
            <w:pPr>
              <w:ind w:left="180"/>
              <w:spacing w:after="0" w:line="123" w:lineRule="exact"/>
              <w:rPr>
                <w:sz w:val="20"/>
                <w:szCs w:val="20"/>
                <w:color w:val="auto"/>
              </w:rPr>
            </w:pPr>
            <w:r>
              <w:rPr>
                <w:rFonts w:ascii="Times New Roman" w:cs="Times New Roman" w:eastAsia="Times New Roman" w:hAnsi="Times New Roman"/>
                <w:sz w:val="14"/>
                <w:szCs w:val="14"/>
                <w:color w:val="auto"/>
              </w:rPr>
              <w:t>Net income per common</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share:</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84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0.24</w:t>
            </w:r>
          </w:p>
        </w:tc>
        <w:tc>
          <w:tcPr>
            <w:tcW w:w="4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(0.01)</w:t>
            </w:r>
          </w:p>
        </w:tc>
        <w:tc>
          <w:tcPr>
            <w:tcW w:w="4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0.03</w:t>
            </w:r>
          </w:p>
        </w:tc>
        <w:tc>
          <w:tcPr>
            <w:tcW w:w="4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0.36</w:t>
            </w:r>
          </w:p>
        </w:tc>
        <w:tc>
          <w:tcPr>
            <w:tcW w:w="4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0.24</w:t>
            </w:r>
          </w:p>
        </w:tc>
        <w:tc>
          <w:tcPr>
            <w:tcW w:w="200" w:type="dxa"/>
            <w:vAlign w:val="bottom"/>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(0.00)</w:t>
            </w:r>
          </w:p>
        </w:tc>
        <w:tc>
          <w:tcPr>
            <w:tcW w:w="4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0.02</w:t>
            </w:r>
          </w:p>
        </w:tc>
        <w:tc>
          <w:tcPr>
            <w:tcW w:w="40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0.53</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0.21</w:t>
            </w:r>
          </w:p>
        </w:tc>
        <w:tc>
          <w:tcPr>
            <w:tcW w:w="4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(0.00)</w:t>
            </w:r>
          </w:p>
        </w:tc>
        <w:tc>
          <w:tcPr>
            <w:tcW w:w="4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0.03</w:t>
            </w:r>
          </w:p>
        </w:tc>
        <w:tc>
          <w:tcPr>
            <w:tcW w:w="4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0.31</w:t>
            </w:r>
          </w:p>
        </w:tc>
        <w:tc>
          <w:tcPr>
            <w:tcW w:w="4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0.21</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rPr>
              <w:t>(0.00)</w:t>
            </w:r>
          </w:p>
        </w:tc>
        <w:tc>
          <w:tcPr>
            <w:tcW w:w="4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0.02</w:t>
            </w:r>
          </w:p>
        </w:tc>
        <w:tc>
          <w:tcPr>
            <w:tcW w:w="40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0.45</w:t>
            </w:r>
          </w:p>
        </w:tc>
        <w:tc>
          <w:tcPr>
            <w:tcW w:w="0" w:type="dxa"/>
            <w:vAlign w:val="bottom"/>
          </w:tcPr>
          <w:p>
            <w:pPr>
              <w:spacing w:after="0"/>
              <w:rPr>
                <w:sz w:val="1"/>
                <w:szCs w:val="1"/>
                <w:color w:val="auto"/>
              </w:rPr>
            </w:pPr>
          </w:p>
        </w:tc>
      </w:tr>
      <w:tr>
        <w:trPr>
          <w:trHeight w:val="123"/>
        </w:trPr>
        <w:tc>
          <w:tcPr>
            <w:tcW w:w="1840" w:type="dxa"/>
            <w:vAlign w:val="bottom"/>
          </w:tcPr>
          <w:p>
            <w:pPr>
              <w:ind w:left="180"/>
              <w:spacing w:after="0" w:line="123" w:lineRule="exact"/>
              <w:rPr>
                <w:sz w:val="20"/>
                <w:szCs w:val="20"/>
                <w:color w:val="auto"/>
              </w:rPr>
            </w:pPr>
            <w:r>
              <w:rPr>
                <w:rFonts w:ascii="Times New Roman" w:cs="Times New Roman" w:eastAsia="Times New Roman" w:hAnsi="Times New Roman"/>
                <w:sz w:val="14"/>
                <w:szCs w:val="14"/>
                <w:color w:val="auto"/>
              </w:rPr>
              <w:t>Weighted average shares</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840" w:type="dxa"/>
            <w:vAlign w:val="bottom"/>
          </w:tcPr>
          <w:p>
            <w:pPr>
              <w:ind w:left="320"/>
              <w:spacing w:after="0" w:line="145" w:lineRule="exact"/>
              <w:rPr>
                <w:sz w:val="20"/>
                <w:szCs w:val="20"/>
                <w:color w:val="auto"/>
              </w:rPr>
            </w:pPr>
            <w:r>
              <w:rPr>
                <w:rFonts w:ascii="Times New Roman" w:cs="Times New Roman" w:eastAsia="Times New Roman" w:hAnsi="Times New Roman"/>
                <w:sz w:val="14"/>
                <w:szCs w:val="14"/>
                <w:color w:val="auto"/>
              </w:rPr>
              <w:t>used to compute net</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per share:</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420"/>
              <w:spacing w:after="0" w:line="145" w:lineRule="exact"/>
              <w:rPr>
                <w:sz w:val="20"/>
                <w:szCs w:val="20"/>
                <w:color w:val="auto"/>
              </w:rPr>
            </w:pPr>
            <w:r>
              <w:rPr>
                <w:rFonts w:ascii="Times New Roman" w:cs="Times New Roman" w:eastAsia="Times New Roman" w:hAnsi="Times New Roman"/>
                <w:sz w:val="14"/>
                <w:szCs w:val="14"/>
                <w:color w:val="auto"/>
              </w:rPr>
              <w:t>Basic</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9,295,000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9,295,000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9,295,000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9,295,000</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9,305,400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9,310,600</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9,300,200</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9,295,000</w:t>
            </w:r>
          </w:p>
        </w:tc>
        <w:tc>
          <w:tcPr>
            <w:tcW w:w="0" w:type="dxa"/>
            <w:vAlign w:val="bottom"/>
          </w:tcPr>
          <w:p>
            <w:pPr>
              <w:spacing w:after="0"/>
              <w:rPr>
                <w:sz w:val="1"/>
                <w:szCs w:val="1"/>
                <w:color w:val="auto"/>
              </w:rPr>
            </w:pPr>
          </w:p>
        </w:tc>
      </w:tr>
      <w:tr>
        <w:trPr>
          <w:trHeight w:val="146"/>
        </w:trPr>
        <w:tc>
          <w:tcPr>
            <w:tcW w:w="1840" w:type="dxa"/>
            <w:vAlign w:val="bottom"/>
          </w:tcPr>
          <w:p>
            <w:pPr>
              <w:ind w:left="420"/>
              <w:spacing w:after="0" w:line="145" w:lineRule="exact"/>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98"/>
              </w:rPr>
              <w:t>10,814,502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w w:val="95"/>
              </w:rPr>
              <w:t>10,794,447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w w:val="98"/>
              </w:rPr>
              <w:t>10,810,836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w w:val="95"/>
              </w:rPr>
              <w:t>10,834,839</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w w:val="98"/>
              </w:rPr>
              <w:t>10,867,016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w w:val="98"/>
              </w:rPr>
              <w:t>10,875,182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w w:val="98"/>
              </w:rPr>
              <w:t>10,864,496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w w:val="98"/>
              </w:rPr>
              <w:t>10,902,736</w:t>
            </w:r>
          </w:p>
        </w:tc>
        <w:tc>
          <w:tcPr>
            <w:tcW w:w="0" w:type="dxa"/>
            <w:vAlign w:val="bottom"/>
          </w:tcPr>
          <w:p>
            <w:pPr>
              <w:spacing w:after="0"/>
              <w:rPr>
                <w:sz w:val="1"/>
                <w:szCs w:val="1"/>
                <w:color w:val="auto"/>
              </w:rPr>
            </w:pPr>
          </w:p>
        </w:tc>
      </w:tr>
      <w:tr>
        <w:trPr>
          <w:trHeight w:val="121"/>
        </w:trPr>
        <w:tc>
          <w:tcPr>
            <w:tcW w:w="18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4"/>
                <w:szCs w:val="14"/>
                <w:b w:val="1"/>
                <w:bCs w:val="1"/>
                <w:color w:val="auto"/>
              </w:rPr>
              <w:t>Additional Operating</w:t>
            </w: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Data:</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8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Number of stores:</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840" w:type="dxa"/>
            <w:vAlign w:val="bottom"/>
            <w:shd w:val="clear" w:color="auto" w:fill="CCEEFF"/>
          </w:tcPr>
          <w:p>
            <w:pPr>
              <w:ind w:left="180"/>
              <w:spacing w:after="0" w:line="123" w:lineRule="exact"/>
              <w:rPr>
                <w:sz w:val="20"/>
                <w:szCs w:val="20"/>
                <w:color w:val="auto"/>
              </w:rPr>
            </w:pPr>
            <w:r>
              <w:rPr>
                <w:rFonts w:ascii="Times New Roman" w:cs="Times New Roman" w:eastAsia="Times New Roman" w:hAnsi="Times New Roman"/>
                <w:sz w:val="14"/>
                <w:szCs w:val="14"/>
                <w:color w:val="auto"/>
              </w:rPr>
              <w:t>Open, beginning of</w:t>
            </w:r>
          </w:p>
        </w:tc>
        <w:tc>
          <w:tcPr>
            <w:tcW w:w="2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147</w:t>
            </w: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154</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159</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161</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178</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quarter</w:t>
            </w:r>
          </w:p>
        </w:tc>
        <w:tc>
          <w:tcPr>
            <w:tcW w:w="2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840" w:type="dxa"/>
            <w:vAlign w:val="bottom"/>
          </w:tcPr>
          <w:p>
            <w:pPr>
              <w:ind w:left="180"/>
              <w:spacing w:after="0" w:line="145" w:lineRule="exact"/>
              <w:rPr>
                <w:sz w:val="20"/>
                <w:szCs w:val="20"/>
                <w:color w:val="auto"/>
              </w:rPr>
            </w:pPr>
            <w:r>
              <w:rPr>
                <w:rFonts w:ascii="Times New Roman" w:cs="Times New Roman" w:eastAsia="Times New Roman" w:hAnsi="Times New Roman"/>
                <w:sz w:val="14"/>
                <w:szCs w:val="14"/>
                <w:color w:val="auto"/>
              </w:rPr>
              <w:t>Opened during quarter</w:t>
            </w:r>
          </w:p>
        </w:tc>
        <w:tc>
          <w:tcPr>
            <w:tcW w:w="200" w:type="dxa"/>
            <w:vAlign w:val="bottom"/>
          </w:tcPr>
          <w:p>
            <w:pPr>
              <w:spacing w:after="0"/>
              <w:rPr>
                <w:sz w:val="12"/>
                <w:szCs w:val="12"/>
                <w:color w:val="auto"/>
              </w:rPr>
            </w:pPr>
          </w:p>
        </w:tc>
        <w:tc>
          <w:tcPr>
            <w:tcW w:w="6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13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6"/>
        </w:trPr>
        <w:tc>
          <w:tcPr>
            <w:tcW w:w="184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Closed during quarter</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840" w:type="dxa"/>
            <w:vAlign w:val="bottom"/>
            <w:vMerge w:val="restart"/>
          </w:tcPr>
          <w:p>
            <w:pPr>
              <w:ind w:left="180"/>
              <w:spacing w:after="0" w:line="149" w:lineRule="exact"/>
              <w:rPr>
                <w:sz w:val="20"/>
                <w:szCs w:val="20"/>
                <w:color w:val="auto"/>
              </w:rPr>
            </w:pPr>
            <w:r>
              <w:rPr>
                <w:rFonts w:ascii="Times New Roman" w:cs="Times New Roman" w:eastAsia="Times New Roman" w:hAnsi="Times New Roman"/>
                <w:sz w:val="14"/>
                <w:szCs w:val="14"/>
                <w:color w:val="auto"/>
              </w:rPr>
              <w:t>Total open at end of</w:t>
            </w: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154</w:t>
            </w: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159</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178</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195</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8"/>
        </w:trPr>
        <w:tc>
          <w:tcPr>
            <w:tcW w:w="18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period</w:t>
            </w:r>
          </w:p>
        </w:tc>
        <w:tc>
          <w:tcPr>
            <w:tcW w:w="2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840" w:type="dxa"/>
            <w:vAlign w:val="bottom"/>
            <w:shd w:val="clear" w:color="auto" w:fill="CCEEFF"/>
          </w:tcPr>
          <w:p>
            <w:pPr>
              <w:ind w:left="180"/>
              <w:spacing w:after="0" w:line="123" w:lineRule="exact"/>
              <w:rPr>
                <w:sz w:val="20"/>
                <w:szCs w:val="20"/>
                <w:color w:val="auto"/>
              </w:rPr>
            </w:pPr>
            <w:r>
              <w:rPr>
                <w:rFonts w:ascii="Times New Roman" w:cs="Times New Roman" w:eastAsia="Times New Roman" w:hAnsi="Times New Roman"/>
                <w:sz w:val="14"/>
                <w:szCs w:val="14"/>
                <w:color w:val="auto"/>
              </w:rPr>
              <w:t>Comparable store sales</w:t>
            </w:r>
          </w:p>
        </w:tc>
        <w:tc>
          <w:tcPr>
            <w:tcW w:w="2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5.6%</w:t>
            </w:r>
          </w:p>
        </w:tc>
        <w:tc>
          <w:tcPr>
            <w:tcW w:w="2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9.6%</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5.2%</w:t>
            </w: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3.5%</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0.3%</w:t>
            </w: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68"/>
        </w:trPr>
        <w:tc>
          <w:tcPr>
            <w:tcW w:w="1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increase</w:t>
            </w:r>
          </w:p>
        </w:tc>
        <w:tc>
          <w:tcPr>
            <w:tcW w:w="2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cash requirements are primarily for working capital, construction of new stores, remodeling of existing stores and the improvement of our information systems. Historically, these cash requirements have been met from cash flow from operations, short-term trade credit and borrowings under our revolving lines of credit, long-term debt and capital leases.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p>
      <w:pPr>
        <w:spacing w:after="0" w:line="60"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8"/>
          <w:szCs w:val="18"/>
          <w:color w:val="auto"/>
        </w:rPr>
        <w:t>For fiscal 2004, cash and cash equivalents increased by $1.8 million to $11.8 million from $10.0 million at the end of fiscal 2003. The primary contributor to the increase in cash and cash equivalents was $12.7 million provided by operating activities, partially offset by $8.6 million used in investing activities, primarily to open new stores, and $2.2 million used in financing activities, primarily to make dividend payments to holders of mandatory redeemable stock and repayment on long-term debt and capital lease obligations.</w:t>
      </w:r>
    </w:p>
    <w:p>
      <w:pPr>
        <w:spacing w:after="0" w:line="27"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For fiscal 2003, cash and cash equivalents increased by $4.2 million to $10.0 million from $5.8 million at the end of fiscal 2002. The primary contributor to the increase in cash and cash equivalents was $11.2 million of cash provided by operations, partially offset by $6.1 million used in investing activities, primarily to open new stores.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For fiscal 2002, cash and cash equivalents increased by $1.7 million to $5.8 million from $4.1 million at the end of fiscal 2001. The primary contributor to the increase in cash and cash equivalents was $10.5 million of cash provided by operations, partially offset by $5.9 million used in investing activities, primarily to open new stores, and $2.8 million from cash used in financing activities, primarily to pay down our revolving lines of credit.</w:t>
      </w:r>
    </w:p>
    <w:p>
      <w:pPr>
        <w:spacing w:after="0" w:line="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Net cash provided by operating activities was $12.7 million for fiscal 2004 and $11.2 million for fiscal 2003. Net cash provided by operating activities increased in fiscal 2004 attributable to net income of $7.3 million, depreciation, amortization and other non-cash charges of $5.2 million and approximately $155,000 provided by net operating assets and liabilities. Cash flow from net operating assets and liabilities in fiscal 2004 was largely attributable to the investment in inventory, net of accounts payable, offset by the increase in accrued expenses and income tax payable. In fiscal 2004 this change in net inventory position (inventory less accounts payable) resulted in a use of cash of $4.9 million. The change in net inventory position in fiscal 2004 reflects the opening of 40 stores and an increase in inventory levels in preparation for a mid-March Easter season in fiscal 2005. Accrued expenses increased $2.8 million due to additional accruals for rent and landlord allowances, sales taxes, freight, professional fees and other expenses. Income tax payable increased $2.1 million due to our change of method of paying installments on income tax.</w:t>
      </w:r>
    </w:p>
    <w:p>
      <w:pPr>
        <w:spacing w:after="0" w:line="28"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Net cash used in investing activities was $8.6 million for fiscal 2004, and $6.1 million for fiscal 2003. Net cash used in investing activities increased in fiscal 2004 compared to fiscal 2003 because we purchased additional property and equipment to open 40 new stores compared to 25 new stores in the prior year. Net cash used in investing activities was $6.1 million for fiscal 2003, and $5.9 million for fiscal 2002. Net cash used in investing activities increased in fiscal 2003 compared to fiscal 2002 because we purchased additional property and equipment to open 25 new stores compared to 16 new stores in the prior year.</w:t>
      </w:r>
    </w:p>
    <w:p>
      <w:pPr>
        <w:spacing w:after="0" w:line="1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anticipate that our capital expenditures will increase to approximately $10 million for fiscal 2005 and $25 to $27 million for fiscal 2006. Fiscal 2005 spending relates to the purchase of property and equipment for the 40 stores we plan to open in fiscal 2005, including the twelve new stores that we have opened in fiscal 2005 as of April 22. The increase in fiscal 2006 relates to the planned purchase or construction of a new distribution center and the purchase of property and equipment for the 40 stores we plan to open in fiscal 2006. We plan to finance these capital expenditures over the next two fiscal years with cash flow from operations and a portion of the net proceeds from this offering.</w:t>
      </w:r>
    </w:p>
    <w:p>
      <w:pPr>
        <w:spacing w:after="0" w:line="2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Net cash used in financing activities was $2.2 million for fiscal 2004 and approximately $942,000 for fiscal 2003. Net cash used in financing activities for fiscal 2004 was attributable to $1.4 million in payments on preferred stock dividends and approximately $831,000 for payments on capital lease obligations and mortgage payments on our Fahm Street facility. Net cash used in financing activities was approximately $942,000 for fiscal 2003 and $2.8 million for fiscal 2002. Net cash used in financing activities for fiscal 2003 was attributable to payments on capital lease obligations and mortgage payments on our Fahm Street facility. Net cash used in financing activities for fiscal 2002 was primarily attributable to $3.7 million in repayments of our revolving line of credit and approximately $742,000 in payments on capital lease obligations, partially offset by $1.7 million in proceeds from the mortgage on our Fahm Street facility. Until required for other purposes, we maintain our cash and cash equivalents in deposit accounts or highly liquid investments with remaining maturities of 90 days or less at the time of purchase.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Sources, Requirements and Contractual Cash Requirements and Commitments</w:t>
      </w:r>
    </w:p>
    <w:p>
      <w:pPr>
        <w:spacing w:after="0" w:line="6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Our principal sources of liquidity consist of: (i) cash and cash equivalents (which equaled $11.8 million as of January 29, 2005); (ii) a secured line of credit with a maximum available borrowing of $25.0 million subject to our inventory levels (with availability of $23.5 million and none drawn down as of January 29, 2005); (iii) an unsecured line of credit with a maximum available borrowing of $3.0 million subject to our inventory levels (with availability of $3.0 million and none drawn down as of January 29, 2005); (iv) cash generated from operations on an ongoing basis as we sell our merchandise inventory; (v) trade credit; and</w:t>
      </w:r>
    </w:p>
    <w:p>
      <w:pPr>
        <w:spacing w:after="0" w:line="1" w:lineRule="exact"/>
        <w:rPr>
          <w:sz w:val="20"/>
          <w:szCs w:val="20"/>
          <w:color w:val="auto"/>
        </w:rPr>
      </w:pPr>
    </w:p>
    <w:p>
      <w:pPr>
        <w:ind w:right="280" w:firstLine="6"/>
        <w:spacing w:after="0" w:line="248" w:lineRule="auto"/>
        <w:tabs>
          <w:tab w:leader="none" w:pos="29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the net proceeds from this offering after the redemption of our Series A Preferred Stock and the repayment of outstanding indebtedness. Short-term trade credit represents a significant source of financing for our inventory purchases. Trade credit arises from customary payment terms and trade practices with our vendors. Our management regularly reviews the adequacy of credit available to us from our vendors.</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our principal liquidity requirements have been to meet our working capital and capital expenditure needs.</w:t>
      </w:r>
    </w:p>
    <w:p>
      <w:pPr>
        <w:spacing w:after="0" w:line="11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believe that our sources of liquidity will be sufficient to fund our operations and anticipated capital expenditures for at least the next 24 months. Our ability to fund these requirements and comply with the financial covenants under our secured lines of credit will depend on our cash flow, which in turn is subject to prevailing economic conditions and financial, business and other factors, some of which are beyond our control. In addition, as part of our strategy, we intend to continue to open new stores, which will require additional capital. We cannot assure you that additional capital or other sources of liquidity will be available on terms acceptable to us, or at all.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aggregate information about our contractual obligations as of January 29, 2005 and the periods in which payments are due: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126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11"/>
                <w:szCs w:val="11"/>
                <w:color w:val="auto"/>
              </w:rPr>
            </w:pPr>
          </w:p>
        </w:tc>
        <w:tc>
          <w:tcPr>
            <w:tcW w:w="164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36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300" w:type="dxa"/>
            <w:vAlign w:val="bottom"/>
          </w:tcPr>
          <w:p>
            <w:pPr>
              <w:spacing w:after="0"/>
              <w:rPr>
                <w:sz w:val="11"/>
                <w:szCs w:val="11"/>
                <w:color w:val="auto"/>
              </w:rPr>
            </w:pPr>
          </w:p>
        </w:tc>
        <w:tc>
          <w:tcPr>
            <w:tcW w:w="1080" w:type="dxa"/>
            <w:vAlign w:val="bottom"/>
            <w:gridSpan w:val="3"/>
          </w:tcPr>
          <w:p>
            <w:pPr>
              <w:ind w:left="220"/>
              <w:spacing w:after="0" w:line="127"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30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Borders>
              <w:top w:val="single" w:sz="8" w:color="auto"/>
            </w:tcBorders>
            <w:gridSpan w:val="3"/>
          </w:tcPr>
          <w:p>
            <w:pPr>
              <w:jc w:val="right"/>
              <w:ind w:right="320"/>
              <w:spacing w:after="0" w:line="152" w:lineRule="exact"/>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Preferred Stock</w:t>
            </w:r>
            <w:r>
              <w:rPr>
                <w:rFonts w:ascii="Times New Roman" w:cs="Times New Roman" w:eastAsia="Times New Roman" w:hAnsi="Times New Roman"/>
                <w:sz w:val="14"/>
                <w:szCs w:val="14"/>
                <w:color w:val="auto"/>
              </w:rPr>
              <w:t>(1)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5,364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5,364</w:t>
            </w:r>
          </w:p>
        </w:tc>
        <w:tc>
          <w:tcPr>
            <w:tcW w:w="70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r>
              <w:rPr>
                <w:rFonts w:ascii="Times New Roman" w:cs="Times New Roman" w:eastAsia="Times New Roman" w:hAnsi="Times New Roman"/>
                <w:sz w:val="14"/>
                <w:szCs w:val="14"/>
                <w:color w:val="auto"/>
              </w:rPr>
              <w:t>(2)</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1,822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1,641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leases</w:t>
            </w:r>
          </w:p>
        </w:tc>
        <w:tc>
          <w:tcPr>
            <w:tcW w:w="4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1,528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14"/>
                <w:szCs w:val="14"/>
                <w:color w:val="auto"/>
              </w:rPr>
              <w:t>(3)</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2"/>
              </w:rPr>
              <w:t>29,262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8,224</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2"/>
              </w:rPr>
              <w:t>13,351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7,072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615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4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2"/>
              </w:rPr>
              <w:t>39,237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6"/>
              </w:rPr>
              <w:t>39,237</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w:t>
            </w:r>
            <w:r>
              <w:rPr>
                <w:rFonts w:ascii="Times New Roman" w:cs="Times New Roman" w:eastAsia="Times New Roman" w:hAnsi="Times New Roman"/>
                <w:sz w:val="14"/>
                <w:szCs w:val="14"/>
                <w:color w:val="auto"/>
              </w:rPr>
              <w:t>(4)</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960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480</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2"/>
              </w:rPr>
              <w:t>78,173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48,683</w:t>
            </w:r>
          </w:p>
        </w:tc>
        <w:tc>
          <w:tcPr>
            <w:tcW w:w="7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2"/>
              </w:rPr>
              <w:t>16,199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2"/>
              </w:rPr>
              <w:t>12,676</w:t>
            </w:r>
          </w:p>
        </w:tc>
        <w:tc>
          <w:tcPr>
            <w:tcW w:w="7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240" w:right="140" w:hanging="234"/>
        <w:spacing w:after="0" w:line="235" w:lineRule="auto"/>
        <w:tabs>
          <w:tab w:leader="none" w:pos="2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Includes Series A Preferred Stock of $3.6 million, accrued dividends of approximately $380,000 as of January 29, 2005 and dividends of $1.4 million accruing through maturity in April 2009. The board of directors approved a resolution whereby we began making payments of approximately $500,000 per quarter beginning in the second quarter of fiscal 2004. Our Series A Preferred Stock will be redeemed using a portion of the net proceeds from this offering.</w:t>
      </w:r>
    </w:p>
    <w:p>
      <w:pPr>
        <w:spacing w:after="0" w:line="29" w:lineRule="exact"/>
        <w:rPr>
          <w:rFonts w:ascii="Times New Roman" w:cs="Times New Roman" w:eastAsia="Times New Roman" w:hAnsi="Times New Roman"/>
          <w:sz w:val="12"/>
          <w:szCs w:val="12"/>
          <w:color w:val="auto"/>
        </w:rPr>
      </w:pPr>
    </w:p>
    <w:p>
      <w:pPr>
        <w:ind w:left="240" w:hanging="234"/>
        <w:spacing w:after="0"/>
        <w:tabs>
          <w:tab w:leader="none" w:pos="2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outstanding long-term debt will be repaid using a portion of the net proceeds from this offering.</w:t>
      </w:r>
    </w:p>
    <w:p>
      <w:pPr>
        <w:spacing w:after="0" w:line="50" w:lineRule="exact"/>
        <w:rPr>
          <w:rFonts w:ascii="Times New Roman" w:cs="Times New Roman" w:eastAsia="Times New Roman" w:hAnsi="Times New Roman"/>
          <w:sz w:val="12"/>
          <w:szCs w:val="12"/>
          <w:color w:val="auto"/>
        </w:rPr>
      </w:pPr>
    </w:p>
    <w:p>
      <w:pPr>
        <w:ind w:left="240" w:right="300" w:hanging="234"/>
        <w:spacing w:after="0" w:line="250" w:lineRule="auto"/>
        <w:tabs>
          <w:tab w:leader="none" w:pos="2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fixed minimum rentals in stores and does not include incremental rents which are computed as a percentage of net sales. For example, in fiscal 2004 incremental percentage rent was approximately $723,000, which represented 8.6% of total rent expense.</w:t>
      </w:r>
    </w:p>
    <w:p>
      <w:pPr>
        <w:spacing w:after="0" w:line="21" w:lineRule="exact"/>
        <w:rPr>
          <w:rFonts w:ascii="Times New Roman" w:cs="Times New Roman" w:eastAsia="Times New Roman" w:hAnsi="Times New Roman"/>
          <w:sz w:val="12"/>
          <w:szCs w:val="12"/>
          <w:color w:val="auto"/>
        </w:rPr>
      </w:pPr>
    </w:p>
    <w:p>
      <w:pPr>
        <w:ind w:left="240" w:right="20" w:hanging="234"/>
        <w:spacing w:after="0" w:line="235" w:lineRule="auto"/>
        <w:tabs>
          <w:tab w:leader="none" w:pos="2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minimum payments for the four year term of a management consulting agreement that is subject to automatic annual renewals unless terminated with 60 days notice by either party. Upon consummation of this offering, the parties shall terminate the consulting agreement and we will recognize an expense for a termination fee of $1.2 million. We are obligated to make such payment no later than December 31, 2005; accordingly, such payment will not be made from the proceeds of this offering.</w:t>
      </w:r>
    </w:p>
    <w:p>
      <w:pPr>
        <w:spacing w:after="0" w:line="7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We have a revolving line of credit secured by substantially all of our assets pursuant to which we pay customary fees. This secured line of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expires in April 2007. This secured line of credit provides for aggregate cash borrowings and the issuance of letters of credit up to the lesser of $25.0 million or our borrowing base (which was approximately $23.5 million at January 29, 2005), with a letter of credit sub-limit of $2.0 million. Borrowings under this secured line of credit bear interest at the prime rate plus a spread or LIBOR plus a spread, at our election, based on conditions in the credit agreement. As of January 29, 2005, we had no outstanding borrowings on the line of credit, and no outstanding letters of credit. Under the terms of the credit agreement, we are required to maintain a minimum tangible net worth.</w:t>
      </w:r>
    </w:p>
    <w:p>
      <w:pPr>
        <w:spacing w:after="0" w:line="79"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In September 2003, we entered into an annual unsecured revolving line of credit with Bank of America that was renewed in June 2004. The line of credit provides for aggregate cash borrowings up to $3.0 million to be used for general operating purposes. Borrowings under the credit agreement bear interest at LIBOR plus a spread. At January 29, 2005, there was no balance on this revolving line of credit.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borrow funds under these revolving lines of credit from time to time and subsequently repay such borrowings with available cash generated from operations.</w:t>
      </w:r>
    </w:p>
    <w:p>
      <w:pPr>
        <w:spacing w:after="0" w:line="120"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Capital Leases. </w:t>
      </w:r>
      <w:r>
        <w:rPr>
          <w:rFonts w:ascii="Times New Roman" w:cs="Times New Roman" w:eastAsia="Times New Roman" w:hAnsi="Times New Roman"/>
          <w:sz w:val="18"/>
          <w:szCs w:val="18"/>
          <w:color w:val="auto"/>
        </w:rPr>
        <w:t>We have capital lease obligations that financed the purchase of our computer equipment. At January 29, 2005, our capital lease obligations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 million. These obligations have maturity dates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500"/>
        <w:spacing w:after="0" w:line="271" w:lineRule="auto"/>
        <w:rPr>
          <w:sz w:val="20"/>
          <w:szCs w:val="20"/>
          <w:color w:val="auto"/>
        </w:rPr>
      </w:pPr>
      <w:r>
        <w:rPr>
          <w:rFonts w:ascii="Times New Roman" w:cs="Times New Roman" w:eastAsia="Times New Roman" w:hAnsi="Times New Roman"/>
          <w:sz w:val="18"/>
          <w:szCs w:val="18"/>
          <w:color w:val="auto"/>
        </w:rPr>
        <w:t>ranging from March 2005 to December 2007. The interest rates on these obligations range from 7.2% to 11.5%. All of these obligations are secured by the computer equipment.</w:t>
      </w:r>
    </w:p>
    <w:p>
      <w:pPr>
        <w:spacing w:after="0" w:line="60"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We lease our stores under operating leases, which generally have an initial term of five years with one five-year renewal option. The typical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store lease requires a combination of both fixed monthly rentals and rentals computed as percentage of net sales after a certain sales threshold has been met. Rental expense was $8.4 million for fiscal 2004 and $6.4 million for fiscal 2003 (including approximately $723,000 and $794,000 of percentage rent, respectively).</w:t>
      </w:r>
    </w:p>
    <w:p>
      <w:pPr>
        <w:spacing w:after="0" w:line="7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As of January 29, 2005, we had purchase obligations of $39.2 million, all of which were for less than one year. These purchase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consist of outstanding merchandise orders.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Other than the store operating leases described above, we do not have any off-balance sheet arrangements.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Stock Options</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As of January 29, 2005, we had outstanding vested options to purchase approximately 1,616,498 shares of common stock, at a weighted average exercise price of $0.67 per share, and outstanding unvested options to purchase 245,050 shares of common stock, at a weighted average price of $4.08 per share. The per share value of each share of common stock underlying the vested options, based on the difference between the exercise price per option and the estimated fair market value of the shares at the dates of the grant of the options (also referred to as intrinsic value), ranges from $0 to $0.77 per share. The average exercise price per share for the vested options is less than the assumed initial public offering price. The average exercise price per share for the unvested options is equal to the estimated fair market value of the shares at the date of grant but less than the assumed initial public offering price.</w:t>
      </w:r>
    </w:p>
    <w:p>
      <w:pPr>
        <w:spacing w:after="0" w:line="8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fair market values of the shares at the dates of grant were originally estimated by our board of directors, with input from management. We did not obtain contemporaneous valuations by an unrelated valuation specialist because we based our valuation on comparable private company market multiple analyses. We used a consistent formula based on our twelve-month rolling EBITDA, defined as earnings before taxes, interest, depreciation and amortization, multiplied by a private company multiple less outstanding debt.</w:t>
      </w:r>
    </w:p>
    <w:p>
      <w:pPr>
        <w:spacing w:after="0" w:line="80" w:lineRule="exact"/>
        <w:rPr>
          <w:sz w:val="20"/>
          <w:szCs w:val="20"/>
          <w:color w:val="auto"/>
        </w:rPr>
      </w:pPr>
    </w:p>
    <w:p>
      <w:pPr>
        <w:jc w:val="both"/>
        <w:ind w:right="420"/>
        <w:spacing w:after="0" w:line="270" w:lineRule="auto"/>
        <w:rPr>
          <w:sz w:val="20"/>
          <w:szCs w:val="20"/>
          <w:color w:val="auto"/>
        </w:rPr>
      </w:pPr>
      <w:r>
        <w:rPr>
          <w:rFonts w:ascii="Times New Roman" w:cs="Times New Roman" w:eastAsia="Times New Roman" w:hAnsi="Times New Roman"/>
          <w:sz w:val="17"/>
          <w:szCs w:val="17"/>
          <w:color w:val="auto"/>
        </w:rPr>
        <w:t>Factors that contributed to the difference in the fair market value of the grants and the assumed initial public offering price are (i) the liquidity discount of a private company relative to a public company average of 30%; (ii) the span of time between grant dates and the estimated time of an initial public offering;</w:t>
      </w:r>
    </w:p>
    <w:p>
      <w:pPr>
        <w:spacing w:after="0" w:line="1" w:lineRule="exact"/>
        <w:rPr>
          <w:sz w:val="20"/>
          <w:szCs w:val="20"/>
          <w:color w:val="auto"/>
        </w:rPr>
      </w:pPr>
    </w:p>
    <w:p>
      <w:pPr>
        <w:ind w:right="440" w:firstLine="6"/>
        <w:spacing w:after="0" w:line="247" w:lineRule="auto"/>
        <w:tabs>
          <w:tab w:leader="none" w:pos="3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company valuations are normally based on historical performance while a public company’s are based on future expected earnings; and (iv) the uncertainty of our future cash flow and earnings at the date of the grants. At January 29, 2005, our private entity valuation, based on our rolling EBITDA formula, was $9.31 per share, or a 28% discount to the assumed initial public offering price of $13.00 per share, which we believe is consistent with the appropriate “private entity liquidity discount.”</w:t>
      </w:r>
    </w:p>
    <w:p>
      <w:pPr>
        <w:spacing w:after="0" w:line="8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color w:val="auto"/>
        </w:rPr>
        <w:t>Based on an estimated initial public offering price of $13.00 per share the intrinsic value of the options outstanding at January 29, 2005 was $22.1 million, of which $19.9 million related to vested options and $2.2 million related to unvested options.</w:t>
      </w:r>
    </w:p>
    <w:p>
      <w:pPr>
        <w:spacing w:after="0" w:line="6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Our board of directors has authorized, effective and conditioned upon the consummation of this offering, awards for our management employees in the form of stock option grants. See “Management — 2005 Long Term Incentive Plan — Initial Grants.”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3"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580"/>
        <w:spacing w:after="0" w:line="271" w:lineRule="auto"/>
        <w:rPr>
          <w:sz w:val="20"/>
          <w:szCs w:val="20"/>
          <w:color w:val="auto"/>
        </w:rPr>
      </w:pPr>
      <w:r>
        <w:rPr>
          <w:rFonts w:ascii="Times New Roman" w:cs="Times New Roman" w:eastAsia="Times New Roman" w:hAnsi="Times New Roman"/>
          <w:sz w:val="18"/>
          <w:szCs w:val="18"/>
          <w:color w:val="auto"/>
        </w:rPr>
        <w:t>could differ from those estimates. We believe the following critical accounting policies describe the more significant judgments and estimates used in the preparation of our financial statements:</w:t>
      </w:r>
    </w:p>
    <w:p>
      <w:pPr>
        <w:spacing w:after="0" w:line="1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While our recognition of revenue is predominantly derived from routine retail transactions and does not involve significant judgment, revenue recognition represents an important accounting policy of ours. We recognize retail sales at the time the customer takes possession of the merchandise and purchases are paid for less an allowance for returns. We allow for returns up to 10 days after the date of sales and the estimate for returns is based on actual observed return activity 10 days after the period ends. Revenue from layaway sales is recognized when the customer has paid for and received the merchandise. However, revenue from the $2.00 service charge for participating in the program and from the $5.00 re-stocking fee, if charged as part of the layaway program, is recognized at the time of payment. All sales are from cash, check or major credit card company transactions.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Inventory is stated at the lower of cost (first-in, first-out basis) or market as determined by the retail inventory method less a provision for inventory shrinkage. Under the retail inventory method, the cost value of inventory and gross margins are determined by calculating a cost-to-retail ratio and applying it to the retail value of inventory. Inherent in the retail inventory calculation are certain significant management judgments and estimates including, among others, merchandise markups, markdowns and shrinkage, which impact the ending inventory valuation at cost as well as resulting gross margins. We estimate a shrinkage reserve for the period between the last physical count and the balance sheet date. The estimate for the shrinkage reserve can be affected by changes in actual shrinkage trends. We believe the first-in first-out retail inventory method results in an inventory valuation that is fairly stated. Many retailers have arrangements with vendors that provide for rebates and allowances under certain conditions, which ultimately affect the value of the inventory. We have not entered into such arrangements with our vendors.</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113"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color w:val="auto"/>
        </w:rPr>
        <w:t>We have a significant investment in property and equipment. Property and equipment are stated at cost. Equipment under capital leases is stated at the present value of minimum lease payments. Depreciation and amortization are computed using the straight-line method over the lesser of the estimated useful lives (primarily three to five years for computer equipment and furniture, fixtures and equipment, five years for leasehold improvements, and 15 years for buildings) of the related assets or the relevant lease term, whichever is shorter. Any reduction in these estimated useful lives would result in a higher annual depreciation expense for the related assets.</w:t>
      </w:r>
    </w:p>
    <w:p>
      <w:pPr>
        <w:spacing w:after="0" w:line="1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We continually evaluate whether events and changes in circumstances warrant revised estimates of the useful lives or recognition of an impairment loss for intangible assets. Future adverse changes in market and legal conditions, or poor operating results of underlying assets could result in losses or an inability to recover the carrying value of the intangible asset, thereby possibly requiring an impairment charge in the future. If facts and circumstances indicate that a long-lived asset, including property and equipment,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Impairment losses in the future are dependent on a number of factors such as site selection and general economic trends, and thus could be significantly different from historical results. To the extent our estimates for net sales, gross profit and store expenses are not realized, future assessments of recoverability could result in impairment charges.</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 xml:space="preserve">We apply the intrinsic-value-based method of accounting prescribed by Accounting Principles Board (APB) Opinion No. 25, </w:t>
      </w:r>
      <w:r>
        <w:rPr>
          <w:rFonts w:ascii="Times New Roman" w:cs="Times New Roman" w:eastAsia="Times New Roman" w:hAnsi="Times New Roman"/>
          <w:sz w:val="18"/>
          <w:szCs w:val="18"/>
          <w:i w:val="1"/>
          <w:iCs w:val="1"/>
          <w:color w:val="auto"/>
        </w:rPr>
        <w:t>Accounting for Stock Issued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and related interpretations including FASB interpretation (FIN) No. 44,</w:t>
      </w:r>
      <w:r>
        <w:rPr>
          <w:rFonts w:ascii="Times New Roman" w:cs="Times New Roman" w:eastAsia="Times New Roman" w:hAnsi="Times New Roman"/>
          <w:sz w:val="18"/>
          <w:szCs w:val="18"/>
          <w:i w:val="1"/>
          <w:iCs w:val="1"/>
          <w:color w:val="auto"/>
        </w:rPr>
        <w:t xml:space="preserve"> Accounting for Certain Transactions involving Stock Compensation, an interpretation of APB Opinion No. 25</w:t>
      </w:r>
      <w:r>
        <w:rPr>
          <w:rFonts w:ascii="Times New Roman" w:cs="Times New Roman" w:eastAsia="Times New Roman" w:hAnsi="Times New Roman"/>
          <w:sz w:val="18"/>
          <w:szCs w:val="18"/>
          <w:color w:val="auto"/>
        </w:rPr>
        <w:t>, to account for our fixed-plan stock options. Under this method, compensation expense is recorded on the date of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only if the current fair value of the underlying stock exceeds the exercise price. We recognize the fair value of stock rights granted to non-employees in the accompanying financial statements.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and SFAS No. 148, </w:t>
      </w:r>
      <w:r>
        <w:rPr>
          <w:rFonts w:ascii="Times New Roman" w:cs="Times New Roman" w:eastAsia="Times New Roman" w:hAnsi="Times New Roman"/>
          <w:sz w:val="18"/>
          <w:szCs w:val="18"/>
          <w:i w:val="1"/>
          <w:iCs w:val="1"/>
          <w:color w:val="auto"/>
        </w:rPr>
        <w:t>Accounting for Stock-Based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Transition and Disclosure, an amendment of FASB Statement No. 123</w:t>
      </w:r>
      <w:r>
        <w:rPr>
          <w:rFonts w:ascii="Times New Roman" w:cs="Times New Roman" w:eastAsia="Times New Roman" w:hAnsi="Times New Roman"/>
          <w:sz w:val="18"/>
          <w:szCs w:val="18"/>
          <w:color w:val="auto"/>
        </w:rPr>
        <w:t>, establishes accounting and disclosure requirements using a fair-value-based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accounting for stock-based employee compensation plans. As permitted by existing accounting standards, we have elected to continue to apply the intrinsic-value-based method of accounting described above, and have adopted only the disclosure requirements of SFAS No. 123, as amended. Pro forma information regarding net income and net income per share is required in order to show our net income as if we had accounted for employee stock options under the fair value method of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as amended by SFAS No. 148,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Transition Disclosure</w:t>
      </w:r>
      <w:r>
        <w:rPr>
          <w:rFonts w:ascii="Times New Roman" w:cs="Times New Roman" w:eastAsia="Times New Roman" w:hAnsi="Times New Roman"/>
          <w:sz w:val="18"/>
          <w:szCs w:val="18"/>
          <w:color w:val="auto"/>
        </w:rPr>
        <w:t>. This information is contained in Notes 2 and 8 to our financial statements. The fair values of options and shares issued pursuant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plan at each grant date were estimated using the Black-Scholes option pricing model.</w:t>
      </w:r>
    </w:p>
    <w:p>
      <w:pPr>
        <w:spacing w:after="0" w:line="1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11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SFAS No. 109,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The computation of income taxes is subject to estimation due to the judgment required and the uncertainty related to the recoverability of deferred tax assets or the outcome of tax audits. We adjust our income tax provision in the period it is determined that actual results will differ from our estimates. Tax law and rate changes are reflected in the income tax provision in which such changes are enacted.</w:t>
      </w:r>
    </w:p>
    <w:p>
      <w:pPr>
        <w:spacing w:after="0" w:line="78"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The above listing is not intended to be a comprehensive list of all our accounting policies. In many cases the accounting treatment of a particular transaction is specifically dictated by generally accepted accounting principles, with no need for management’s judgment in their application. There are also areas in which management’s judgment in selecting any available alternative would not produce a materially different result.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 about Market Risk</w:t>
      </w:r>
    </w:p>
    <w:p>
      <w:pPr>
        <w:spacing w:after="0" w:line="11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are exposed to financial market risks related to changes in interest rates connected with our revolving lines of credit, which bear interest at variable rates. We cannot predict market fluctuations in interest rates. As a result, future results may differ materially from estimated results due to adverse changes in interest rates or debt availability. A hypothetical 100 basis point increase in prevailing market interest rates would not have materially impacted our financial position, results of operations, cash flows for fiscal 2004. We do not engage in financial transactions for trading or speculative purposes, and we have not entered into any interest rate hedging contracts.</w:t>
      </w:r>
    </w:p>
    <w:p>
      <w:pPr>
        <w:spacing w:after="0" w:line="8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We source all of our product from apparel markets in the United States and, therefore, are not subject to fluctuations in foreign currency exchange rates. We have not entered into forward contracts to hedge against fluctuations in foreign currency prices.</w:t>
      </w:r>
    </w:p>
    <w:p>
      <w:pPr>
        <w:spacing w:after="0" w:line="6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If we were to begin sourcing product directly from overseas, our risk management policy would allow us to utilize foreign currency forward and option contracts to manage currency exposures. If we were to enter into hedging contracts, we anticipate that the contracts would have maturities of less than three months and would settle before the end of each quarterly period. Additionally, we do not expect to enter into any hedging contracts for trading or speculative purposes.</w:t>
      </w:r>
    </w:p>
    <w:p>
      <w:pPr>
        <w:spacing w:after="0" w:line="57"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We had cash and cash equivalents totaling $11.8 million at January 29, 2005. These amounts were maintained in deposit accounts or highly liquid investments with remaining maturities of 90 days or less at the time of</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purchase. Due to the short-term nature of these investments, we believe that we do not have material exposure to changes in the fair value of our investments as a result of changes in interest rates. Declines in interest rates, however, will reduce future investment income. We do not enter into investments for trading or speculative purposes.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In December 2004, the FASB issued SFAS No. 153, </w:t>
      </w:r>
      <w:r>
        <w:rPr>
          <w:rFonts w:ascii="Times New Roman" w:cs="Times New Roman" w:eastAsia="Times New Roman" w:hAnsi="Times New Roman"/>
          <w:sz w:val="18"/>
          <w:szCs w:val="18"/>
          <w:i w:val="1"/>
          <w:iCs w:val="1"/>
          <w:color w:val="auto"/>
        </w:rPr>
        <w:t>Exchanges of Nonmonetary Assets</w:t>
      </w:r>
      <w:r>
        <w:rPr>
          <w:rFonts w:ascii="Times New Roman" w:cs="Times New Roman" w:eastAsia="Times New Roman" w:hAnsi="Times New Roman"/>
          <w:sz w:val="18"/>
          <w:szCs w:val="18"/>
          <w:color w:val="auto"/>
        </w:rPr>
        <w:t xml:space="preserve">. SFAS No. 153 amends APB Opinion No. 29, </w:t>
      </w:r>
      <w:r>
        <w:rPr>
          <w:rFonts w:ascii="Times New Roman" w:cs="Times New Roman" w:eastAsia="Times New Roman" w:hAnsi="Times New Roman"/>
          <w:sz w:val="18"/>
          <w:szCs w:val="18"/>
          <w:i w:val="1"/>
          <w:iCs w:val="1"/>
          <w:color w:val="auto"/>
        </w:rPr>
        <w:t>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which requires that exchanges of nonmonetary assets be measured based on the fair value of the assets exchanged, but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certain exceptions to that principle. SFAS No. 153 eliminates the exception from APB Opinion No. 29 for nonmonetary exchanges of similar productive assets and replaces it with a general exception for exchanges of nonmonetary assets that do not have a commercial substance. SFAS No. 153 is effective for nonmonetary asset exchanges occurring in fiscal periods beginning after June 15, 2005. The adoption of SFAS No. 153 is not expected to have a material impact on our consolidated financial position or results of operations.</w:t>
      </w:r>
    </w:p>
    <w:p>
      <w:pPr>
        <w:spacing w:after="0" w:line="77"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 xml:space="preserve">In December 2004, the FASB issued a revision to SFAS No. 123, </w:t>
      </w:r>
      <w:r>
        <w:rPr>
          <w:rFonts w:ascii="Times New Roman" w:cs="Times New Roman" w:eastAsia="Times New Roman" w:hAnsi="Times New Roman"/>
          <w:sz w:val="18"/>
          <w:szCs w:val="18"/>
          <w:i w:val="1"/>
          <w:iCs w:val="1"/>
          <w:color w:val="auto"/>
        </w:rPr>
        <w:t>Accounting for Stock-Based Compensation</w:t>
      </w:r>
      <w:r>
        <w:rPr>
          <w:rFonts w:ascii="Times New Roman" w:cs="Times New Roman" w:eastAsia="Times New Roman" w:hAnsi="Times New Roman"/>
          <w:sz w:val="18"/>
          <w:szCs w:val="18"/>
          <w:color w:val="auto"/>
        </w:rPr>
        <w:t xml:space="preserve">. SFAS No. 123R replaces SFAS No. 123 and supersedes APB Opinion No. 25, </w:t>
      </w:r>
      <w:r>
        <w:rPr>
          <w:rFonts w:ascii="Times New Roman" w:cs="Times New Roman" w:eastAsia="Times New Roman" w:hAnsi="Times New Roman"/>
          <w:sz w:val="18"/>
          <w:szCs w:val="18"/>
          <w:i w:val="1"/>
          <w:iCs w:val="1"/>
          <w:color w:val="auto"/>
        </w:rPr>
        <w:t>Accounting for Stock Issued to Employees</w:t>
      </w:r>
      <w:r>
        <w:rPr>
          <w:rFonts w:ascii="Times New Roman" w:cs="Times New Roman" w:eastAsia="Times New Roman" w:hAnsi="Times New Roman"/>
          <w:sz w:val="18"/>
          <w:szCs w:val="18"/>
          <w:color w:val="auto"/>
        </w:rPr>
        <w:t>, and establishes standards for the accounting for transactions in which an entity exchanges its equity instruments for goods or services. SFAS No. 123R focuses primarily on accounting for transactions in which an entity obtains employee services in share-based payment transactions and is effective as of the beginning of the first annual period that begins after June 15, 2005 for public entities that do not file as small business issuers. We have illustrated the effect on our earnings as if we had adopted the fair value method of accounting for stock-based compensation under SFAS No. 123. This information is contained in notes 2 and 8 to our financial statements. The fair values of options and shares issued pursuant to our option plan at each grant date were estimated using the Black-Scholes option pricing model. The fair value-based method of SFAS No. 123 is similar in most respects to the fair value-based method under SFAS No. 123R, although the election of certain methods within the applicable transition rules of SFAS No. 123R may affect the impact on our consolidated financial position or results of operations. Such impact, if any, on our consolidated financial position or results of operations has not been determined.</w:t>
      </w:r>
    </w:p>
    <w:p>
      <w:pPr>
        <w:spacing w:after="0" w:line="8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 xml:space="preserve">In December 2003, the FASB issued FIN 46R, </w:t>
      </w:r>
      <w:r>
        <w:rPr>
          <w:rFonts w:ascii="Times New Roman" w:cs="Times New Roman" w:eastAsia="Times New Roman" w:hAnsi="Times New Roman"/>
          <w:sz w:val="18"/>
          <w:szCs w:val="18"/>
          <w:i w:val="1"/>
          <w:iCs w:val="1"/>
          <w:color w:val="auto"/>
        </w:rPr>
        <w:t>Consolidation of Variable Interest Entities</w:t>
      </w:r>
      <w:r>
        <w:rPr>
          <w:rFonts w:ascii="Times New Roman" w:cs="Times New Roman" w:eastAsia="Times New Roman" w:hAnsi="Times New Roman"/>
          <w:sz w:val="18"/>
          <w:szCs w:val="18"/>
          <w:color w:val="auto"/>
        </w:rPr>
        <w:t xml:space="preserve">, which is an interpretation of Accounting Research Bulletin No. 51,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FIN 46R requires that if an entity has a controlling interest in a variable interest entity, the assets, liabilities and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of the variable interest entity should be included in the consolidated financial statements of the entity. FIN 46R is effective immediately for all new variable interest entities created or acquired after December 31, 2003. The adoption of FIN 46R is not expected to have an impact on our consolidated financial position or results of operations.</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Business</w:t>
      </w:r>
    </w:p>
    <w:p>
      <w:pPr>
        <w:spacing w:after="0" w:line="6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We are a rapidly growing, value-priced retailer of urban fashion apparel and accessories for the entire family. We offer quality, branded products from nationally recognized brands, as well as private label products and a limited assortment of home décor items. Our merchandise offerings are designed to appeal to the preferences of fashion conscious consumers, particularly African-Americans. We believe that we provide our merchandise at compelling values. We seek to provide nationally recognized branded merchandise at 20% to 60% discounts to department and specialty stores’ regular prices. Our stores average approximately 8,700 square feet of selling space and are typically located in neighborhood shopping centers that are convenient to low to moderate income customers. Originally our stores were located in the Southeast, and we have recently expanded into the Mid-Atlantic region and Texas. We currently operate 212 stores in both urban and rural markets in twelve states. We expect to open 40 new stores in each of fiscal 2005 and fiscal 2006, and as of April 22, we had opened twelve new stores in fiscal 2005. Approximately 70% of the new stores we intend to open in fiscal 2005 and fiscal 2006 are expected to be located in states that we currently serve.</w:t>
      </w:r>
    </w:p>
    <w:p>
      <w:pPr>
        <w:spacing w:after="0" w:line="3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predecessor was founded in 1946 and grew to become a chain of family apparel stores operating in the Southeast under the Allied Department Stores name. In 1999, our chain of stores, then consisting of 85 stores throughout the Southeast, was acquired by Hampshire Equity Partners, a private equity firm. Our management team has implemented several strategies designed to differentiate our stores, improve our operating and financial performance and position us for growth, including:</w:t>
      </w:r>
    </w:p>
    <w:p>
      <w:pPr>
        <w:spacing w:after="0" w:line="80" w:lineRule="exact"/>
        <w:rPr>
          <w:sz w:val="20"/>
          <w:szCs w:val="20"/>
          <w:color w:val="auto"/>
        </w:rPr>
      </w:pPr>
    </w:p>
    <w:p>
      <w:pPr>
        <w:ind w:left="340" w:hanging="215"/>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focusing our merchandise offerings on more urban fashion apparel for the entire family, with greater emphasis on nationally recognized brands;</w:t>
      </w:r>
    </w:p>
    <w:p>
      <w:pPr>
        <w:spacing w:after="0" w:line="335"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accelerating and completing the remodeling of virtually all of the 85 stores acquired in 1999 to create a more appealing shopping environment;</w:t>
      </w:r>
    </w:p>
    <w:p>
      <w:pPr>
        <w:spacing w:after="0" w:line="335" w:lineRule="exact"/>
        <w:rPr>
          <w:rFonts w:ascii="Times New Roman" w:cs="Times New Roman" w:eastAsia="Times New Roman" w:hAnsi="Times New Roman"/>
          <w:sz w:val="18"/>
          <w:szCs w:val="18"/>
          <w:color w:val="auto"/>
        </w:rPr>
      </w:pPr>
    </w:p>
    <w:p>
      <w:pPr>
        <w:ind w:left="340" w:hanging="215"/>
        <w:spacing w:after="0" w:line="27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refining our new store model and implementing a real estate approach focused on locating stores in low to moderate income neighborhoods close to our core customers;</w:t>
      </w:r>
    </w:p>
    <w:p>
      <w:pPr>
        <w:spacing w:after="0" w:line="286"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rebranding our stores and our company to Citi Trends in order to convey more effectively our positioning to consumers;</w:t>
      </w:r>
    </w:p>
    <w:p>
      <w:pPr>
        <w:spacing w:after="0" w:line="335" w:lineRule="exact"/>
        <w:rPr>
          <w:rFonts w:ascii="Times New Roman" w:cs="Times New Roman" w:eastAsia="Times New Roman" w:hAnsi="Times New Roman"/>
          <w:sz w:val="18"/>
          <w:szCs w:val="18"/>
          <w:color w:val="auto"/>
        </w:rPr>
      </w:pPr>
    </w:p>
    <w:p>
      <w:pPr>
        <w:ind w:left="340" w:right="540" w:hanging="215"/>
        <w:spacing w:after="0" w:line="27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infrastructure to support growth, including opening an additional distribution center and installing new point of sale systems in all of our stores; and</w:t>
      </w:r>
    </w:p>
    <w:p>
      <w:pPr>
        <w:spacing w:after="0" w:line="286" w:lineRule="exact"/>
        <w:rPr>
          <w:rFonts w:ascii="Times New Roman" w:cs="Times New Roman" w:eastAsia="Times New Roman" w:hAnsi="Times New Roman"/>
          <w:sz w:val="18"/>
          <w:szCs w:val="18"/>
          <w:color w:val="auto"/>
        </w:rPr>
      </w:pPr>
    </w:p>
    <w:p>
      <w:pPr>
        <w:ind w:left="340" w:right="820" w:hanging="215"/>
        <w:spacing w:after="0" w:line="27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 aggressive growth strategy, including entering several new markets such as Houston, Norfolk and, most recently, Baltimore and Washington, D.C.</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60"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According to NPD Fashionworld, a division of the NPD Group, or NPD, a nationally recognized firm that specializes in apparel research, based on Consumer Panel Estimated Data, retail sales of off-price apparel totaled $16.5 billion in the U.S. in 2004, up more than 15% from 2003. The popularity of this segment continues to grow, with off-price retailers accounting for 9.5% of overall retail apparel sales in the U.S. in 2004, versus 8.6% in 2003 and 8.2% in 2002, according to NPD.</w:t>
      </w:r>
    </w:p>
    <w:p>
      <w:pPr>
        <w:spacing w:after="0" w:line="2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The off-price apparel market is dominated by large format, national apparel companies, such as The TJX Companies, Burlington Coat Factory and Ross Stores. Our management believes that these retailers generally target more affluent consumers and seek to achieve high volumes by serving the fashion needs of a broad segment of the population. Mass merchants and general merchandise discount retailers, such as Wal-Mart Stores, Inc. and Kmart Corp., also offer apparel at reduced prices, but we believe that they generally focus on basic apparel and are less fashion oriented. As a result, we believe there is significant demand for a value retailer that addresses the market of low to moderate income consumers generally and, particularly, African-American and other minority consumers who seek value-priced, urban fashion apparel and accessories. We believe this market benefits from several favorable characteristics, including:</w:t>
      </w:r>
    </w:p>
    <w:p>
      <w:pPr>
        <w:spacing w:after="0" w:line="1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Growing Market with Favorable Demographics. </w:t>
      </w:r>
      <w:r>
        <w:rPr>
          <w:rFonts w:ascii="Times New Roman" w:cs="Times New Roman" w:eastAsia="Times New Roman" w:hAnsi="Times New Roman"/>
          <w:sz w:val="18"/>
          <w:szCs w:val="18"/>
          <w:color w:val="auto"/>
        </w:rPr>
        <w:t>Based on U.S. Census Bureau data, approximately 31% of the U.S. population was non-white in 2000 versus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20% in 1980. According to the U.S. Census Bureau data this percentage is estimated to increase to approximately 35% by 2010. Within this market,</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African-Americans represented 12.7% of the population as of 2000, which is expected to increase to 13.1% in 2010, based upon U.S. Census Bureau data.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Significant Spending on Apparel. </w:t>
      </w:r>
      <w:r>
        <w:rPr>
          <w:rFonts w:ascii="Times New Roman" w:cs="Times New Roman" w:eastAsia="Times New Roman" w:hAnsi="Times New Roman"/>
          <w:sz w:val="18"/>
          <w:szCs w:val="18"/>
          <w:color w:val="auto"/>
        </w:rPr>
        <w:t>According to the Selig Center for Economic Growth at The University of Georgia, or the Selig Center, the combined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buying power of non-whites grew from $540.8 billion in 1990 to approximately $1.2 trillion in 2000. During that period, buying power for African-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Americans grew from $318.3 billion to $584.9 billion and is estimated by the Selig Center to grow approximately 65% to $964.6 billion in 2009.</w:t>
      </w:r>
    </w:p>
    <w:p>
      <w:pPr>
        <w:spacing w:after="0" w:line="93"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7"/>
          <w:szCs w:val="17"/>
          <w:color w:val="auto"/>
        </w:rPr>
        <w:t>We believe our core customers are more fashion oriented, which results in a greater propensity to purchase apparel. According to the U.S. Department of Labor, African-Americans spend 4.7% of their annual income on apparel and related products and services, compared to 3.5% for the U.S. population as a whole.</w:t>
      </w:r>
    </w:p>
    <w:p>
      <w:pPr>
        <w:spacing w:after="0" w:line="37"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Expansion of Urban Apparel Brands. </w:t>
      </w:r>
      <w:r>
        <w:rPr>
          <w:rFonts w:ascii="Times New Roman" w:cs="Times New Roman" w:eastAsia="Times New Roman" w:hAnsi="Times New Roman"/>
          <w:sz w:val="18"/>
          <w:szCs w:val="18"/>
          <w:color w:val="auto"/>
        </w:rPr>
        <w:t>In recent years, a series of nationally recognized urban brands, often associated with hip-hop and rap musicians,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emerged and gained significant popularity. These brands offer distinctive, urban apparel designed to appeal to African-American consumers, as well as to the broader population. Sales from 13 national urban apparel brands tracked by NPD totaled approximately $1.9 billion in 2004, an increase of approximately 46% from 2003.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Strengths</w:t>
      </w:r>
    </w:p>
    <w:p>
      <w:pPr>
        <w:spacing w:after="0" w:line="113"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Our goal is to be the leading value-priced retailer of urban fashion apparel and accessories. We believe the following business strengths differentiate us from our competitors and are important to our success:</w:t>
      </w:r>
    </w:p>
    <w:p>
      <w:pPr>
        <w:spacing w:after="0" w:line="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Focus on Urban Fashion Mix. </w:t>
      </w:r>
      <w:r>
        <w:rPr>
          <w:rFonts w:ascii="Times New Roman" w:cs="Times New Roman" w:eastAsia="Times New Roman" w:hAnsi="Times New Roman"/>
          <w:sz w:val="18"/>
          <w:szCs w:val="18"/>
          <w:color w:val="auto"/>
        </w:rPr>
        <w:t>We focus our merchandise on urban fashions, which we believe appeals to our core customers. We do not attempt to dictate trends,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rather devote considerable effort to identifying emerging trends and ensuring that our apparel assortment is considered timely and fashionable in the urban market. Our merchandising staff tests new merchandise before reordering and actively manages the mix of brands and products in our stores to keep our offering fresh and minimize markdowns.</w:t>
      </w:r>
    </w:p>
    <w:p>
      <w:pPr>
        <w:spacing w:after="0" w:line="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Superior Value Proposition. </w:t>
      </w:r>
      <w:r>
        <w:rPr>
          <w:rFonts w:ascii="Times New Roman" w:cs="Times New Roman" w:eastAsia="Times New Roman" w:hAnsi="Times New Roman"/>
          <w:sz w:val="18"/>
          <w:szCs w:val="18"/>
          <w:color w:val="auto"/>
        </w:rPr>
        <w:t>As a value-priced retailer, we seek to offer first quality, fashionable merchandise at compelling prices. We seek to provide nationally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brands at 20% to 60% discounts to department and specialty stores’ regular prices. We also offer products under our proprietary brands such as Citi Steps, Diva Blue and Urban Sophistication. These private labels enable us to expand product selection, offer fashion merchandise at lower prices and enhance our product offerings.</w:t>
      </w:r>
    </w:p>
    <w:p>
      <w:pPr>
        <w:spacing w:after="0" w:line="76"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Merchandise Mix that Appeals to the Entire Family. </w:t>
      </w:r>
      <w:r>
        <w:rPr>
          <w:rFonts w:ascii="Times New Roman" w:cs="Times New Roman" w:eastAsia="Times New Roman" w:hAnsi="Times New Roman"/>
          <w:sz w:val="18"/>
          <w:szCs w:val="18"/>
          <w:color w:val="auto"/>
        </w:rPr>
        <w:t>We merchandise our stores to create a destination environment capable of meeting the fashion needs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entire value-conscious family. Each store offers a wide variety of products for men and women, as well as infants, toddlers, boys and girls. Our stores feature sportswear, dresses, plus-sized apparel, outerwear, footwear and accessories, as well as a limited assortment of home décor items. We believe that the breadth of our merchandise distinguishes our stores from many competitors that offer urban apparel primarily for women, and reduces our exposure to fashion trends and demand cycles in any single category.</w:t>
      </w:r>
    </w:p>
    <w:p>
      <w:pPr>
        <w:spacing w:after="0" w:line="7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Strong and Flexible Sourcing Relationships. </w:t>
      </w:r>
      <w:r>
        <w:rPr>
          <w:rFonts w:ascii="Times New Roman" w:cs="Times New Roman" w:eastAsia="Times New Roman" w:hAnsi="Times New Roman"/>
          <w:sz w:val="18"/>
          <w:szCs w:val="18"/>
          <w:color w:val="auto"/>
        </w:rPr>
        <w:t>We maintain strong sourcing relationships with a large group of suppliers. We have purchased merchandise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1,000 vendors in the past twelve months. Purchasing is controlled by our 20-member buying team located at our Savannah, Georgia headquarters and in New York, New York, and our buyers have an average of more than 20 years of retail experience. We purchase merchandise through planned programs with vendors at reduced prices and opportunistically through close-outs, with the majority of our merchandise purchased for the current season and a limited quantity held for sale in future seasons. To foster our vendor relationships, we pay vendors promptly and do not ask for typical retail concessions such as promotional and markdown allowances or delivery concessions such as drop shipments to stores.</w:t>
      </w:r>
    </w:p>
    <w:p>
      <w:pPr>
        <w:spacing w:after="0" w:line="7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Attractive Fashion Presentation and Store Environment. </w:t>
      </w:r>
      <w:r>
        <w:rPr>
          <w:rFonts w:ascii="Times New Roman" w:cs="Times New Roman" w:eastAsia="Times New Roman" w:hAnsi="Times New Roman"/>
          <w:sz w:val="18"/>
          <w:szCs w:val="18"/>
          <w:color w:val="auto"/>
        </w:rPr>
        <w:t>We seek to provide a fashion-focused shopping environment that is similar to a specialty apparel retailer,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than a typical off-price store. Products from nationally recognized brands are prominently displayed by brand, rather than by size, on dedicated, four-way fixtures featuring multiple sizes and styles. The remaining merchandise is arranged on hanging racks. All</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stores are carpeted and well-lit, with most featuring a sound system that plays urban adult and urban contemporary music throughout the store. Nearly all of our stores have either been opened or remodeled in the past six years.</w:t>
      </w:r>
    </w:p>
    <w:p>
      <w:pPr>
        <w:spacing w:after="0" w:line="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Highly Profitable Store Model. </w:t>
      </w:r>
      <w:r>
        <w:rPr>
          <w:rFonts w:ascii="Times New Roman" w:cs="Times New Roman" w:eastAsia="Times New Roman" w:hAnsi="Times New Roman"/>
          <w:sz w:val="18"/>
          <w:szCs w:val="18"/>
          <w:color w:val="auto"/>
        </w:rPr>
        <w:t>We operate a proven and efficient store model that delivers strong cash flow and store level return on investment. We locate stores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high traffic strip shopping centers that are convenient to low and moderate income neighborhoods. We generally utilize previously occupied store sites. This approach enables us to generate substantial traffic at attractive rents. Similarly, our advertising expenses are low as we do not rely on promotion-driven sales but rather seek to build our reputation for value through everyday low prices. At the same time, from an investment perspective, we seek to design stores that are inviting and easy to shop, while limiting startup and fixturing costs. As a result, our stores generate rapid payback of investments, typically within twelve to 14 months.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growth strategy is to open stores in new and existing markets, as well as to increase sales in existing stores. Adding stores in the markets we currently serve often enables us to benefit from enhanced name recognition and achieve advertising and operating synergies. In fiscal 2003 and fiscal 2004, we opened 25 and 40 stores, respectively, and entered the Houston, Norfolk, Baltimore and Washington, D.C. markets. Of the 25 stores opened in fiscal 2003, the average sales were $1.3 million.</w:t>
      </w:r>
    </w:p>
    <w:p>
      <w:pPr>
        <w:spacing w:after="0" w:line="27"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We expect to open 40 new stores in each of fiscal 2005 and fiscal 2006, and as of April 22, we had opened twelve new stores in fiscal 2005. Approximately 70% of the new stores we intend to open in fiscal 2005 and fiscal 2006 are expected to be located in states we currently serve.</w:t>
      </w:r>
    </w:p>
    <w:p>
      <w:pPr>
        <w:spacing w:after="0" w:line="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intend to increase comparable store sales by increasing the assortment and amount of inventory in existing merchandise categories for which recent sales and/or sales trends are encouraging. We also intend to increase comparable store sales through the expansion of adjacent product categories such as home décor and intimate apparel. In order to expand such adjacent categories, we have recently added a dedicated buyer in home décor and upgraded our buying capabilities and focus within the intimate apparel category.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Operations</w:t>
      </w:r>
    </w:p>
    <w:p>
      <w:pPr>
        <w:spacing w:after="0" w:line="58"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Store Format. </w:t>
      </w:r>
      <w:r>
        <w:rPr>
          <w:rFonts w:ascii="Times New Roman" w:cs="Times New Roman" w:eastAsia="Times New Roman" w:hAnsi="Times New Roman"/>
          <w:sz w:val="17"/>
          <w:szCs w:val="17"/>
          <w:color w:val="auto"/>
        </w:rPr>
        <w:t>Our existing 212 stores’ average selling space is approximately 8,700 square feet, which allows us space and flexibility to departmentalize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stores and provide directed traffic patterns. New stores added in fiscal 2004 averaged approximately 10,700 square feet, which is larger than the stores added in fiscal 2003 and significantly larger than our historical store base. As a result of these new stores, as well as due to the remodeling and expansion of existing stores in fiscal 2003, our average square footage of selling space per store has increased from approximately 7,600 at the end of fiscal 2002 to its current level.</w:t>
      </w:r>
    </w:p>
    <w:p>
      <w:pPr>
        <w:spacing w:after="0" w:line="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arrange our stores in a racetrack format with women’s sportswear, our most attractive and fashion current merchandise, in the center of each store, and complementary categories adjacent to those items. Men’s and boy’s apparel is displayed on one side of the store while dresses, footwear and accessories are displayed on the other side. Merchandise for infants, toddlers and girls is displayed along the back of the store. Impulse items, such as jewelry and sunglasses, are featured near the checkout area. Products from nationally recognized brands are prominently displayed on four way racks at the front of each department. The remaining merchandise is displayed on hanging racks and occasionally on table displays. Large hanging signs identify each category location. The unobstructed floor plan allows the customer to see virtually all of the different product areas from the store entrance and provides us the flexibility easily to expand and contract departments in response to consumer demand, seasonality and merchandise availability.</w:t>
      </w:r>
    </w:p>
    <w:p>
      <w:pPr>
        <w:spacing w:after="0" w:line="3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Virtually all of our inventory is displayed on the selling floor. Our prices are clearly marked and often have the comparative retail-selling price noted on the price tag.</w:t>
      </w:r>
    </w:p>
    <w:p>
      <w:pPr>
        <w:spacing w:after="0" w:line="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Store Management. </w:t>
      </w:r>
      <w:r>
        <w:rPr>
          <w:rFonts w:ascii="Times New Roman" w:cs="Times New Roman" w:eastAsia="Times New Roman" w:hAnsi="Times New Roman"/>
          <w:sz w:val="18"/>
          <w:szCs w:val="18"/>
          <w:color w:val="auto"/>
        </w:rPr>
        <w:t>Store operations are managed by our Vice President of Store Operations, three regional managers and 21 district managers, each of whom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manages eight to ten stores. Our typical store is staffed with a store manager, two or three assistant managers and seven to eight part time sales associates, all of whom rotate work days on a shift basis. District managers and store managers participate in a bonus program based on achieving predetermined levels of sales and profits. The district managers also participate in bonus programs based on achieving targeted payroll costs. Our regional managers participate in a bonus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1" w:name="page42"/>
    <w:bookmarkEnd w:id="41"/>
    <w:p>
      <w:pPr>
        <w:spacing w:after="0" w:line="5"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program based on a rollup of the district managers’ bonuses. The assistant managers and sales associates are compensated on an hourly basis with incentives. Moreover, we recognize individual performance through internal promotions and provide extensive opportunities for advancement, particularly given our rapid growth.</w:t>
      </w:r>
    </w:p>
    <w:p>
      <w:pPr>
        <w:spacing w:after="0" w:line="2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We place significant emphasis on loss prevention in order to control inventory shrinkage. Our initiatives include electronic tags on all of our products, training and education of store personnel on loss prevention issues, digital video camera systems, alarm systems and motion detectors in the stores. We also capture extensive point-of-sale data and maintain systems that monitor returns, voids and employee sales, and produce trend and exception reports to assist us in identifying shrinkage issues. We have a centralized loss prevention team that focuses exclusively on implementation of these initiatives and specifically on stores that have experienced above average levels of shrinkage.</w:t>
      </w:r>
    </w:p>
    <w:p>
      <w:pPr>
        <w:spacing w:after="0" w:line="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Employee Training. </w:t>
      </w:r>
      <w:r>
        <w:rPr>
          <w:rFonts w:ascii="Times New Roman" w:cs="Times New Roman" w:eastAsia="Times New Roman" w:hAnsi="Times New Roman"/>
          <w:sz w:val="18"/>
          <w:szCs w:val="18"/>
          <w:color w:val="auto"/>
        </w:rPr>
        <w:t>Our employees are critical to achieving our goals, and we strive to hire employees with high energy levels and motivation. We have well-established store operating policies and procedures and an extensive 90-day in-store training program for new store managers and assistant managers. Our sales associates also participate in a 30-day customer service and store procedures training program, which is designed to enable them to assist customers in a friendly, helpful manner.</w:t>
      </w:r>
    </w:p>
    <w:p>
      <w:pPr>
        <w:spacing w:after="0" w:line="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Layaway Program. </w:t>
      </w:r>
      <w:r>
        <w:rPr>
          <w:rFonts w:ascii="Times New Roman" w:cs="Times New Roman" w:eastAsia="Times New Roman" w:hAnsi="Times New Roman"/>
          <w:sz w:val="18"/>
          <w:szCs w:val="18"/>
          <w:color w:val="auto"/>
        </w:rPr>
        <w:t>We offer a layaway program that allows customers to purchase merchandise by initially paying a 20% deposit together with a $2.00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 The customer then makes additional payments every two weeks and has 60 days within which to complete the purchase. If the purchase is not completed, the customer receives a merchandise credit for amounts paid less a $5.00 re-stocking fee and the service charge. Sales under our layaway program accounted for approximately 13% of our total sales in fiscal 2004.</w:t>
      </w:r>
    </w:p>
    <w:p>
      <w:pPr>
        <w:spacing w:after="0" w:line="2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Store Economics. </w:t>
      </w:r>
      <w:r>
        <w:rPr>
          <w:rFonts w:ascii="Times New Roman" w:cs="Times New Roman" w:eastAsia="Times New Roman" w:hAnsi="Times New Roman"/>
          <w:sz w:val="17"/>
          <w:szCs w:val="17"/>
          <w:color w:val="auto"/>
        </w:rPr>
        <w:t>We believe we benefit from attractive store-level economics. The average investment for the 41 stores we opened in fiscal 2002 and fiscal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2003, including leasehold improvements, equipment, cost of inventory to stock the store (net of accounts payable) and preopening store expenses, was approximately $240,000. These 41 stores generated average sales of $1.2 million and average store operating profit (defined as store operating revenue less cost of sales and store operating expenses) of $190,000 during their first twelve months of operation. Our average investment for the 40 stores opened in fiscal 2004 was approximately $280,000. This investment represents an increase over prior years as the size of our stores has increased and, in some instances, we have paid for leasehold improvements that we expect to recover over time. We expect these stores to generate similar levels of return on investment.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Locations</w:t>
      </w:r>
    </w:p>
    <w:p>
      <w:pPr>
        <w:spacing w:after="0" w:line="6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As of April 22, 2005, we operated 212 stores located in twelve states. Our stores are primarily located in strip shopping centers and downtown business districts. We have no franchising relationships as all of our stores are company-operated. The table below sets forth the number of stores in each of these twelve states and the specific markets within each such state in which we operated at least two stores as of April 22, 2005:</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Alabama—17</w:t>
      </w:r>
    </w:p>
    <w:p>
      <w:pPr>
        <w:spacing w:after="0" w:line="2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Birmingham—4</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Montgomery—2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Mobile—2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Single store locations—9</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Arkansas—4</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Little Rock—3</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Single store locations—1</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Florida—15</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Jacksonville—3</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Orlando—2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Tampa—2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Single store locations—8</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Georgia—44</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Atlanta—9</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Albany—2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Augusta—2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Macon—2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Savannah—2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Single store locations—27</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Louisiana—23</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Shreveport—3</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Baton Rouge—2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Monroe—2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Orleans—2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Single store locations—14</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Maryland—3</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Baltimore—2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Single store locations—1</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Mississippi—17</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Jackson—2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Single store locations—15</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North Carolina—30</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Charlotte—3</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Durham—2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Fayetteville—2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Greensboro—2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Winston-Salem—2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Single store locations—19</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South Carolina—32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Charleston—2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Columbia—2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Orangeburg—2</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Single store locations—26</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Tennessee—9</w:t>
      </w:r>
    </w:p>
    <w:p>
      <w:pPr>
        <w:spacing w:after="0" w:line="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Memphis—6</w:t>
      </w:r>
    </w:p>
    <w:p>
      <w:pPr>
        <w:sectPr>
          <w:pgSz w:w="11900" w:h="16844" w:orient="portrait"/>
          <w:cols w:equalWidth="0" w:num="1">
            <w:col w:w="11400"/>
          </w:cols>
          <w:pgMar w:left="240" w:top="411" w:right="259" w:bottom="0" w:gutter="0" w:footer="0" w:header="0"/>
        </w:sectPr>
      </w:pPr>
    </w:p>
    <w:bookmarkStart w:id="42" w:name="page43"/>
    <w:bookmarkEnd w:id="42"/>
    <w:p>
      <w:pPr>
        <w:ind w:left="220"/>
        <w:spacing w:after="0"/>
        <w:rPr>
          <w:sz w:val="20"/>
          <w:szCs w:val="20"/>
          <w:color w:val="auto"/>
        </w:rPr>
      </w:pPr>
      <w:r>
        <w:rPr>
          <w:rFonts w:ascii="Times New Roman" w:cs="Times New Roman" w:eastAsia="Times New Roman" w:hAnsi="Times New Roman"/>
          <w:sz w:val="18"/>
          <w:szCs w:val="18"/>
          <w:color w:val="auto"/>
        </w:rPr>
        <w:t>Nashville—2</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Single store locations—1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Texas—7</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Houston—7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Virginia—11</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Norfolk—6</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Richmond—4</w:t>
      </w:r>
    </w:p>
    <w:p>
      <w:pPr>
        <w:spacing w:after="0" w:line="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Single store locations—1</w:t>
      </w:r>
    </w:p>
    <w:p>
      <w:pPr>
        <w:spacing w:after="0" w:line="15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146685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999"/>
          </w:cols>
          <w:pgMar w:left="460" w:top="121" w:right="1440"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Site Selection. </w:t>
      </w:r>
      <w:r>
        <w:rPr>
          <w:rFonts w:ascii="Times New Roman" w:cs="Times New Roman" w:eastAsia="Times New Roman" w:hAnsi="Times New Roman"/>
          <w:sz w:val="18"/>
          <w:szCs w:val="18"/>
          <w:color w:val="auto"/>
        </w:rPr>
        <w:t>Cost-effective store locations are an important part of our profitability model. Accordingly, we look for second and third use store locations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attractive rents, but also meet our demographic and economic criteria.</w:t>
      </w:r>
    </w:p>
    <w:p>
      <w:pPr>
        <w:spacing w:after="0" w:line="60"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 selecting a location, we target both urban and rural markets. Demographic criteria used in site selection include concentrations of our core consumers. In addition, we require convenient site accessibility, as well as strong co-tenants, such as food stores, dollar stores, rent-to-own stores and other apparel stores. We prepare detailed demographic studies and pro forma financial statements for each prospective store location. Our economic criteria for a site include specific store-level profitability and return on capital invested.</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have a dedicated real estate management team responsible for new store site selection. Our group has identified a significant number of target sites in existing strip shopping centers and off-mall locations with appropriate market characteristics in both new and existing markets. We opened a total of 65 new stores in fiscal 2003 and fiscal 2004. We expect to open 40 new stores in each of fiscal 2005 and fiscal 2006, and as of April 22, we had opened twelve new stores in fiscal 2005. We expect to fund our store openings with a portion of the net proceeds from this offering and cash flow from operations.</w:t>
      </w:r>
    </w:p>
    <w:p>
      <w:pPr>
        <w:spacing w:after="0" w:line="8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Shortly after we sign a new store lease, our store construction department prepares the store by installing fixtures, signs, dressing rooms, checkout counters, cash register systems and other items. Once we take possession of a store site, we can open the store within approximately three to four weeks.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Merchandising and Pricing</w:t>
      </w:r>
    </w:p>
    <w:p>
      <w:pPr>
        <w:spacing w:after="0" w:line="11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Merchandising. </w:t>
      </w:r>
      <w:r>
        <w:rPr>
          <w:rFonts w:ascii="Times New Roman" w:cs="Times New Roman" w:eastAsia="Times New Roman" w:hAnsi="Times New Roman"/>
          <w:sz w:val="18"/>
          <w:szCs w:val="18"/>
          <w:color w:val="auto"/>
        </w:rPr>
        <w:t>Our merchandising policy is to offer high quality, branded products at attractive prices for the entire value-conscious family. We seek to maintain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diverse assortment of first quality, in-season merchandise that appeals to the distinctive tastes and preferences of our core customers. Approximately 30% of our sales are typically represented by nationally recognized brands that we purchase from approximately 30 to 50 vendors. We also offer a wide variety of products from less recognized brands that represent approximately 60% of sales. The remaining 10% of sales represent private label products under our proprietary brands such as Citi Steps, Diva Blue and Urban Sophistication. Our private label products enable us to expand product selection, offer merchandise at lower prices and enhance our product offerings.</w:t>
      </w:r>
    </w:p>
    <w:p>
      <w:pPr>
        <w:spacing w:after="0" w:line="79"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Our merchandise includes apparel, accessories and home décor. Within apparel, we offer men’s, women’s, which includes dresses, sportswear and plus size offerings, and children’s, which includes offerings for infants, toddlers, boys and girls. We also offer accessories, which includes intimate apparel, handbags, hats, jewelry, footwear, toys, belts and sleepwear, as well as a limited assortment of home décor, which includes giftware, lamps, pictures, mirrors and figurines.</w:t>
      </w:r>
    </w:p>
    <w:p>
      <w:pPr>
        <w:spacing w:after="0" w:line="5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The following table sets forth our approximate merchandise assortment by classification as a percentage of net sales for fiscal 2004. The Company has made an estimate for layaways based on total Company layaway transactions still outstanding at January 29, 2005.</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r>
      <w:tr>
        <w:trPr>
          <w:trHeight w:val="177"/>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4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Net Sales</w:t>
            </w: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Women’s</w:t>
            </w:r>
          </w:p>
        </w:tc>
        <w:tc>
          <w:tcPr>
            <w:tcW w:w="4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38%</w:t>
            </w: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Children’s</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Men’s</w:t>
            </w:r>
          </w:p>
        </w:tc>
        <w:tc>
          <w:tcPr>
            <w:tcW w:w="4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r>
      <w:tr>
        <w:trPr>
          <w:trHeight w:val="212"/>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Accessories</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r>
      <w:tr>
        <w:trPr>
          <w:trHeight w:val="212"/>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 décor</w:t>
            </w:r>
          </w:p>
        </w:tc>
        <w:tc>
          <w:tcPr>
            <w:tcW w:w="4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bl>
    <w:p>
      <w:pPr>
        <w:spacing w:after="0" w:line="8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Pricing. </w:t>
      </w:r>
      <w:r>
        <w:rPr>
          <w:rFonts w:ascii="Times New Roman" w:cs="Times New Roman" w:eastAsia="Times New Roman" w:hAnsi="Times New Roman"/>
          <w:sz w:val="18"/>
          <w:szCs w:val="18"/>
          <w:color w:val="auto"/>
        </w:rPr>
        <w:t>We purchase our merchandise at low prices and mark prices up less than department or specialty stores. We seek to provide our nationally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brands at prices 20% to 60% below regular retail prices available in department stores and specialty stores, and that product offering validates both our value and fashion positioning to our consumers. We also consider the price-to-value relationships of our non-branded products to be strong. Our basic pricing strategy is everyday low prices. Our discount from the suggested retail price is usually reflected on the price tag. We review each department in our stores at least monthly for possible markdowns based on sales rates and fashion seasons to promote faster turnover of inventory and 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accelerate the flow of current merchandise. Our return policy permits any customer the right to return merchandise within ten days of purchase and receive a cash refund if they have a receipt, unless such item was purchased in a closeout or discount in which case we will only permit a merchandise exchange. We believe that our practice in this regard is more restrictive when compared to other apparel retailers.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Allocation</w:t>
      </w:r>
    </w:p>
    <w:p>
      <w:pPr>
        <w:spacing w:after="0" w:line="11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Our merchandising department oversees the sourcing and allocation of merchandise to our stores, which allows us to utilize volume purchase discounts and maintain control over our inventory. We source our merchandise from over 1,000 vendors, consisting of domestic manufacturers and importers. For fiscal 2004, no vendor represented over 6% of our net sales. Our President and Chief Merchandising Officer supervises our 13 member planning and allocation team, as well as our buying team which is comprised of five merchandise managers and 14 buyers. Consistent with our plan to grow the intimate apparel and home décor categories, we recently added a dedicated buyer in home décor and upgraded our buying capabilities and focus in intimate apparel.</w:t>
      </w:r>
    </w:p>
    <w:p>
      <w:pPr>
        <w:spacing w:after="0" w:line="8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Our buyers have an average of 20 years of experience in the retail business and have developed long-standing relationships with many of our vendors, including those controlling the distribution of branded apparel. These buyers are responsible for maintaining vendor relationships, securing high quality, fashionable merchandise that meets our margin requirements and identifying and responding to emerging fashion trends. Our buyers, who are based in Savannah and New York, accomplish this by traveling to the major United States apparel markets regularly, visiting our major manufacturers and attending national and regional apparel trade shows, including urban-focused trade shows. We also retain the services of two independent fashion consulting firms, Barbara Fields Buying and Henry Donegar Associates, that monitor market trends.</w:t>
      </w:r>
    </w:p>
    <w:p>
      <w:pPr>
        <w:spacing w:after="0" w:line="8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Our buyers purchase merchandise in styles, sizes and quantities to meet inventory levels developed by our planning staff. We work closely with our suppliers and are able to differentiate ourselves by our willingness to purchase less than a full assortment of styles, colors and sizes and by our policy of paying promptly and not asking for typical retail concessions such as promotional and markdown allowances. Our purchasing department utilizes several buying techniques that enable us to offer to consumers branded and other merchandise at everyday low prices. The majority of the nationally recognized branded products we sell are purchased in-season and represent our vendors’ excess inventories resulting from production or retailer order cancellations. We generally purchase later in the merchandising buying cycle than department and specialty stores. This allows us to take advantage of imbalances between retailers’ demands for specific merchandise and manufacturers’ supply of that merchandise. We also purchase merchandise from some vendors in advance of the selling season at reduced prices. Occasionally, we purchase merchandise on an opportunistic basis, which we then “pack and hold” for sale three to nine months later. Where possible, we seek to purchase items based on style or color in limited quantities on a test basis with the right to reorder as needed. Finally, we purchase private label merchandise that we source to our specifications.</w:t>
      </w:r>
    </w:p>
    <w:p>
      <w:pPr>
        <w:spacing w:after="0" w:line="84"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As is customary in the industry, we do not enter into long-term contracts with any of our suppliers. While we believe we may encounter delays if we change suppliers, we believe alternate sources of merchandise for all product categories are available at comparable prices.</w:t>
      </w:r>
    </w:p>
    <w:p>
      <w:pPr>
        <w:spacing w:after="0" w:line="62" w:lineRule="exact"/>
        <w:rPr>
          <w:sz w:val="20"/>
          <w:szCs w:val="20"/>
          <w:color w:val="auto"/>
        </w:rPr>
      </w:pPr>
    </w:p>
    <w:p>
      <w:pPr>
        <w:ind w:right="280"/>
        <w:spacing w:after="0" w:line="251" w:lineRule="auto"/>
        <w:rPr>
          <w:sz w:val="20"/>
          <w:szCs w:val="20"/>
          <w:color w:val="auto"/>
        </w:rPr>
      </w:pPr>
      <w:r>
        <w:rPr>
          <w:rFonts w:ascii="Times New Roman" w:cs="Times New Roman" w:eastAsia="Times New Roman" w:hAnsi="Times New Roman"/>
          <w:sz w:val="18"/>
          <w:szCs w:val="18"/>
          <w:color w:val="auto"/>
        </w:rPr>
        <w:t>We allocate merchandise across our store base according to store-level demand. Our merchandising staff utilizes a centralized management system to monitor merchandise purchasing, allocation and sales in order to maximize inventory turnover, identify and respond to changing product demands and determine the timing of mark-downs to our merchandise. Our buyers also regularly review the age and condition of our merchandise and manage both the reordering and clearance processes. In addition, our merchandising team communicates with our regional, district and store managers to ascertain regional and store-level conditions and to better ensure that our product mix meets our consumers’ demands in terms of quality, fashion, price and availability.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and Marketing</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advertising goal is to build the “Citi Trends” brand and promote consumers’ association of our brand with value, quality, fashion and everyday low prices. We generally focus our advertising efforts during the Easter, back-to-school and Christmas seasons. This advertising consists of radio commercials on local hip-hop radio stations that highlight our brands, our value and our everyday low prices. We also do in-store advertising that includes window signs designated for special purposes, such as seasonal events and clearance periods, and taped audio advertisements co-mingled with our in-store music programs. Signs change in color, quantity and theme every three to six weeks. For store grand openings, we typically seek to create community awareness and consumer excitement through radio advertising preceding and during the grand opening and by creating an on-site event with local radio personalities broadcasting from the new location. We also distribute promotional items such as gift certificates and shopping sprees in connection with our grand openings.</w:t>
      </w:r>
    </w:p>
    <w:p>
      <w:pPr>
        <w:spacing w:after="0" w:line="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marketing efforts center on promoting our everyday low prices and on demonstrating the strong price-to-value relationship of our products to our consumers. We do not utilize promotional advertising. Our merchandise is priced so that our competition rarely has lower prices. In the limited situations where our competition offers the same merchandise at a lower price, we will match the price.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13"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All merchandise sold in our stores is shipped directly from our distribution centers in Savannah, Georgia. In November 2004, we opened our second distribution center located on Coleman Boulevard, approximately 10 miles from our primary distribution center, the Fahm Street facility. The Coleman facility is used to process all receipts, as well as to warehouse “pack and hold” merchandise and merchandise held for new store openings. After merchandise is received and quality control functions are performed, the merchandise is moved to the Fahm Street facility for processing and shipping to the stores.</w:t>
      </w:r>
    </w:p>
    <w:p>
      <w:pPr>
        <w:spacing w:after="0" w:line="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work necessary to prepare the merchandise to be sales-floor ready is performed in our distribution centers. Some of our merchandise comes from vendors pre-ticketed and pre-packed and can be shipped directly from the distribution centers to our stores without repacking. However, most merchandise has to be price ticketed and repacked in store shipping units before being shipped to the stores.</w:t>
      </w:r>
    </w:p>
    <w:p>
      <w:pPr>
        <w:spacing w:after="0" w:line="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generally ship merchandise from Savannah to stores daily, but approximately 40 of our smaller volume stores receive merchandise every other day. Savannah is centrally located to our store base, and most of our stores are within a two-day drive from our distribution centers. We use United Parcel Service, Inc. and FedEx Corporation to ship merchandise to our stores. Our distribution centers have a combined 240,000 square feet, including approximately 20,000 square feet of office space. We expect these facilities to support our distribution and office capacity needs for at least the next two years. We intend to use a portion of the net proceeds from this offering to acquire, lease or construct and design a new distribution center in fiscal 2006. We have hired a third party to conduct a site and feasability study regarding the necessary size and location of a new facility. After receipt of the report, we will determine whether to acquire, lease or design and construct a new facility.</w:t>
      </w:r>
    </w:p>
    <w:p>
      <w:pPr>
        <w:spacing w:after="0" w:line="8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Quality control reviews of every merchandise receipt are performed by a dedicated team at the Coleman facility. This team is also responsible for working with our vendors and manufacturers to ensure consistent and superior quality across our private label merchandise, which accounts for approximately 10% of our net sales. Nearly all of our merchandise is purchased from recognized domestic manufacturers and importers, which reduces our risk of inadvertently handling counterfeit items.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 and Systems</w:t>
      </w:r>
    </w:p>
    <w:p>
      <w:pPr>
        <w:spacing w:after="0" w:line="11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7"/>
          <w:szCs w:val="17"/>
          <w:color w:val="auto"/>
        </w:rPr>
        <w:t>We have information systems in place to support each of our business functions. We purchased our enterprise software from Island Pacific, a primary software provider to the retail industry. Our computer platform is an IBM AS400. The Island Pacific software supports the following business functions: purchasing, purchase order management, price and markdown management, distribution, merchandise allocation, general ledger, accounts payable and sales audit.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Island Pacific merchandise system captures and reports sales and inventory by item, by store and by day. This information allows our merchandising team to evaluate merchandise performance in considerable detail with high levels of precision. Over the last four years we have enhanced the Island Pacific software, particularly to enhance merchandise allocation and distribution functions. In 2004, we purchased and installed Buyers Toolbox software to aid our merchandise planning and allocation functions.</w:t>
      </w:r>
    </w:p>
    <w:p>
      <w:pPr>
        <w:spacing w:after="0" w:line="8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Our stores use point-of-sale software from DataVantage, a division of MICROS Systems, Inc., to run our store cash registers. The system uses bar code scanners at checkout to capture item sales. It also supports end-of-day processing and automatically transmits sales and transaction data to Savannah each night. Additionally, the software supports store time clock and payroll functions. To facilitate marking down and re-ticketing merchandise, employees in our stores use hand-held scanners that read the correct item price and prepare new price tickets for merchandise. Our DataVantage software also enables us to sort and review transaction data and generate exception and other database reporting to assist in loss prevention.</w:t>
      </w:r>
    </w:p>
    <w:p>
      <w:pPr>
        <w:spacing w:after="0" w:line="8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2005, we plan to complete installation of the latest upgrade to the DataVantage software. The new software will enable improved and less costly telecommunications between stores and our Fahm Street facility. The upgrade will also provide improved credit and debit card processing, gift card capability, store e-mail and more reliable data transmissions to our home office systems.</w:t>
      </w:r>
    </w:p>
    <w:p>
      <w:pPr>
        <w:spacing w:after="0" w:line="7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color w:val="auto"/>
        </w:rPr>
        <w:t>We believe that our information systems, with upgrades and updates over time, are adequate to support our operations for the foreseeable future. Additionally, we recently upgraded our website to enable Internet sales of selected urban branded apparel provided by third parties. We will earn commissions on these sales.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markets we serve are highly competitive. The principal methods of competition in our retail business are fashion, assortment, pricing and presentation. We believe we have a competitive advantage in our offering of fashionable brands at everyday low prices. We compete against a diverse group of retailers including national off-price retailers, mass merchants, smaller specialty retailers and dollar stores. The off-price retail companies with which we compete include The TJX Companies, Burlington Coat Factory and Ross Stores. In particular, TJX’s A.J. Wright stores target moderate income consumers. Ross Stores, Inc. has recently launched a similar concept targeting lower income consumers, called dd’s DISCOUNTS. We believe our strategy of appealing to African-American consumers and offering urban apparel products allows us to compete successfully with these retailers. We also believe we offer a more inviting store format than the off-price retailers, including our use of carpeted floors and more prominently displayed brands. We also compete with a group of smaller specialty retailers that only sell women’s products, such as Rainbow, Dots, Fashion Cents, It’s Fashions and Simply Fashions. Our mass merchant competitors include Wal-Mart and Kmart. These chains do not focus on fashion apparel and, within their apparel offering, lack the urban focus that we believe differentiates our offering and appeals to our core customers. Similarly, while some of the dollar store chains offer apparel, they typically offer a more limited selection focused on basic apparel needs.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6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We regard our trademarks and service marks as having significant value and as being important to our marketing efforts. We have registered the “Citi Trends” trademark with the U.S. Patent and Trademark Office on the Principal Register as both a trademark for retail department store services and as a trademark for clothing. We have also registered the following trademarks with the U.S. Patent and Trademark Office on the Principal Register: “Citi Club,” “Citi Knights,” “Citi Nite,” “Citi Steps,” “Citi Trends Fashion for Less,” “Citi Women,” “CT Sport,” “Diva Blue,” “Univer Soul” and “Vintage Harlem.” We also have applications pending with the U.S. Patent and Trademark Office on the Principal Register for the following trademarks: “Citi Express,” “Lil Citi Man,” “Lil Ms Hollywood” and “Urban Sophistication.” Our policy is to pursue registration of our marks and to oppose vigorously infringement of our marks.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6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All our existing 212 stores, totaling approximately 2.3 million gross square feet, are leased under operating leases. Additionally, as of April 22, 2005, we have signed leases for seven new stores to be opened during</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fiscal 2005 aggregating approximately 87,028 total gross square feet. Our typical store lease is for five years with an option to extend our lease term for an additional five-year period, and all but one lease requires us to pay percentage rent and increases in specified site-related charges. Nearly all of our store leases provide us the right to cancel following an initial three-year period in the event the store does not meet pre-determined sales levels.</w:t>
      </w:r>
    </w:p>
    <w:p>
      <w:pPr>
        <w:spacing w:after="0" w:line="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own an approximately 170,000 square foot facility located on Fahm Street in Savannah, Georgia, which serves as our headquarters and one of our two distribution centers. This facility is financed under a mortgage with a remaining principal balance of $1.5 million that is due in July 2007. We intend to repay this mortgage with a portion of the proceeds from this offering. We currently lease the land and building for our other distribution center located on Coleman Boulevard. The lease for this distribution center expires in September 2006, with options to renew for up to three more years. In addition, we currently lease 1,200 square feet in New York City, which is used for buyer operations and meetings with vendors.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60"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18"/>
          <w:szCs w:val="18"/>
          <w:color w:val="auto"/>
        </w:rPr>
        <w:t>As of January 29, 2005, we had approximately 800 full-time and approximately 1,000 part-time employees. Of these employees, approximately 1,500 are employed in our stores and the remainder are employed in our distribution centers and corporate offices. We are not a party to any collective bargaining agreements, and none of our employees is represented by a labor union.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We are from time to time involved in various legal proceedings incidental to the conduct of our business, including claims by our customers, employees or former employees. We are currently the defendant in a putative collective action lawsuit commenced by a former employee, under the Fair Labor Standards Act. The suit is pending in the Montgomery County District Court of the United States for the Middle District of Alabama, Northern Division. Jionda James, a former sales associate, who represents the class, claims the Company has a policy of requiring its associates to work off the clock in violation of the Fair Labor Standards Act and that she was forced to work off the clock and has not been compensated for her straight time or overtime. Ms. James is also seeking unpaid compensation and benefits, liquidated damages, attorneys fees, costs and injunctive relief. To date, five people have opted into the class. This case is in its early stages, and we are in the process of evaluating the claims made. While our review of the allegations is preliminary, we believe that our business practices are, and were during the relevant periods, in compliance with the law. We plan to defend this suit vigorously.</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Management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executive officers and directors and their ages: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spacing w:after="0"/>
              <w:rPr>
                <w:sz w:val="14"/>
                <w:szCs w:val="14"/>
                <w:color w:val="auto"/>
              </w:rPr>
            </w:pPr>
          </w:p>
        </w:tc>
        <w:tc>
          <w:tcPr>
            <w:tcW w:w="5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Age</w:t>
            </w:r>
          </w:p>
        </w:tc>
        <w:tc>
          <w:tcPr>
            <w:tcW w:w="340" w:type="dxa"/>
            <w:vAlign w:val="bottom"/>
          </w:tcPr>
          <w:p>
            <w:pPr>
              <w:spacing w:after="0"/>
              <w:rPr>
                <w:sz w:val="14"/>
                <w:szCs w:val="14"/>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0"/>
        </w:trPr>
        <w:tc>
          <w:tcPr>
            <w:tcW w:w="48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R. Edward Anderson</w:t>
            </w:r>
          </w:p>
        </w:tc>
        <w:tc>
          <w:tcPr>
            <w:tcW w:w="360" w:type="dxa"/>
            <w:vAlign w:val="bottom"/>
          </w:tcPr>
          <w:p>
            <w:pPr>
              <w:spacing w:after="0"/>
              <w:rPr>
                <w:sz w:val="17"/>
                <w:szCs w:val="17"/>
                <w:color w:val="auto"/>
              </w:rPr>
            </w:pPr>
          </w:p>
        </w:tc>
        <w:tc>
          <w:tcPr>
            <w:tcW w:w="56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7"/>
                <w:szCs w:val="17"/>
                <w:color w:val="auto"/>
              </w:rPr>
            </w:pPr>
          </w:p>
        </w:tc>
        <w:tc>
          <w:tcPr>
            <w:tcW w:w="53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George A. Bellino*</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Merchandising Officer and Director</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Thomas W. Stoltz</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James A. Dunn</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Store Operations</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Gregory P. Flynn</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Laurens M. Goff*</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John S. Lupo</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Tracy L. Noll</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23939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93950" cy="8255"/>
                    </a:xfrm>
                    <a:prstGeom prst="rect">
                      <a:avLst/>
                    </a:prstGeom>
                    <a:noFill/>
                  </pic:spPr>
                </pic:pic>
              </a:graphicData>
            </a:graphic>
          </wp:anchor>
        </w:drawing>
      </w:r>
    </w:p>
    <w:p>
      <w:pPr>
        <w:spacing w:after="0" w:line="165" w:lineRule="exact"/>
        <w:rPr>
          <w:sz w:val="20"/>
          <w:szCs w:val="20"/>
          <w:color w:val="auto"/>
        </w:rPr>
      </w:pPr>
    </w:p>
    <w:p>
      <w:pPr>
        <w:ind w:left="340" w:hanging="215"/>
        <w:spacing w:after="0"/>
        <w:tabs>
          <w:tab w:leader="none" w:pos="340"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resign from our board of directors upon the consummation of this offering.</w:t>
      </w:r>
    </w:p>
    <w:p>
      <w:pPr>
        <w:spacing w:after="0" w:line="219" w:lineRule="exact"/>
        <w:rPr>
          <w:rFonts w:ascii="Times New Roman" w:cs="Times New Roman" w:eastAsia="Times New Roman" w:hAnsi="Times New Roman"/>
          <w:sz w:val="16"/>
          <w:szCs w:val="16"/>
          <w:color w:val="auto"/>
        </w:rPr>
      </w:pPr>
    </w:p>
    <w:p>
      <w:pPr>
        <w:spacing w:after="0" w:line="25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 xml:space="preserve">R. Edward Anderson. </w:t>
      </w:r>
      <w:r>
        <w:rPr>
          <w:rFonts w:ascii="Times New Roman" w:cs="Times New Roman" w:eastAsia="Times New Roman" w:hAnsi="Times New Roman"/>
          <w:sz w:val="18"/>
          <w:szCs w:val="18"/>
          <w:color w:val="auto"/>
        </w:rPr>
        <w:t>Mr. Anderson has served as our Chief Executive Officer and as a director since December 2001. Prior to his current responsibilities,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Anderson served as Executive Vice President and Chief Financial Officer of Variety Wholesalers, our previous owner, from December 1997 to December 2001. From 1978 to 1994, Mr. Anderson served as Chief Financial Officer of Rose’s Stores, Inc., a discount retailer. In August 1994, Mr. Anderson was promoted to Chief Executive Officer and served in this position until December 1997. Mr. Anderson also served as the Chairman of the Board of Directors of Rose’s Stores, Inc. from August 1994 to December 1997.</w:t>
      </w:r>
    </w:p>
    <w:p>
      <w:pPr>
        <w:spacing w:after="0" w:line="7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George A. Bellino. </w:t>
      </w:r>
      <w:r>
        <w:rPr>
          <w:rFonts w:ascii="Times New Roman" w:cs="Times New Roman" w:eastAsia="Times New Roman" w:hAnsi="Times New Roman"/>
          <w:sz w:val="18"/>
          <w:szCs w:val="18"/>
          <w:color w:val="auto"/>
        </w:rPr>
        <w:t>Mr. Bellino has served as our President and Chief Merchandising Officer since December 2001 and has served as a director since April 1999.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Bellino served as our Chief Executive Officer and President from April 1999 to December 2001. From January 1997 to March 1999, Mr. Bellino served as President of our predecessor company. From June 1992 to December 1996, Mr. Bellino served as the Vice President of Merchandising at Pennsylvania Fashions, a privately held off-price apparel chain. From June 1990 to October 1991, Mr. Bellino served as President of General Textiles/ Family Bargain Center, a retail apparel chain.</w:t>
      </w:r>
    </w:p>
    <w:p>
      <w:pPr>
        <w:spacing w:after="0" w:line="7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Thomas W. Stoltz. </w:t>
      </w:r>
      <w:r>
        <w:rPr>
          <w:rFonts w:ascii="Times New Roman" w:cs="Times New Roman" w:eastAsia="Times New Roman" w:hAnsi="Times New Roman"/>
          <w:sz w:val="18"/>
          <w:szCs w:val="18"/>
          <w:color w:val="auto"/>
        </w:rPr>
        <w:t>Mr. Stoltz has served as our Chief Financial Officer since September 2000. From January 1999 to August 2000, Mr. Stoltz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Sharon Luggage and Gifts, a privately held retailer. From August 1996 to December 1998, Mr. Stoltz served as the Chief Financial Officer and Vice President of Finance of Factory Card Outlet, a greeting card retailer. Mr. Stoltz is a certified public accountant licensed in North Carolina and a member of the American Institute of Certified Public Accountants.</w:t>
      </w:r>
    </w:p>
    <w:p>
      <w:pPr>
        <w:spacing w:after="0" w:line="76"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James A. Dunn. </w:t>
      </w:r>
      <w:r>
        <w:rPr>
          <w:rFonts w:ascii="Times New Roman" w:cs="Times New Roman" w:eastAsia="Times New Roman" w:hAnsi="Times New Roman"/>
          <w:sz w:val="18"/>
          <w:szCs w:val="18"/>
          <w:color w:val="auto"/>
        </w:rPr>
        <w:t>Mr. Dunn has served as our Vice President of Store Operations since April 2001. From January to April 2001, Mr. Dunn was our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Training and Development and from January 2000 to January 2001 was one of our Regional Managers. Prior to joining us, Mr. Dunn was a Store Manager at Staples from January 1999 to December 2000. Prior to that Mr. Dunn was a Regional Manager at Dress Barn, where he supervised 77 stores and 10 district sales managers with an annualized sales volume of $63.0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Gregory P. Flynn. </w:t>
      </w:r>
      <w:r>
        <w:rPr>
          <w:rFonts w:ascii="Times New Roman" w:cs="Times New Roman" w:eastAsia="Times New Roman" w:hAnsi="Times New Roman"/>
          <w:sz w:val="18"/>
          <w:szCs w:val="18"/>
          <w:color w:val="auto"/>
        </w:rPr>
        <w:t>Mr. Flynn has served as our Chairman of the board of directors since 2001 and as a member of the compensation committee since 2001.</w:t>
      </w:r>
    </w:p>
    <w:p>
      <w:pPr>
        <w:spacing w:after="0" w:line="2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Mr. Flynn is currently a Managing Partner of Hampshire Equity Partners II, L.P. and Hampshire Equity Partners III, L.P. and has been associated with Hampshire since 1996. Hampshire Equity Partners and certain of its affiliates are selling stockholders in this offering. From 1994 to 1996, Mr. Flynn served as a Managing Partner of ING Equity Partners, L.P.</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Laurens M. Goff. </w:t>
      </w:r>
      <w:r>
        <w:rPr>
          <w:rFonts w:ascii="Times New Roman" w:cs="Times New Roman" w:eastAsia="Times New Roman" w:hAnsi="Times New Roman"/>
          <w:sz w:val="18"/>
          <w:szCs w:val="18"/>
          <w:color w:val="auto"/>
        </w:rPr>
        <w:t>Mr. Goff has served as a director since September 2003 and is a member of the audit committee. Mr. Goff is currently a Principal of Hampshire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Partners II, L.P. and Hampshire Equity Partners III, L.P. and has been employed by Hampshire since August 1998 as an associate and then as a vice president prior to becoming a Principal. From 1996 to 1998, Mr. Goff served as an analyst of Furman Selz LLC.</w:t>
      </w:r>
    </w:p>
    <w:p>
      <w:pPr>
        <w:spacing w:after="0" w:line="7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John S. Lupo. </w:t>
      </w:r>
      <w:r>
        <w:rPr>
          <w:rFonts w:ascii="Times New Roman" w:cs="Times New Roman" w:eastAsia="Times New Roman" w:hAnsi="Times New Roman"/>
          <w:sz w:val="17"/>
          <w:szCs w:val="17"/>
          <w:color w:val="auto"/>
        </w:rPr>
        <w:t>Mr. Lupo has served as a director since May 2003, and is the Chairman of the compensation committee. Mr. Lupo is a principal in the consulting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firm Renaissance Partners, LLC, which he joined in February 2000. From November 1998 until December 1999, Mr. Lupo served as Executive Vice President of Basset Furniture. From October 1996 until October 1998, Mr. Lupo served as the Chief Operating Officer of the International Division of Wal-Mart Stores Inc., and from September 1990 until September 1996, Mr. Lupo served as Senior Vice President and General Merchandise Manager of Wal-Mart Stores Inc. Mr. Lupo is a director for Rayovac Corp, a public reporting company, and serves on their Compensation and Corporate Governance and Nominating Committees.</w:t>
      </w:r>
    </w:p>
    <w:p>
      <w:pPr>
        <w:spacing w:after="0" w:line="6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Tracy L. Noll. </w:t>
      </w:r>
      <w:r>
        <w:rPr>
          <w:rFonts w:ascii="Times New Roman" w:cs="Times New Roman" w:eastAsia="Times New Roman" w:hAnsi="Times New Roman"/>
          <w:sz w:val="18"/>
          <w:szCs w:val="18"/>
          <w:color w:val="auto"/>
        </w:rPr>
        <w:t>Mr. Noll has served as a director since July 2000 and is the current Chairman of the audit committee. Mr. Noll is currently a private investor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Dallas, Texas. He served as President and Chief Operating Officer of National Dairy Holdings, L.P. from April 2001 to September 2003. He served as Executive Vice President of Suiza Foods Corporation, a public reporting company, from September 1994 until March 2001, including serving as Chief Financial Officer from September 1994 until July 1997. He served as Vice President and Chief Financial Officer of Morningstar Foods Inc., a public reporting company, from April 1988 until June 1994. Mr. Noll currently serves as a Director and is Chairman of the Audit Committee of Reddy Ice Group, Inc., a public reporting company. Mr. Noll also serves as a Director of Lakeview Farms Inc., a privately held company.</w:t>
      </w:r>
    </w:p>
    <w:p>
      <w:pPr>
        <w:spacing w:after="0" w:line="7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color w:val="auto"/>
        </w:rPr>
        <w:t>Each of our executive officers serves at the discretion of the board of directors and holds office until his successor is elected and qualified or until his earlier resignation or removal. There are no family relationships among any of our directors or executive officers.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Composition After the Offering</w:t>
      </w:r>
    </w:p>
    <w:p>
      <w:pPr>
        <w:spacing w:after="0" w:line="11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Our board of directors currently consists of six directors. Following this offering, our board of directors will be divided into three classes and will consist of five directors, two of which will be “independent” under the rules of the Nasdaq National Market, including Messrs. Anderson, Flynn, Noll and Lupo and a vacant director position that we intend to fill after the consummation of this offering with an independent director. Upon the consummation of the offering, Mr. Flynn will be the only Hampshire Equity Partners nominated director, and the two independent directors will be Messrs. Noll and Lupo. Upon the consummation of the offering we expect two of our current directors, Messrs. Bellino and Goff, to resign. We intend to avail ourselves of the transition periods provided for under the applicable rules of the Nasdaq National Market for issuers listing in conjunction with their initial public offering. Although we intend to satisfy all Nasdaq corporate governance rules, immediately after the consummation of the offering, we intend to avail ourselves of the Nasdaq rule 4350(c) “controlled company” exception that applies to companies where more than 50% of the stockholder voting power is held by an individual, a group or another company, due to Hampshire Equity Partners’ ownership interest and voting power described under “Principal and Selling Stockholders.” This rule will grant us an exception from the requirements that we have a majority of independent directors on our board of directors and that our compensation and nominating and corporate governance committees be comprised entirely of independent directors. We intend to comply with the independence rules of the Nasdaq National Market in the event Hampshire’s ownership falls below 50%.</w:t>
      </w:r>
    </w:p>
    <w:p>
      <w:pPr>
        <w:spacing w:after="0" w:line="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will divide our board into three classes having staggered terms, with one of such classes being elected each year for a new three-year term. Class I directors will have an initial term expiring in 2006, Class II directors will have an initial term expiring in 2007 and Class III directors will have an initial term expiring in 2008. Class I will be comprised of our vacant director position, which we intend to fill after the consummation of this offering. Class II will be comprised of Messrs. Noll and Lupo. Class III will be comprised of Messrs. Flynn and Anderson.</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connection with this offering, we will enter into a nominating agreement with Hampshire Equity Partners pursuant to which we, acting through our nominating and corporate governance committee, will agree, subject to the requirements of our directors’ fiduciary duties, that (i) Hampshire Equity Partners will be entitled to designate two directors to be nominated for election to our board of directors as long as Hampshire Equity Partners owns in the aggregate at least 40% of the shares of our common stock which it owned immediately prior to the consummation of this offering or (ii) Hampshire Equity Partners will be entitled to designate one director to be nominated for election to our board of directors as long as Hampshire Equity Partners owns in the aggregate less than 40% and at least 15% of the shares of our common stock which it owned immediately prior to the consummation of this offering. If at any time Hampshire Equity Partners owns less than 15% of the shares of our common stock which it owned immediately prior to the consummation of this offering, it will not have the right to nominate any directors for election to our board of directors. See “Related Party Transactions—Nominating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Committees</w:t>
      </w:r>
    </w:p>
    <w:p>
      <w:pPr>
        <w:spacing w:after="0" w:line="113"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and a compensation committee. Upon the consummation of this offering, we will create a nominating and corporate governance committee.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audit committee, currently consisting of Messrs. Noll and Goff, reviews our internal accounting procedures and consults with and reviews the services provided by our independent registered public accountants. Mr. Noll is the current chairman of the audit committee and qualifies as an “audit committee financial expert” for purposes of the Securities Exchange Act of 1934, as amended, or the Exchange Act. Upon the consummation of this offering and after Mr. Goff’s anticipated resignation, our audit committee will consist of three directors, including Messrs. Lupo and Flynn and Mr. Noll as the chairman. Following this offering, the principal duties and responsibilities of our audit committee will be to:</w:t>
      </w:r>
    </w:p>
    <w:p>
      <w:pPr>
        <w:spacing w:after="0" w:line="29" w:lineRule="exact"/>
        <w:rPr>
          <w:sz w:val="20"/>
          <w:szCs w:val="20"/>
          <w:color w:val="auto"/>
        </w:rPr>
      </w:pPr>
    </w:p>
    <w:p>
      <w:pPr>
        <w:ind w:left="340" w:right="780" w:hanging="215"/>
        <w:spacing w:after="0" w:line="27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direct responsibility for the selection, compensation, retention, replacement and oversight of the work of our independent auditors, including prescribing what services are allowable and approve in advance all services provided by the auditors;</w:t>
      </w:r>
    </w:p>
    <w:p>
      <w:pPr>
        <w:spacing w:after="0" w:line="22"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clear hiring policies for employees or former employees of the independent auditors;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all proposed company hires formerly employed by the independent auditors;</w:t>
      </w:r>
    </w:p>
    <w:p>
      <w:pPr>
        <w:spacing w:after="0" w:line="70" w:lineRule="exact"/>
        <w:rPr>
          <w:rFonts w:ascii="Times New Roman" w:cs="Times New Roman" w:eastAsia="Times New Roman" w:hAnsi="Times New Roman"/>
          <w:sz w:val="18"/>
          <w:szCs w:val="18"/>
          <w:color w:val="auto"/>
        </w:rPr>
      </w:pPr>
    </w:p>
    <w:p>
      <w:pPr>
        <w:ind w:left="340" w:right="220" w:hanging="215"/>
        <w:spacing w:after="0" w:line="27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direct responsibility for ensuring its receipt from the independent auditors at least annually of a formal written statement delineating all relationships between the auditor and us, consistent with Independence Standards Board Standard No. 1;</w:t>
      </w:r>
    </w:p>
    <w:p>
      <w:pPr>
        <w:spacing w:after="0" w:line="22" w:lineRule="exact"/>
        <w:rPr>
          <w:rFonts w:ascii="Times New Roman" w:cs="Times New Roman" w:eastAsia="Times New Roman" w:hAnsi="Times New Roman"/>
          <w:sz w:val="18"/>
          <w:szCs w:val="18"/>
          <w:color w:val="auto"/>
        </w:rPr>
      </w:pPr>
    </w:p>
    <w:p>
      <w:pPr>
        <w:ind w:left="340" w:hanging="215"/>
        <w:spacing w:after="0" w:line="27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independent directors any disclosed relationships or services that may impact the objectivity and independence of the auditor and for taking, or recommending that the full board of directors take, appropriate action to oversee the independence of the independent auditor;</w:t>
      </w:r>
    </w:p>
    <w:p>
      <w:pPr>
        <w:spacing w:after="0" w:line="22" w:lineRule="exact"/>
        <w:rPr>
          <w:rFonts w:ascii="Times New Roman" w:cs="Times New Roman" w:eastAsia="Times New Roman" w:hAnsi="Times New Roman"/>
          <w:sz w:val="18"/>
          <w:szCs w:val="18"/>
          <w:color w:val="auto"/>
        </w:rPr>
      </w:pPr>
    </w:p>
    <w:p>
      <w:pPr>
        <w:ind w:left="340" w:right="340" w:hanging="215"/>
        <w:spacing w:after="0" w:line="27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the internal auditors and the independent auditors the overall scope and plans for their respective audits, including the adequacy of staffing, compensation and resources;</w:t>
      </w:r>
    </w:p>
    <w:p>
      <w:pPr>
        <w:spacing w:after="0" w:line="22" w:lineRule="exact"/>
        <w:rPr>
          <w:rFonts w:ascii="Times New Roman" w:cs="Times New Roman" w:eastAsia="Times New Roman" w:hAnsi="Times New Roman"/>
          <w:sz w:val="18"/>
          <w:szCs w:val="18"/>
          <w:color w:val="auto"/>
        </w:rPr>
      </w:pPr>
    </w:p>
    <w:p>
      <w:pPr>
        <w:ind w:left="340" w:right="540" w:hanging="215"/>
        <w:spacing w:after="0" w:line="27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at least annually, the results and scope of the audit and other services provided by our independent auditors and discuss any audit problems or difficulties and management’s response;</w:t>
      </w:r>
    </w:p>
    <w:p>
      <w:pPr>
        <w:spacing w:after="0" w:line="22" w:lineRule="exact"/>
        <w:rPr>
          <w:rFonts w:ascii="Times New Roman" w:cs="Times New Roman" w:eastAsia="Times New Roman" w:hAnsi="Times New Roman"/>
          <w:sz w:val="18"/>
          <w:szCs w:val="18"/>
          <w:color w:val="auto"/>
        </w:rPr>
      </w:pPr>
    </w:p>
    <w:p>
      <w:pPr>
        <w:jc w:val="both"/>
        <w:ind w:left="340" w:right="120" w:hanging="215"/>
        <w:spacing w:after="0" w:line="258"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annual audited financial statement and quarterly financial statements and discuss the statements with management and the independent auditors (including disclosures in our Exchange Act reports in response to Item 303, “Management’s Discussion and Analysis of Financial Condition and Results of Operations”, of Regulation S-K);</w:t>
      </w:r>
    </w:p>
    <w:p>
      <w:pPr>
        <w:spacing w:after="0" w:line="33" w:lineRule="exact"/>
        <w:rPr>
          <w:rFonts w:ascii="Times New Roman" w:cs="Times New Roman" w:eastAsia="Times New Roman" w:hAnsi="Times New Roman"/>
          <w:sz w:val="18"/>
          <w:szCs w:val="18"/>
          <w:color w:val="auto"/>
        </w:rPr>
      </w:pPr>
    </w:p>
    <w:p>
      <w:pPr>
        <w:ind w:left="340" w:right="220" w:hanging="215"/>
        <w:spacing w:after="0" w:line="27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the internal auditors and the independent auditors the adequacy and effectiveness of our internal controls, including our ability to monitor and manage business risk, legal and ethical compliance programs and financial reporting;</w:t>
      </w:r>
    </w:p>
    <w:p>
      <w:pPr>
        <w:spacing w:after="0" w:line="22" w:lineRule="exact"/>
        <w:rPr>
          <w:rFonts w:ascii="Times New Roman" w:cs="Times New Roman" w:eastAsia="Times New Roman" w:hAnsi="Times New Roman"/>
          <w:sz w:val="18"/>
          <w:szCs w:val="18"/>
          <w:color w:val="auto"/>
        </w:rPr>
      </w:pPr>
    </w:p>
    <w:p>
      <w:pPr>
        <w:ind w:left="340" w:right="940" w:hanging="215"/>
        <w:spacing w:after="0" w:line="27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separately with the internal auditors and the independent auditors, with and without management present, the results of their examinations;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40" w:hanging="215"/>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compliance with legal and regulatory independence;</w:t>
      </w:r>
    </w:p>
    <w:p>
      <w:pPr>
        <w:spacing w:after="0" w:line="70" w:lineRule="exact"/>
        <w:rPr>
          <w:rFonts w:ascii="Times New Roman" w:cs="Times New Roman" w:eastAsia="Times New Roman" w:hAnsi="Times New Roman"/>
          <w:sz w:val="18"/>
          <w:szCs w:val="18"/>
          <w:color w:val="auto"/>
        </w:rPr>
      </w:pPr>
    </w:p>
    <w:p>
      <w:pPr>
        <w:ind w:left="340" w:right="480" w:hanging="215"/>
        <w:spacing w:after="0" w:line="27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our interim financial statements and the earnings press releases prior to the filing of our quarterly reports on Form 10-Q, as well as financial information and earnings guidance provided to analysts and rating agencies;</w:t>
      </w:r>
    </w:p>
    <w:p>
      <w:pPr>
        <w:spacing w:after="0" w:line="22"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our risk assessment and risk management policies;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 audit committee report required by the Commission to be included in our annual proxy statement;</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independent counsel and other advisors to assist the audit committee in carrying out its duties;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all related party transactions consistent with the rules applied to companies listed on the Nasdaq National Market; and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regarding complaints received by us or our employees regarding accounting, accounting controls or accounting matters.</w:t>
      </w:r>
    </w:p>
    <w:p>
      <w:pPr>
        <w:spacing w:after="0" w:line="1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audit committee will be required to report regularly to our board of directors to discuss any issues that arise with respect to the quality or integrity of our financial statements, our compliance with legal or regulatory requirements, the performance and independence of our independent auditors, or the performance of the internal audit function.</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compensation committee, consisting of Messrs. Lupo and Flynn, reviews and determines the compensation and benefits of all of our officers, establishes and reviews general policies relating to the compensation and benefits of all of our employees, and administers our long-term incentive plan. Upon the consummation of this offering, we anticipate that our compensation committee will consist of two directors, with Mr. Lupo as the chairman. Following this offering the principal duties and responsibilities of our compensation committee will be to:</w:t>
      </w:r>
    </w:p>
    <w:p>
      <w:pPr>
        <w:spacing w:after="0" w:line="27" w:lineRule="exact"/>
        <w:rPr>
          <w:sz w:val="20"/>
          <w:szCs w:val="20"/>
          <w:color w:val="auto"/>
        </w:rPr>
      </w:pPr>
    </w:p>
    <w:p>
      <w:pPr>
        <w:ind w:left="340" w:hanging="215"/>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our Chief Executive Officer’s and other named executive officers’ compensation;</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Chief Executive Officer’s performance in light of these goals and objectives;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as a committee, or together with the other independent directors, determine and approve the Chief Executive Officer’s compensation;</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our board of directors regarding the salaries, incentive compensation plans and equity-based plans for our employees; and</w:t>
      </w:r>
    </w:p>
    <w:p>
      <w:pPr>
        <w:spacing w:after="0" w:line="70" w:lineRule="exact"/>
        <w:rPr>
          <w:rFonts w:ascii="Times New Roman" w:cs="Times New Roman" w:eastAsia="Times New Roman" w:hAnsi="Times New Roman"/>
          <w:sz w:val="18"/>
          <w:szCs w:val="18"/>
          <w:color w:val="auto"/>
        </w:rPr>
      </w:pPr>
    </w:p>
    <w:p>
      <w:pPr>
        <w:ind w:left="340" w:right="460" w:hanging="215"/>
        <w:spacing w:after="0" w:line="271"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a compensation committee report on executive compensation as required by the Commission to be included in our annual proxy statements or annual reports on Form 10-K filed with the Commission.</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establishing the compensation committee, the board of directors as a whole performed the functions delegated to the compensation committee. No member of our current compensation committee serves or has ever served as one of our officers or employees. None of our executive officers serves or has ever served as a member of the board of directors or compensation committee of any entity that has one or more executive officers serving on our board of directors or compensation committee.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60"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18"/>
          <w:szCs w:val="18"/>
          <w:color w:val="auto"/>
        </w:rPr>
        <w:t>Upon the consummation of this offering, we will create a nominating and corporate governance committee. We anticipate that our nominating and corporate governance committee will consist of two directors. We anticipate that the principal duties and responsibilities of our nominating and corporate governance committee will be to:</w:t>
      </w:r>
    </w:p>
    <w:p>
      <w:pPr>
        <w:spacing w:after="0" w:line="20" w:lineRule="exact"/>
        <w:rPr>
          <w:sz w:val="20"/>
          <w:szCs w:val="20"/>
          <w:color w:val="auto"/>
        </w:rPr>
      </w:pPr>
    </w:p>
    <w:p>
      <w:pPr>
        <w:ind w:left="5620" w:right="2900" w:hanging="5495"/>
        <w:spacing w:after="0" w:line="485" w:lineRule="auto"/>
        <w:tabs>
          <w:tab w:leader="none" w:pos="34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board members, consistent with criteria approved by the board of directors;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40" w:hanging="215"/>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individuals identified be selected as nominees at annual meetings of our stockholders;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to the board of directors a set of corporate governance principles applicable to us; and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and management.</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Code of Business Conduct</w:t>
      </w:r>
    </w:p>
    <w:p>
      <w:pPr>
        <w:spacing w:after="0" w:line="6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Upon the consummation of this offering, we will adopt a written code of business conduct applicable to our directors, officers and employees in accordance with the rules of the Nasdaq National Market and the Commission. Our code of business conduct will be designed to deter wrongdoing and to promote:</w:t>
      </w:r>
    </w:p>
    <w:p>
      <w:pPr>
        <w:spacing w:after="0" w:line="9" w:lineRule="exact"/>
        <w:rPr>
          <w:sz w:val="20"/>
          <w:szCs w:val="20"/>
          <w:color w:val="auto"/>
        </w:rPr>
      </w:pPr>
    </w:p>
    <w:p>
      <w:pPr>
        <w:ind w:left="340" w:hanging="215"/>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honest and ethical conduct;</w:t>
      </w:r>
    </w:p>
    <w:p>
      <w:pPr>
        <w:spacing w:after="0" w:line="70" w:lineRule="exact"/>
        <w:rPr>
          <w:rFonts w:ascii="Times New Roman" w:cs="Times New Roman" w:eastAsia="Times New Roman" w:hAnsi="Times New Roman"/>
          <w:sz w:val="18"/>
          <w:szCs w:val="18"/>
          <w:color w:val="auto"/>
        </w:rPr>
      </w:pPr>
    </w:p>
    <w:p>
      <w:pPr>
        <w:ind w:left="340" w:right="1260" w:hanging="215"/>
        <w:spacing w:after="0" w:line="27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fair, accurate, timely and understandable disclosure in reports and documents that we file with the Commission and in our other public communications;</w:t>
      </w:r>
    </w:p>
    <w:p>
      <w:pPr>
        <w:spacing w:after="0" w:line="22"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rules and regulations, including insider trading compliance; and</w:t>
      </w:r>
    </w:p>
    <w:p>
      <w:pPr>
        <w:spacing w:after="0" w:line="70" w:lineRule="exact"/>
        <w:rPr>
          <w:rFonts w:ascii="Times New Roman" w:cs="Times New Roman" w:eastAsia="Times New Roman" w:hAnsi="Times New Roman"/>
          <w:sz w:val="18"/>
          <w:szCs w:val="18"/>
          <w:color w:val="auto"/>
        </w:rPr>
      </w:pPr>
    </w:p>
    <w:p>
      <w:pPr>
        <w:ind w:left="340" w:right="40" w:hanging="215"/>
        <w:spacing w:after="0" w:line="271"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 for adherence to the code and prompt internal reporting of violations of the code, including illegal or unethical behavior regarding accounting or auditing practices.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this offering, we will make our code available on our website at www.cititrends.com.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13"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Our independent directors currently receive a $20,000 annual retainer and an annual award of options as compensation from us for their services as members of the board of directors. On March 10, 2004 each of Messrs. Lupo and Noll received options to purchase 2,600 shares of our common stock and such options are exercisable at an exercise price of $6.54 per share. We reimburse all of our directors for out-of-pocket expenses in connection with attendance at board of directors and committee meetings. After this offering, we expect that our independent directors will receive an annual fee of $34,000 for serving as directors and an annual award of 4,000 options with an exercise price set to the fair market value of our common stock on the date of grant.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3"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paid during fiscal 2004 to our Chief Executive Officer and our four most highly compensated executive officers, together referred to as our named executive officers: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90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Annual Compensation</w:t>
            </w:r>
            <w:r>
              <w:rPr>
                <w:rFonts w:ascii="Times New Roman" w:cs="Times New Roman" w:eastAsia="Times New Roman" w:hAnsi="Times New Roman"/>
                <w:sz w:val="11"/>
                <w:szCs w:val="11"/>
                <w:b w:val="1"/>
                <w:bCs w:val="1"/>
                <w:color w:val="auto"/>
              </w:rPr>
              <w:t>(1)</w:t>
            </w: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vMerge w:val="restart"/>
          </w:tcPr>
          <w:p>
            <w:pPr>
              <w:spacing w:after="0"/>
              <w:rPr>
                <w:sz w:val="2"/>
                <w:szCs w:val="2"/>
                <w:color w:val="auto"/>
              </w:rPr>
            </w:pPr>
          </w:p>
        </w:tc>
        <w:tc>
          <w:tcPr>
            <w:tcW w:w="21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00" w:type="dxa"/>
            <w:vAlign w:val="bottom"/>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0" w:type="dxa"/>
            <w:vAlign w:val="bottom"/>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80" w:type="dxa"/>
            <w:vAlign w:val="bottom"/>
          </w:tcPr>
          <w:p>
            <w:pPr>
              <w:spacing w:after="0"/>
              <w:rPr>
                <w:sz w:val="14"/>
                <w:szCs w:val="14"/>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8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Underlying Options</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420" w:type="dxa"/>
            <w:vAlign w:val="bottom"/>
            <w:tcBorders>
              <w:top w:val="single" w:sz="8" w:color="auto"/>
            </w:tcBorders>
            <w:gridSpan w:val="2"/>
          </w:tcPr>
          <w:p>
            <w:pPr>
              <w:spacing w:after="0" w:line="200" w:lineRule="exact"/>
              <w:rPr>
                <w:sz w:val="20"/>
                <w:szCs w:val="20"/>
                <w:color w:val="auto"/>
              </w:rPr>
            </w:pPr>
            <w:r>
              <w:rPr>
                <w:rFonts w:ascii="Times New Roman" w:cs="Times New Roman" w:eastAsia="Times New Roman" w:hAnsi="Times New Roman"/>
                <w:sz w:val="18"/>
                <w:szCs w:val="18"/>
                <w:color w:val="auto"/>
              </w:rPr>
              <w:t>R. Edward Anderson</w:t>
            </w:r>
          </w:p>
        </w:tc>
        <w:tc>
          <w:tcPr>
            <w:tcW w:w="280" w:type="dxa"/>
            <w:vAlign w:val="bottom"/>
          </w:tcPr>
          <w:p>
            <w:pPr>
              <w:spacing w:after="0"/>
              <w:rPr>
                <w:sz w:val="17"/>
                <w:szCs w:val="17"/>
                <w:color w:val="auto"/>
              </w:rPr>
            </w:pPr>
          </w:p>
        </w:tc>
        <w:tc>
          <w:tcPr>
            <w:tcW w:w="1200" w:type="dxa"/>
            <w:vAlign w:val="bottom"/>
            <w:tcBorders>
              <w:top w:val="single" w:sz="8" w:color="auto"/>
            </w:tcBorders>
          </w:tcPr>
          <w:p>
            <w:pPr>
              <w:jc w:val="center"/>
              <w:ind w:left="95"/>
              <w:spacing w:after="0" w:line="200" w:lineRule="exact"/>
              <w:rPr>
                <w:sz w:val="20"/>
                <w:szCs w:val="20"/>
                <w:color w:val="auto"/>
              </w:rPr>
            </w:pPr>
            <w:r>
              <w:rPr>
                <w:rFonts w:ascii="Times New Roman" w:cs="Times New Roman" w:eastAsia="Times New Roman" w:hAnsi="Times New Roman"/>
                <w:sz w:val="18"/>
                <w:szCs w:val="18"/>
                <w:color w:val="auto"/>
                <w:w w:val="94"/>
              </w:rPr>
              <w:t>2004</w:t>
            </w:r>
          </w:p>
        </w:tc>
        <w:tc>
          <w:tcPr>
            <w:tcW w:w="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Borders>
              <w:top w:val="single" w:sz="8" w:color="auto"/>
            </w:tcBorders>
          </w:tcPr>
          <w:p>
            <w:pPr>
              <w:jc w:val="right"/>
              <w:ind w:right="201"/>
              <w:spacing w:after="0" w:line="200" w:lineRule="exact"/>
              <w:rPr>
                <w:sz w:val="20"/>
                <w:szCs w:val="20"/>
                <w:color w:val="auto"/>
              </w:rPr>
            </w:pPr>
            <w:r>
              <w:rPr>
                <w:rFonts w:ascii="Times New Roman" w:cs="Times New Roman" w:eastAsia="Times New Roman" w:hAnsi="Times New Roman"/>
                <w:sz w:val="18"/>
                <w:szCs w:val="18"/>
                <w:color w:val="auto"/>
              </w:rPr>
              <w:t>$327,693</w:t>
            </w:r>
          </w:p>
        </w:tc>
        <w:tc>
          <w:tcPr>
            <w:tcW w:w="280" w:type="dxa"/>
            <w:vAlign w:val="bottom"/>
          </w:tcPr>
          <w:p>
            <w:pPr>
              <w:spacing w:after="0"/>
              <w:rPr>
                <w:sz w:val="17"/>
                <w:szCs w:val="17"/>
                <w:color w:val="auto"/>
              </w:rPr>
            </w:pPr>
          </w:p>
        </w:tc>
        <w:tc>
          <w:tcPr>
            <w:tcW w:w="2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95"/>
              <w:spacing w:after="0" w:line="200" w:lineRule="exact"/>
              <w:rPr>
                <w:sz w:val="20"/>
                <w:szCs w:val="20"/>
                <w:color w:val="auto"/>
              </w:rPr>
            </w:pPr>
            <w:r>
              <w:rPr>
                <w:rFonts w:ascii="Times New Roman" w:cs="Times New Roman" w:eastAsia="Times New Roman" w:hAnsi="Times New Roman"/>
                <w:sz w:val="18"/>
                <w:szCs w:val="18"/>
                <w:color w:val="auto"/>
                <w:w w:val="95"/>
              </w:rPr>
              <w:t>144,000</w:t>
            </w:r>
          </w:p>
        </w:tc>
        <w:tc>
          <w:tcPr>
            <w:tcW w:w="280" w:type="dxa"/>
            <w:vAlign w:val="bottom"/>
          </w:tcPr>
          <w:p>
            <w:pPr>
              <w:spacing w:after="0"/>
              <w:rPr>
                <w:sz w:val="17"/>
                <w:szCs w:val="17"/>
                <w:color w:val="auto"/>
              </w:rPr>
            </w:pPr>
          </w:p>
        </w:tc>
        <w:tc>
          <w:tcPr>
            <w:tcW w:w="2180" w:type="dxa"/>
            <w:vAlign w:val="bottom"/>
            <w:tcBorders>
              <w:top w:val="single" w:sz="8" w:color="auto"/>
            </w:tcBorders>
          </w:tcPr>
          <w:p>
            <w:pPr>
              <w:jc w:val="right"/>
              <w:ind w:right="762"/>
              <w:spacing w:after="0" w:line="200" w:lineRule="exact"/>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George A. Bellino</w:t>
            </w:r>
          </w:p>
        </w:tc>
        <w:tc>
          <w:tcPr>
            <w:tcW w:w="12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4"/>
              </w:rPr>
              <w:t>2004</w:t>
            </w:r>
          </w:p>
        </w:tc>
        <w:tc>
          <w:tcPr>
            <w:tcW w:w="16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$248,077</w:t>
            </w: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w w:val="95"/>
              </w:rPr>
              <w:t>114,000</w:t>
            </w:r>
          </w:p>
        </w:tc>
        <w:tc>
          <w:tcPr>
            <w:tcW w:w="246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$1,342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President and Chief</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Merchandising Officer</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Thomas W. Stoltz</w:t>
            </w:r>
          </w:p>
        </w:tc>
        <w:tc>
          <w:tcPr>
            <w:tcW w:w="12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4"/>
              </w:rPr>
              <w:t>2004</w:t>
            </w:r>
          </w:p>
        </w:tc>
        <w:tc>
          <w:tcPr>
            <w:tcW w:w="16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$173,769</w:t>
            </w: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tcPr>
          <w:p>
            <w:pPr>
              <w:spacing w:after="0"/>
              <w:rPr>
                <w:sz w:val="18"/>
                <w:szCs w:val="18"/>
                <w:color w:val="auto"/>
              </w:rPr>
            </w:pPr>
          </w:p>
        </w:tc>
        <w:tc>
          <w:tcPr>
            <w:tcW w:w="218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James A. Dunn</w:t>
            </w:r>
          </w:p>
        </w:tc>
        <w:tc>
          <w:tcPr>
            <w:tcW w:w="12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4"/>
              </w:rPr>
              <w:t>2004</w:t>
            </w:r>
          </w:p>
        </w:tc>
        <w:tc>
          <w:tcPr>
            <w:tcW w:w="16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$140,769</w:t>
            </w: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39,900</w:t>
            </w:r>
          </w:p>
        </w:tc>
        <w:tc>
          <w:tcPr>
            <w:tcW w:w="280" w:type="dxa"/>
            <w:vAlign w:val="bottom"/>
          </w:tcPr>
          <w:p>
            <w:pPr>
              <w:spacing w:after="0"/>
              <w:rPr>
                <w:sz w:val="18"/>
                <w:szCs w:val="18"/>
                <w:color w:val="auto"/>
              </w:rPr>
            </w:pPr>
          </w:p>
        </w:tc>
        <w:tc>
          <w:tcPr>
            <w:tcW w:w="2180" w:type="dxa"/>
            <w:vAlign w:val="bottom"/>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Vice President of Store Operations</w:t>
            </w:r>
          </w:p>
        </w:tc>
        <w:tc>
          <w:tcPr>
            <w:tcW w:w="940" w:type="dxa"/>
            <w:vAlign w:val="bottom"/>
            <w:gridSpan w:val="2"/>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40" w:hanging="234"/>
        <w:spacing w:after="0"/>
        <w:tabs>
          <w:tab w:leader="none" w:pos="2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Excludes perquisites and other benefits, which for each named individual are less than 10% of the sum of such individual’s annual salary and bonus.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Grants</w:t>
      </w:r>
    </w:p>
    <w:p>
      <w:pPr>
        <w:spacing w:after="0" w:line="113"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following table contains summary information regarding stock option grants made during fiscal 2004 by us to the named executive officers. We also granted stock options to purchase shares of common stock to certain of our employees and to our current stockholders, including Hampshire Equity Partners. All options were granted at fair market value of our common stock, as determined by our board of directors, on the grant date.</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Grants In Last Fiscal Year</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Realizable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at Assumed Rates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of Total Options</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gridSpan w:val="4"/>
          </w:tcPr>
          <w:p>
            <w:pPr>
              <w:jc w:val="center"/>
              <w:ind w:right="518"/>
              <w:spacing w:after="0" w:line="145" w:lineRule="exact"/>
              <w:rPr>
                <w:sz w:val="20"/>
                <w:szCs w:val="20"/>
                <w:color w:val="auto"/>
              </w:rPr>
            </w:pPr>
            <w:r>
              <w:rPr>
                <w:rFonts w:ascii="Times New Roman" w:cs="Times New Roman" w:eastAsia="Times New Roman" w:hAnsi="Times New Roman"/>
                <w:sz w:val="14"/>
                <w:szCs w:val="14"/>
                <w:b w:val="1"/>
                <w:bCs w:val="1"/>
                <w:color w:val="auto"/>
              </w:rPr>
              <w:t>of Stock Price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Securities</w:t>
            </w:r>
          </w:p>
        </w:tc>
        <w:tc>
          <w:tcPr>
            <w:tcW w:w="2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Appreciation for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Granted to</w:t>
            </w:r>
          </w:p>
        </w:tc>
        <w:tc>
          <w:tcPr>
            <w:tcW w:w="2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gridSpan w:val="5"/>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Option Term</w:t>
            </w: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1700" w:type="dxa"/>
            <w:vAlign w:val="bottom"/>
            <w:gridSpan w:val="2"/>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Underlying Options</w:t>
            </w:r>
          </w:p>
        </w:tc>
        <w:tc>
          <w:tcPr>
            <w:tcW w:w="260" w:type="dxa"/>
            <w:vAlign w:val="bottom"/>
            <w:vMerge w:val="restart"/>
          </w:tcPr>
          <w:p>
            <w:pPr>
              <w:spacing w:after="0"/>
              <w:rPr>
                <w:sz w:val="2"/>
                <w:szCs w:val="2"/>
                <w:color w:val="auto"/>
              </w:rPr>
            </w:pPr>
          </w:p>
        </w:tc>
        <w:tc>
          <w:tcPr>
            <w:tcW w:w="160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Employees in</w:t>
            </w:r>
          </w:p>
        </w:tc>
        <w:tc>
          <w:tcPr>
            <w:tcW w:w="280" w:type="dxa"/>
            <w:vAlign w:val="bottom"/>
            <w:vMerge w:val="restart"/>
          </w:tcPr>
          <w:p>
            <w:pPr>
              <w:spacing w:after="0"/>
              <w:rPr>
                <w:sz w:val="2"/>
                <w:szCs w:val="2"/>
                <w:color w:val="auto"/>
              </w:rPr>
            </w:pPr>
          </w:p>
        </w:tc>
        <w:tc>
          <w:tcPr>
            <w:tcW w:w="8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280" w:type="dxa"/>
            <w:vAlign w:val="bottom"/>
            <w:vMerge w:val="restart"/>
          </w:tcPr>
          <w:p>
            <w:pPr>
              <w:spacing w:after="0"/>
              <w:rPr>
                <w:sz w:val="2"/>
                <w:szCs w:val="2"/>
                <w:color w:val="auto"/>
              </w:rPr>
            </w:pPr>
          </w:p>
        </w:tc>
        <w:tc>
          <w:tcPr>
            <w:tcW w:w="1560" w:type="dxa"/>
            <w:vAlign w:val="bottom"/>
            <w:gridSpan w:val="2"/>
            <w:vMerge w:val="restart"/>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2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Year</w:t>
            </w:r>
          </w:p>
        </w:tc>
        <w:tc>
          <w:tcPr>
            <w:tcW w:w="2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5%</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54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18"/>
                <w:szCs w:val="18"/>
                <w:color w:val="auto"/>
              </w:rPr>
              <w:t>R. Edward Anderson</w:t>
            </w:r>
          </w:p>
        </w:tc>
        <w:tc>
          <w:tcPr>
            <w:tcW w:w="260" w:type="dxa"/>
            <w:vAlign w:val="bottom"/>
          </w:tcPr>
          <w:p>
            <w:pPr>
              <w:spacing w:after="0"/>
              <w:rPr>
                <w:sz w:val="17"/>
                <w:szCs w:val="17"/>
                <w:color w:val="auto"/>
              </w:rPr>
            </w:pPr>
          </w:p>
        </w:tc>
        <w:tc>
          <w:tcPr>
            <w:tcW w:w="1700" w:type="dxa"/>
            <w:vAlign w:val="bottom"/>
            <w:tcBorders>
              <w:top w:val="single" w:sz="8" w:color="auto"/>
            </w:tcBorders>
            <w:gridSpan w:val="2"/>
          </w:tcPr>
          <w:p>
            <w:pPr>
              <w:jc w:val="right"/>
              <w:ind w:right="552"/>
              <w:spacing w:after="0" w:line="200" w:lineRule="exact"/>
              <w:rPr>
                <w:sz w:val="20"/>
                <w:szCs w:val="20"/>
                <w:color w:val="auto"/>
              </w:rPr>
            </w:pPr>
            <w:r>
              <w:rPr>
                <w:rFonts w:ascii="Times New Roman" w:cs="Times New Roman" w:eastAsia="Times New Roman" w:hAnsi="Times New Roman"/>
                <w:sz w:val="18"/>
                <w:szCs w:val="18"/>
                <w:color w:val="auto"/>
              </w:rPr>
              <w:t>312</w:t>
            </w:r>
          </w:p>
        </w:tc>
        <w:tc>
          <w:tcPr>
            <w:tcW w:w="260" w:type="dxa"/>
            <w:vAlign w:val="bottom"/>
          </w:tcPr>
          <w:p>
            <w:pPr>
              <w:spacing w:after="0"/>
              <w:rPr>
                <w:sz w:val="17"/>
                <w:szCs w:val="17"/>
                <w:color w:val="auto"/>
              </w:rPr>
            </w:pPr>
          </w:p>
        </w:tc>
        <w:tc>
          <w:tcPr>
            <w:tcW w:w="1600" w:type="dxa"/>
            <w:vAlign w:val="bottom"/>
            <w:tcBorders>
              <w:top w:val="single" w:sz="8" w:color="auto"/>
            </w:tcBorders>
          </w:tcPr>
          <w:p>
            <w:pPr>
              <w:jc w:val="right"/>
              <w:ind w:right="402"/>
              <w:spacing w:after="0" w:line="200" w:lineRule="exact"/>
              <w:rPr>
                <w:sz w:val="20"/>
                <w:szCs w:val="20"/>
                <w:color w:val="auto"/>
              </w:rPr>
            </w:pPr>
            <w:r>
              <w:rPr>
                <w:rFonts w:ascii="Times New Roman" w:cs="Times New Roman" w:eastAsia="Times New Roman" w:hAnsi="Times New Roman"/>
                <w:sz w:val="18"/>
                <w:szCs w:val="18"/>
                <w:color w:val="auto"/>
              </w:rPr>
              <w:t>0.3%</w:t>
            </w:r>
          </w:p>
        </w:tc>
        <w:tc>
          <w:tcPr>
            <w:tcW w:w="280" w:type="dxa"/>
            <w:vAlign w:val="bottom"/>
          </w:tcPr>
          <w:p>
            <w:pPr>
              <w:spacing w:after="0"/>
              <w:rPr>
                <w:sz w:val="17"/>
                <w:szCs w:val="17"/>
                <w:color w:val="auto"/>
              </w:rPr>
            </w:pPr>
          </w:p>
        </w:tc>
        <w:tc>
          <w:tcPr>
            <w:tcW w:w="88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8"/>
                <w:szCs w:val="18"/>
                <w:color w:val="auto"/>
                <w:w w:val="98"/>
              </w:rPr>
              <w:t>$6.85</w:t>
            </w:r>
          </w:p>
        </w:tc>
        <w:tc>
          <w:tcPr>
            <w:tcW w:w="280" w:type="dxa"/>
            <w:vAlign w:val="bottom"/>
          </w:tcPr>
          <w:p>
            <w:pPr>
              <w:spacing w:after="0"/>
              <w:rPr>
                <w:sz w:val="17"/>
                <w:szCs w:val="17"/>
                <w:color w:val="auto"/>
              </w:rPr>
            </w:pPr>
          </w:p>
        </w:tc>
        <w:tc>
          <w:tcPr>
            <w:tcW w:w="1280" w:type="dxa"/>
            <w:vAlign w:val="bottom"/>
            <w:tcBorders>
              <w:top w:val="single" w:sz="8" w:color="auto"/>
            </w:tcBorders>
          </w:tcPr>
          <w:p>
            <w:pPr>
              <w:jc w:val="right"/>
              <w:ind w:right="204"/>
              <w:spacing w:after="0" w:line="200" w:lineRule="exact"/>
              <w:rPr>
                <w:sz w:val="20"/>
                <w:szCs w:val="20"/>
                <w:color w:val="auto"/>
              </w:rPr>
            </w:pPr>
            <w:r>
              <w:rPr>
                <w:rFonts w:ascii="Times New Roman" w:cs="Times New Roman" w:eastAsia="Times New Roman" w:hAnsi="Times New Roman"/>
                <w:sz w:val="18"/>
                <w:szCs w:val="18"/>
                <w:color w:val="auto"/>
              </w:rPr>
              <w:t>10/30/14</w:t>
            </w:r>
          </w:p>
        </w:tc>
        <w:tc>
          <w:tcPr>
            <w:tcW w:w="280" w:type="dxa"/>
            <w:vAlign w:val="bottom"/>
          </w:tcPr>
          <w:p>
            <w:pPr>
              <w:spacing w:after="0"/>
              <w:rPr>
                <w:sz w:val="17"/>
                <w:szCs w:val="17"/>
                <w:color w:val="auto"/>
              </w:rPr>
            </w:pPr>
          </w:p>
        </w:tc>
        <w:tc>
          <w:tcPr>
            <w:tcW w:w="6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$4,470</w:t>
            </w:r>
          </w:p>
        </w:tc>
        <w:tc>
          <w:tcPr>
            <w:tcW w:w="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ind w:right="118"/>
              <w:spacing w:after="0" w:line="200" w:lineRule="exact"/>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r>
        <w:trPr>
          <w:trHeight w:val="212"/>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George A. Bellino</w:t>
            </w:r>
          </w:p>
        </w:tc>
        <w:tc>
          <w:tcPr>
            <w:tcW w:w="1960" w:type="dxa"/>
            <w:vAlign w:val="bottom"/>
            <w:gridSpan w:val="3"/>
          </w:tcPr>
          <w:p>
            <w:pPr>
              <w:jc w:val="right"/>
              <w:ind w:right="552"/>
              <w:spacing w:after="0"/>
              <w:rPr>
                <w:sz w:val="20"/>
                <w:szCs w:val="20"/>
                <w:color w:val="auto"/>
              </w:rPr>
            </w:pPr>
            <w:r>
              <w:rPr>
                <w:rFonts w:ascii="Times New Roman" w:cs="Times New Roman" w:eastAsia="Times New Roman" w:hAnsi="Times New Roman"/>
                <w:sz w:val="18"/>
                <w:szCs w:val="18"/>
                <w:color w:val="auto"/>
              </w:rPr>
              <w:t>676</w:t>
            </w:r>
          </w:p>
        </w:tc>
        <w:tc>
          <w:tcPr>
            <w:tcW w:w="1860" w:type="dxa"/>
            <w:vAlign w:val="bottom"/>
            <w:gridSpan w:val="2"/>
          </w:tcPr>
          <w:p>
            <w:pPr>
              <w:jc w:val="right"/>
              <w:ind w:right="402"/>
              <w:spacing w:after="0"/>
              <w:rPr>
                <w:sz w:val="20"/>
                <w:szCs w:val="20"/>
                <w:color w:val="auto"/>
              </w:rPr>
            </w:pPr>
            <w:r>
              <w:rPr>
                <w:rFonts w:ascii="Times New Roman" w:cs="Times New Roman" w:eastAsia="Times New Roman" w:hAnsi="Times New Roman"/>
                <w:sz w:val="18"/>
                <w:szCs w:val="18"/>
                <w:color w:val="auto"/>
              </w:rPr>
              <w:t>0.7%</w:t>
            </w:r>
          </w:p>
        </w:tc>
        <w:tc>
          <w:tcPr>
            <w:tcW w:w="11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$6.85</w:t>
            </w:r>
          </w:p>
        </w:tc>
        <w:tc>
          <w:tcPr>
            <w:tcW w:w="1560" w:type="dxa"/>
            <w:vAlign w:val="bottom"/>
            <w:gridSpan w:val="2"/>
          </w:tcPr>
          <w:p>
            <w:pPr>
              <w:jc w:val="right"/>
              <w:ind w:right="204"/>
              <w:spacing w:after="0"/>
              <w:rPr>
                <w:sz w:val="20"/>
                <w:szCs w:val="20"/>
                <w:color w:val="auto"/>
              </w:rPr>
            </w:pPr>
            <w:r>
              <w:rPr>
                <w:rFonts w:ascii="Times New Roman" w:cs="Times New Roman" w:eastAsia="Times New Roman" w:hAnsi="Times New Roman"/>
                <w:sz w:val="18"/>
                <w:szCs w:val="18"/>
                <w:color w:val="auto"/>
              </w:rPr>
              <w:t>10/30/14</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w w:val="92"/>
              </w:rPr>
              <w:t>18,163</w:t>
            </w:r>
          </w:p>
        </w:tc>
        <w:tc>
          <w:tcPr>
            <w:tcW w:w="0" w:type="dxa"/>
            <w:vAlign w:val="bottom"/>
          </w:tcPr>
          <w:p>
            <w:pPr>
              <w:spacing w:after="0"/>
              <w:rPr>
                <w:sz w:val="1"/>
                <w:szCs w:val="1"/>
                <w:color w:val="auto"/>
              </w:rPr>
            </w:pPr>
          </w:p>
        </w:tc>
      </w:tr>
      <w:tr>
        <w:trPr>
          <w:trHeight w:val="212"/>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W. Stoltz</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600" w:type="dxa"/>
            <w:vAlign w:val="bottom"/>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A. Dunn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1600" w:type="dxa"/>
            <w:vAlign w:val="bottom"/>
          </w:tcPr>
          <w:p>
            <w:pPr>
              <w:jc w:val="right"/>
              <w:ind w:right="56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40" w:right="60" w:hanging="234"/>
        <w:spacing w:after="0" w:line="231" w:lineRule="auto"/>
        <w:tabs>
          <w:tab w:leader="none" w:pos="2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Potential realizable value is based upon the assumed initial public offering price of our common stock of $13.00. Potential realizable values are net of exercise price, but before taxes associated with exercise. Amounts representing hypothetical gains are those that could be achieved if options are exercised at the end of the option term. The assumed 5% and 10% rates of stock price appreciation are provided in accordance with rules of the Commission, based on the assumed initial public offering price of $13.00 per share and do not represent our estimate or projection of the future stock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Year-End Option Values</w:t>
      </w:r>
    </w:p>
    <w:p>
      <w:pPr>
        <w:spacing w:after="0" w:line="11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following table provides information about the number and value of unexercised options to purchase common stock held on January 29, 2005 by the named executive officers. There was no public market for our common stock on January 29, 2005. Accordingly, we have calculated the values of the unexercised options on the basis of an assumed initial public offering price of $13.00 per share, less the applicable exercise price, multiplied by the number of shares acquired upon exercise. None of the named executive officers exercised any stock options in fiscal 2004.</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 Option Values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 of Unexercised</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92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vMerge w:val="restart"/>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5"/>
          </w:tcPr>
          <w:p>
            <w:pPr>
              <w:jc w:val="center"/>
              <w:ind w:right="915"/>
              <w:spacing w:after="0"/>
              <w:rPr>
                <w:sz w:val="20"/>
                <w:szCs w:val="20"/>
                <w:color w:val="auto"/>
              </w:rPr>
            </w:pPr>
            <w:r>
              <w:rPr>
                <w:rFonts w:ascii="Times New Roman" w:cs="Times New Roman" w:eastAsia="Times New Roman" w:hAnsi="Times New Roman"/>
                <w:sz w:val="14"/>
                <w:szCs w:val="14"/>
                <w:b w:val="1"/>
                <w:bCs w:val="1"/>
                <w:color w:val="auto"/>
                <w:w w:val="99"/>
              </w:rPr>
              <w:t>Unexercised Options at Fiscal Year End</w:t>
            </w:r>
          </w:p>
        </w:tc>
        <w:tc>
          <w:tcPr>
            <w:tcW w:w="240" w:type="dxa"/>
            <w:vAlign w:val="bottom"/>
          </w:tcPr>
          <w:p>
            <w:pPr>
              <w:spacing w:after="0"/>
              <w:rPr>
                <w:sz w:val="14"/>
                <w:szCs w:val="14"/>
                <w:color w:val="auto"/>
              </w:rPr>
            </w:pPr>
          </w:p>
        </w:tc>
        <w:tc>
          <w:tcPr>
            <w:tcW w:w="342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In-the-Money Options</w:t>
            </w: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920" w:type="dxa"/>
            <w:vAlign w:val="bottom"/>
            <w:tcBorders>
              <w:bottom w:val="single" w:sz="8" w:color="auto"/>
            </w:tcBorders>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00" w:type="dxa"/>
            <w:vAlign w:val="bottom"/>
            <w:tcBorders>
              <w:bottom w:val="single" w:sz="8" w:color="auto"/>
            </w:tcBorders>
          </w:tcPr>
          <w:p>
            <w:pPr>
              <w:jc w:val="right"/>
              <w:ind w:right="255"/>
              <w:spacing w:after="0" w:line="152" w:lineRule="exact"/>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3"/>
                <w:szCs w:val="13"/>
                <w:color w:val="auto"/>
              </w:rPr>
            </w:pPr>
          </w:p>
        </w:tc>
        <w:tc>
          <w:tcPr>
            <w:tcW w:w="1480" w:type="dxa"/>
            <w:vAlign w:val="bottom"/>
            <w:tcBorders>
              <w:bottom w:val="single" w:sz="8" w:color="auto"/>
            </w:tcBorders>
          </w:tcPr>
          <w:p>
            <w:pPr>
              <w:jc w:val="right"/>
              <w:ind w:right="329"/>
              <w:spacing w:after="0" w:line="152"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95"/>
              <w:spacing w:after="0" w:line="152"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240" w:type="dxa"/>
            <w:vAlign w:val="bottom"/>
          </w:tcPr>
          <w:p>
            <w:pPr>
              <w:spacing w:after="0"/>
              <w:rPr>
                <w:sz w:val="13"/>
                <w:szCs w:val="13"/>
                <w:color w:val="auto"/>
              </w:rPr>
            </w:pPr>
          </w:p>
        </w:tc>
        <w:tc>
          <w:tcPr>
            <w:tcW w:w="1480" w:type="dxa"/>
            <w:vAlign w:val="bottom"/>
            <w:tcBorders>
              <w:bottom w:val="single" w:sz="8" w:color="auto"/>
            </w:tcBorders>
          </w:tcPr>
          <w:p>
            <w:pPr>
              <w:jc w:val="right"/>
              <w:ind w:right="309"/>
              <w:spacing w:after="0" w:line="152"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3"/>
                <w:szCs w:val="13"/>
                <w:color w:val="auto"/>
              </w:rPr>
            </w:pPr>
          </w:p>
        </w:tc>
        <w:tc>
          <w:tcPr>
            <w:tcW w:w="1700" w:type="dxa"/>
            <w:vAlign w:val="bottom"/>
            <w:tcBorders>
              <w:bottom w:val="single" w:sz="8" w:color="auto"/>
            </w:tcBorders>
            <w:gridSpan w:val="2"/>
          </w:tcPr>
          <w:p>
            <w:pPr>
              <w:jc w:val="right"/>
              <w:ind w:right="332"/>
              <w:spacing w:after="0" w:line="152"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 Edward Anderson</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437,502</w:t>
            </w:r>
          </w:p>
        </w:tc>
        <w:tc>
          <w:tcPr>
            <w:tcW w:w="174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8"/>
                <w:szCs w:val="18"/>
                <w:color w:val="auto"/>
              </w:rPr>
              <w:t>437,502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8"/>
                <w:szCs w:val="18"/>
                <w:color w:val="auto"/>
              </w:rPr>
              <w:t>$5,517,993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A. Bellino</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361,504</w:t>
            </w:r>
          </w:p>
        </w:tc>
        <w:tc>
          <w:tcPr>
            <w:tcW w:w="174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361,504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69"/>
              <w:spacing w:after="0"/>
              <w:rPr>
                <w:sz w:val="20"/>
                <w:szCs w:val="20"/>
                <w:color w:val="auto"/>
              </w:rPr>
            </w:pPr>
            <w:r>
              <w:rPr>
                <w:rFonts w:ascii="Times New Roman" w:cs="Times New Roman" w:eastAsia="Times New Roman" w:hAnsi="Times New Roman"/>
                <w:sz w:val="18"/>
                <w:szCs w:val="18"/>
                <w:color w:val="auto"/>
              </w:rPr>
              <w:t>4,555,111</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W. Stoltz</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78,000</w:t>
            </w:r>
          </w:p>
        </w:tc>
        <w:tc>
          <w:tcPr>
            <w:tcW w:w="1740" w:type="dxa"/>
            <w:vAlign w:val="bottom"/>
            <w:gridSpan w:val="2"/>
            <w:shd w:val="clear" w:color="auto" w:fill="CCEEFF"/>
          </w:tcPr>
          <w:p>
            <w:pPr>
              <w:jc w:val="right"/>
              <w:ind w:right="329"/>
              <w:spacing w:after="0"/>
              <w:rPr>
                <w:sz w:val="20"/>
                <w:szCs w:val="20"/>
                <w:color w:val="auto"/>
              </w:rPr>
            </w:pPr>
            <w:r>
              <w:rPr>
                <w:rFonts w:ascii="Times New Roman" w:cs="Times New Roman" w:eastAsia="Times New Roman" w:hAnsi="Times New Roman"/>
                <w:sz w:val="18"/>
                <w:szCs w:val="18"/>
                <w:color w:val="auto"/>
              </w:rPr>
              <w:t>78,000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8"/>
                <w:szCs w:val="18"/>
                <w:color w:val="auto"/>
              </w:rPr>
              <w:t>984,360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A. Dunn</w:t>
            </w:r>
          </w:p>
        </w:tc>
        <w:tc>
          <w:tcPr>
            <w:tcW w:w="1120" w:type="dxa"/>
            <w:vAlign w:val="bottom"/>
            <w:gridSpan w:val="2"/>
          </w:tcPr>
          <w:p>
            <w:pPr>
              <w:spacing w:after="0"/>
              <w:rPr>
                <w:sz w:val="18"/>
                <w:szCs w:val="18"/>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65,000</w:t>
            </w:r>
          </w:p>
        </w:tc>
        <w:tc>
          <w:tcPr>
            <w:tcW w:w="1740" w:type="dxa"/>
            <w:vAlign w:val="bottom"/>
            <w:gridSpan w:val="2"/>
          </w:tcPr>
          <w:p>
            <w:pPr>
              <w:jc w:val="right"/>
              <w:ind w:right="329"/>
              <w:spacing w:after="0"/>
              <w:rPr>
                <w:sz w:val="20"/>
                <w:szCs w:val="20"/>
                <w:color w:val="auto"/>
              </w:rPr>
            </w:pPr>
            <w:r>
              <w:rPr>
                <w:rFonts w:ascii="Times New Roman" w:cs="Times New Roman" w:eastAsia="Times New Roman" w:hAnsi="Times New Roman"/>
                <w:sz w:val="18"/>
                <w:szCs w:val="18"/>
                <w:color w:val="auto"/>
              </w:rPr>
              <w:t>51,350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13,650</w:t>
            </w:r>
          </w:p>
        </w:tc>
        <w:tc>
          <w:tcPr>
            <w:tcW w:w="1720" w:type="dxa"/>
            <w:vAlign w:val="bottom"/>
            <w:gridSpan w:val="2"/>
          </w:tcPr>
          <w:p>
            <w:pPr>
              <w:jc w:val="right"/>
              <w:ind w:right="269"/>
              <w:spacing w:after="0"/>
              <w:rPr>
                <w:sz w:val="20"/>
                <w:szCs w:val="20"/>
                <w:color w:val="auto"/>
              </w:rPr>
            </w:pPr>
            <w:r>
              <w:rPr>
                <w:rFonts w:ascii="Times New Roman" w:cs="Times New Roman" w:eastAsia="Times New Roman" w:hAnsi="Times New Roman"/>
                <w:sz w:val="18"/>
                <w:szCs w:val="18"/>
                <w:color w:val="auto"/>
              </w:rPr>
              <w:t>648,037</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w w:val="95"/>
              </w:rPr>
              <w:t>172,263</w:t>
            </w: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240" w:right="400" w:hanging="234"/>
        <w:spacing w:after="0" w:line="235" w:lineRule="auto"/>
        <w:tabs>
          <w:tab w:leader="none" w:pos="2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options were granted under our Amended and Restated 1999 Stock Option Plan. These options generally vest in equal installments over four years from the date of grant and are generally exercisable up to ten years from the date of grant. The fair value of the options granted during the year ended January 29, 2005 was $2.50 using the Black-Scholes option-pricing model, with weighted average assumptions: no dividend yield; 50% expected volatility; 2.50% risk-free interest rate; ten year expected life and a 10% forfeiture rate.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2005 Long-Term Incentive Plan</w:t>
      </w:r>
    </w:p>
    <w:p>
      <w:pPr>
        <w:spacing w:after="0" w:line="60"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7"/>
          <w:szCs w:val="17"/>
          <w:color w:val="auto"/>
        </w:rPr>
        <w:t>Our board of directors and stockholders recently adopted the 2005 Long-Term Incentive Plan to replace our Amended and Restated 1999 Stock Option Plan. The 2005 Long-Term Incentive Plan enables our key employees and directors to acquire and maintain stock ownership, thereby strengthening their commitment to</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success and their desire to remain with us, focusing their attention on managing as an equity owner and aligning their interests with those of our stockholders. In addition, the plan is intended to attract and retain key employees, which, together with the key directors, we refer to collectively as eligible persons, and to provide incentives and rewards for superior performance that will ultimately lead to our profitable growth. The plan was approved by a majority our stockholders on April 8, 2005. As of April 28, 2005, options to purchase up to 1,847,248 shares of our common stock remain outstanding under the Amended and Restated 1999 Stock Option Plan. Due to the adoption of the new plan, the Amended and Restated 1999 Stock Option Plan will be terminated and no additional options was granted under that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features of our incentive plan are described in summary form below.</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Shares Subject to the Plan</w:t>
      </w:r>
    </w:p>
    <w:p>
      <w:pPr>
        <w:spacing w:after="0" w:line="6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The incentive plan provides that no more than 1,300,000 shares of our common stock may be issued pursuant to awards under the incentive plan; provided that, in the aggregate, no more than 50% of the total shares of our common stock can be made the subject of an award other than as options under the incentive plan. These shares of our common stock will be authorized but unissued shares in such amounts as determined by the board of directors. However, the amount of shares of our common stock granted to an individual in any calendar year period can not exceed 5% of the total number of reserved shares of common stock. Also, in any calendar year period, the maximum dollar amount of cash or the fair market value of common stock that any individual can receive in connection with performance units can not exceed $2.5 million. The number of shares of our common stock available for awards, as well as the terms of outstanding awards, are subject to adjustment as provided in the incentive plan for stock splits, stock dividends, recapitalizations, mergers, consolidations, liquidations, changes in corporate structure and other similar events. Awards that may be granted under the incentive plan include stock options, stock appreciation rights (SARs), restricted shares, performance units, performance shares and director’s shares. Upon the granting of an award to an individual, the number of shares of common stock available shall be reduced depending on the type of award granted, as provided in the incentive plan.</w:t>
      </w:r>
    </w:p>
    <w:p>
      <w:pPr>
        <w:spacing w:after="0" w:line="84"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color w:val="auto"/>
        </w:rPr>
        <w:t>The shares of our common stock subject to any award that expires, terminates or is cancelled, is settled in cash, or is forfeited or becomes unexercisable, will again be available for subsequent awards, except as prohibited by law.</w:t>
      </w:r>
    </w:p>
    <w:p>
      <w:pPr>
        <w:spacing w:after="0" w:line="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6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Either our board of directors or a committee appointed by our board directors may administer the incentive plan. We refer to our board of directors and any committee exercising discretion under the incentive plan from time to time as the committee. With respect to decisions involving an award to a reporting person within the meaning of Rule 16a-2 under the Exchange Act, the committee is to consist of two or more directors who are disinterested within the meaning of Rule 16b-3 under the Exchange Act. With respect to decisions involving an award intended to satisfy the requirements of section 162(m) of the Internal Revenue Code, the committee is to consist solely of two or more directors who are “outside directors” for purposes of that code section. We currently expect that our compensation committee will administer the incentive plan, and, subject to the phase in rules of the Nasdaq National Market our compensation committee will include at least two independent directors.</w:t>
      </w:r>
    </w:p>
    <w:p>
      <w:pPr>
        <w:spacing w:after="0" w:line="84"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Subject to the terms of the incentive plan, the committee has express authority to determine the eligible persons who will receive awards, when such awards will be granted, the number of shares of our common stock, units, or SARs to be covered by each award, the relationship between awards and the terms and conditions of awards. The committee has broad discretion to prescribe, amend, and rescind rules relating to the incentive plan and its administration, to interpret and construe the incentive plan and the terms of all award agreements, and to take all actions necessary or advisable to administer the incentive plan. Within the limits of the incentive plan, the committee may accelerate the vesting of any awards, allow the exercise of unvested awards, and may modify, replace, cancel, or renew them.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color w:val="auto"/>
        </w:rPr>
        <w:t>The incentive plan provides that the determination of the committee on all matters relating to awards and the incentive plan are final. The incentive plan also releases members of the committee from liability for good faith actions associated with the administration of the incentive plan.</w:t>
      </w:r>
    </w:p>
    <w:p>
      <w:pPr>
        <w:spacing w:after="0" w:line="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6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The committee may grant options that are intended to qualify as incentive stock options, which we refer to as ISOs, only to employees, and may grant all other awards to employees or any nonemployee director. The incentive plan and the discussion below use the term “grantee” to refer to an eligible person who has received an award under the incentive plan. Although the incentive plan provides the general provisions of our available awards, upon the determination by the committee of the type and amount of award to be granted to a grantee, the eligible grantee will enter into an agreement with us specifying the specific terms of the award to be granted. Each type of award (i.e., stock option, restricted share, performance units and performance shares) is governed by a separate agreement that describes the respective terms governing such award, such as the exercise date, term and expiration, restrictions, value, form and timing of payment.</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6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Stock options granted under the incentive plan provide grantees with the right to purchase shares of our common stock at a predetermined exercise price. The committee may grant stock options that are intended to qualify as ISOs, or stock options that are not intended to so qualify, which we refer to as non-ISOs. The incentive plan also provides that ISO treatment may not be available for stock options that become first exercisable in any calendar year to the extent the value of the underlying shares that are the subject of the stock option exceed $100,000, based upon the fair market value of the shares of our common stock on the stock option grant date. Any ISO shall be granted within ten years from the earlier of the date the incentive plan is adopted by our board of directors or the date the incentive plan is approved by our stockholders.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Appreciation Rights (SARs)</w:t>
      </w:r>
    </w:p>
    <w:p>
      <w:pPr>
        <w:spacing w:after="0" w:line="6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SAR generally permits a grantee to receive, upon exercise, shares of our common stock equal in value to the excess of (i) the fair market value, on the date of exercise, of the shares of our common stock with respect to which the SAR is being exercised, over (ii) the exercise price of the SAR for such shares. The committee may grant SARs in tandem with stock options, or independently of them. The committee has the discretion to grant SARs to any eligible employee or nonemployee director.</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Price for Stock Options and SARs</w:t>
      </w:r>
    </w:p>
    <w:p>
      <w:pPr>
        <w:spacing w:after="0" w:line="6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7"/>
          <w:szCs w:val="17"/>
          <w:color w:val="auto"/>
        </w:rPr>
        <w:t>The exercise price of non-ISOs and SARs may not be less than 100% of the fair market value of our common stock on the grant date of the award. The exercise price of ISOs may not be less than 110% of the fair market value of our common stock on the grant date of the award for owners who own more than 10% of our shares of common stock on the grant date. For ISOs granted to other participants and for options intended to be exempt from Internal Revenue Code</w:t>
      </w:r>
    </w:p>
    <w:p>
      <w:pPr>
        <w:ind w:right="40"/>
        <w:spacing w:after="0" w:line="246" w:lineRule="auto"/>
        <w:rPr>
          <w:sz w:val="20"/>
          <w:szCs w:val="20"/>
          <w:color w:val="auto"/>
        </w:rPr>
      </w:pPr>
      <w:r>
        <w:rPr>
          <w:rFonts w:ascii="Times New Roman" w:cs="Times New Roman" w:eastAsia="Times New Roman" w:hAnsi="Times New Roman"/>
          <w:sz w:val="18"/>
          <w:szCs w:val="18"/>
          <w:color w:val="auto"/>
        </w:rPr>
        <w:t>Section 162(m) limitations, the exercise price may not be less than 100% of the fair market value of our common stock on the grant date. With respect to stock options and SARs, payment of the exercise price may be made in any of the following forms, or combination of them: shares of unrestricted stock held by the grantee for at least six months (or a lesser period as determined by the committee) prior to the exercise of the option or SAR, based upon its fair market value on the day preceding the date of exercise, or through simultaneous sale through a broker of unrestricted stock acquired on exercise. The exercise price of any option and SAR must be determined by the committee no later than the date of grant of such option or SAR and the exercise price shall be paid in full at the time of the exercise.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Exercise and Term of Options and SARs</w:t>
      </w:r>
    </w:p>
    <w:p>
      <w:pPr>
        <w:spacing w:after="0" w:line="60"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The committee will determine the times, circumstances and conditions under which a stock option or SAR may be exercisable. Unless provided otherwise in the applicable award agreement, each option or SAR shall be exercisable in one or more installments commencing on or after the first anniversary of the grant date; provided, however, that all options or SARs shall become fully vested and exercisable upon a change of control, as defined in the incentive plan. To the extent exercisable in accordance with the agreement granting them, a stock option or SAR may be exercised in whole or in part, and from time to time during its term,</w:t>
      </w: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subject to earlier termination relating to a holder’s termination of employment or service as may be determined by the committee at the time of the grant. The term during which grantees may exercise stock options and SARs may not exceed ten years from the date of grant or five years in the case of ISOs granted to employees who, at the time of grant, own more than 10% of our outstanding shares of common stock; provided that, an option (excluding ISOs) may, upon the death of the holder of such option, be exercised for up to one year following the date of the holder’s death, even if the period extends beyond the ten year limit.</w:t>
      </w:r>
    </w:p>
    <w:p>
      <w:pPr>
        <w:spacing w:after="0" w:line="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Options and SARs granted to nonemployee directors will be exercisable with respect to one-third of the underlying shares on each of the first, second and third anniversaries of the grant date and will have a term of not more than ten years. If a nonemployee director ceases to serve as a director, any option or SAR granted to such director shall be exercisable during its remaining term, to the extent that the option or SAR was exercisable on the date the nonemployee director ceased to be a director.</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6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Under the incentive plan, the committee may grant restricted shares that are forfeitable until certain vesting requirements are met. For restricted shares, the incentive plan provides the committee with discretion to determine the per share purchase price of such shares, which can not be less than the minimum consideration (as defined in the incentive plan generally as the par value of a share of common stock), and the terms and conditions under which a grantee’s interests in such awards become vested. The incentive plan also provides the committee with discretion to determine whether the payment of dividends declared on the shares should be deferred and held by us until restrictions on the shares lapse, whether dividends should be reinvested in additional shares of restricted shares subject to certain restrictions and terms, whether interest will be credited to the account of such holder for dividends not reinvested and whether dividends issued on the restricted shares should be treated as additional restricted shares. Payment of the purchase price for shares of restricted stock shall be made in full by the grantee before the delivery of such shares and, in any event, no later than ten days after the grant date for such shares. This payment may be made in cash or, with prior approval of the committee and subject to certain conditions, shares of restricted or unrestricted stock owned by the grantee. Under the incentive plan, the committee has discretion to provide in the award agreement that all or any portion of a grantee’s award of restricted shares shall be forfeited (a) upon the grantee’s termination of employment within a specified time period, (b) if specified performance goals are not satisfied by us or the grantee within a specified time period or (c) if any other listed restriction in the governing award agreement is not satisfied. If a share of restricted stock is forfeited, then the grantee shall be deemed to have resold such share to us at a specified price, we shall pay the grantee the amount due as soon as possible, but no later than 90 days after forfeiture, and the share of restricted stock shall cease to be outstanding.</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6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incentive plan authorizes the committee to grant performance-based awards in the form of performance units and performance shares that are “performance compensation awards” that are intended to be exempt from Internal Revenue Code Section 162(m) limitations unless otherwise designated in the applicable award agreement. In either case, unless otherwise specified in the award agreement, upon the achievement, within the specified period of time, of the performance objectives, a performance unit shall be deemed exercised on the date on which it first becomes exercisable. Performance units are payable in cash or restricted stock, except that the committee may decide to pay benefits wholly or partly in stock delivered to the grantee or credited to a specified brokerage account. For performance shares, unless otherwise specified in the award agreement or by the committee, upon the achievement within the specified period of time of the performance objectives, grantees shall be awarded shares of restricted stock or common stock, unless the committee decides to pay cash in lieu of stock, based upon the number of percentage shares specified in the award agreement multiplied by the performance percentage achieved. The committee decides the length of performance periods, but the periods may not be less than one year nor more than 5 years. Any performance shares with respect to which the performance goals have not been achieved at the end of the performance period shall expire.</w:t>
      </w:r>
    </w:p>
    <w:p>
      <w:pPr>
        <w:spacing w:after="0" w:line="8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With respect to performance compensation awards, the incentive plan requires that the committee specify in writing the performance period to which the award relates, and an objective formula by which to measure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right="80"/>
        <w:spacing w:after="0" w:line="280" w:lineRule="auto"/>
        <w:rPr>
          <w:sz w:val="20"/>
          <w:szCs w:val="20"/>
          <w:color w:val="auto"/>
        </w:rPr>
      </w:pPr>
      <w:r>
        <w:rPr>
          <w:rFonts w:ascii="Times New Roman" w:cs="Times New Roman" w:eastAsia="Times New Roman" w:hAnsi="Times New Roman"/>
          <w:sz w:val="17"/>
          <w:szCs w:val="17"/>
          <w:color w:val="auto"/>
        </w:rPr>
        <w:t>whether and the extent to which the award is earned on the basis of the level of performance achieved with respect to one or more performance measures. Once established for a performance period, the performance measures and performance formula applicable to the award may not be amended or modified in a manner that would cause the compensation payable under the award to fail to constitute performance-based compensation under Internal Revenue Code Section 162(m).</w:t>
      </w:r>
    </w:p>
    <w:p>
      <w:pPr>
        <w:spacing w:after="0" w:line="57"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Under the incentive plan, the possible performance measures to be used by the committee for performance compensation awards include stock price, basic earnings per share, operating income, return on equity or assets, cash flow, earnings before interest, taxes, depreciation and amortization, revenues, overall revenues or sales growth, expense reduction or management, market position, total income, return on net assets, economic value added, stockholder value added, cash flow return on investment, net operating profit, net operating profit after tax, return on capital and return on invested capital. Each measure will be, to the extent applicable, determined in accordance with generally accepted accounting principles as consistently applied by us, or such other standard applied by the committee and, if so determined by the committee, and in the case of a performance compensation award, to the extent permitted under Internal Revenue Code Section 162(m), adjusted to reflect the impact of specified corporate transactions, special charges, foreign currency effects, accounting or tax law changes and other extraordinary or nonrecurring events. Performance measures may vary from performance period to performance period, and from grantee to grantee, and may be established on a stand-alone basis, in tandem or in the alternative.</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Tandem Awards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may grant and identify any award with another award granted under the incentive plan, on terms and conditions set forth by the committee.</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Initial Awards</w:t>
      </w:r>
    </w:p>
    <w:p>
      <w:pPr>
        <w:spacing w:after="0" w:line="6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Our board of directors has authorized, effective and conditioned upon the consummation of this offering, awards for our management employees in the form of stock option grants, with an exercise price equal to the offering price of our shares in the offering. We currently anticipate that our fiscal 2005 grants will be as follows: options to purchase 28,000, 11,000, 6,000, 5,000 and 130,000 shares of common stock will be awarded to Messrs. Anderson, Bellino, Stoltz, Dunn, and all management employees as a group (approximately 75 employees), respectively.</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Withholding</w:t>
      </w:r>
    </w:p>
    <w:p>
      <w:pPr>
        <w:spacing w:after="0" w:line="6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color w:val="auto"/>
        </w:rPr>
        <w:t>As a condition for the issuance of shares of our common stock pursuant to awards, the incentive plan requires satisfaction of any applicable federal, state, local, or foreign withholding tax obligations that may arise in connection with the award or the issuance of shares of our common stock.</w:t>
      </w:r>
    </w:p>
    <w:p>
      <w:pPr>
        <w:spacing w:after="0" w:line="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Unless set forth in the agreement evidencing the award, awards (other than an award of restricted stock) may not be assigned or transferred except by will or the laws of descent and distribution or, in the case of an option other than an ISO, pursuant to a domestic relations order as defined under Rule 16a-12 under the Exchange Act. An option may be exercised during the lifetime of the grantee only by that grantee or his or her guardian, legal representatives or, except as would cause an ISO to lose such status, by a bankruptcy trustee. Notwithstanding the foregoing, the committee may set forth in the agreement evidencing the award (other than an ISO) that the award may be transferred to an immediate family member, or related trust or related partnership. The terms of an award shall be final, binding and conclusive upon the beneficiaries, executors, administrators, heirs and successors of the grantee. Each share of restricted stock shall be non-transferable until such share becomes non-forfeitable.</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Corporate Transactions</w:t>
      </w:r>
    </w:p>
    <w:p>
      <w:pPr>
        <w:spacing w:after="0" w:line="6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With respect to any award which relates to stock, in the event of our liquidation or dissolution or merger or consolidation with another entity, the incentive plan and awards issued thereunder shall continue in effect in accordance with their terms, except that following any of these events either (a) each outstanding award shall be treated as provided for in the agreement entered into in connection with the event or (b) if not so provided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agreement entered into in connection with the event, a grantee shall be entitled to receive with respect to each share of stock subject to the outstanding award, upon the vesting, payment or exercise of the award the same number and kind of stock, securities, cash, property, or other consideration that each holder of a share of stock was entitled to receive in connection with that certain event.</w:t>
      </w:r>
    </w:p>
    <w:p>
      <w:pPr>
        <w:spacing w:after="0" w:line="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applicable award agreement pertaining to each award shall set forth the terms and conditions applicable to such award upon a termination of employment of any grantee by us, which, except for awards granted to nonemployee directors, shall be as the committee may, in its discretion, determine at the time the award is granted or thereafter.</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Term of Plan; Amendments and Termination</w:t>
      </w:r>
    </w:p>
    <w:p>
      <w:pPr>
        <w:spacing w:after="0" w:line="60" w:lineRule="exact"/>
        <w:rPr>
          <w:sz w:val="20"/>
          <w:szCs w:val="20"/>
          <w:color w:val="auto"/>
        </w:rPr>
      </w:pPr>
    </w:p>
    <w:p>
      <w:pPr>
        <w:jc w:val="both"/>
        <w:ind w:right="120"/>
        <w:spacing w:after="0" w:line="251" w:lineRule="auto"/>
        <w:rPr>
          <w:sz w:val="20"/>
          <w:szCs w:val="20"/>
          <w:color w:val="auto"/>
        </w:rPr>
      </w:pPr>
      <w:r>
        <w:rPr>
          <w:rFonts w:ascii="Times New Roman" w:cs="Times New Roman" w:eastAsia="Times New Roman" w:hAnsi="Times New Roman"/>
          <w:sz w:val="18"/>
          <w:szCs w:val="18"/>
          <w:color w:val="auto"/>
        </w:rPr>
        <w:t>The term of the incentive plan is ten years from April 8, 2005, the date it was approved by our board of directors and stockholders, or at such earlier time as our board of directors may determine. Our board of directors may from time to time, amend or modify the incentive plan without the approval of our stockholders, unless stockholder approval is required (a) to retain ISO treatment under the Internal Revenue Code, (b) to permit transactions in stock under the incentive plan to be exempt from liability under Section 16(b) of the Exchange Act or (c) under the listing requirements of any securities exchange on which any of our equity securities are listed.</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6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Except where preempted by federal law, the law of the State of Georgia shall be controlling in all matters relating to the incentive plan, without giving effect to the conflicts of law principles thereof.</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3"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Set forth below are summaries of all of our employment agreements and arrangements with our named executive officers. The following summaries do not contain all of the terms of the agreements they summarize, and we refer you to the agreements, which are included as exhibits to the registration statement of which this prospectus forms a part, for a complete understanding of the terms thereof. See “Where You Can Find More Information.”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 Agreement with R. Edward Anderson</w:t>
      </w:r>
    </w:p>
    <w:p>
      <w:pPr>
        <w:spacing w:after="0" w:line="115" w:lineRule="exact"/>
        <w:rPr>
          <w:sz w:val="20"/>
          <w:szCs w:val="20"/>
          <w:color w:val="auto"/>
        </w:rPr>
      </w:pPr>
    </w:p>
    <w:p>
      <w:pPr>
        <w:ind w:right="480"/>
        <w:spacing w:after="0" w:line="271" w:lineRule="auto"/>
        <w:rPr>
          <w:sz w:val="20"/>
          <w:szCs w:val="20"/>
          <w:color w:val="auto"/>
        </w:rPr>
      </w:pPr>
      <w:r>
        <w:rPr>
          <w:rFonts w:ascii="Times New Roman" w:cs="Times New Roman" w:eastAsia="Times New Roman" w:hAnsi="Times New Roman"/>
          <w:sz w:val="18"/>
          <w:szCs w:val="18"/>
          <w:color w:val="auto"/>
        </w:rPr>
        <w:t>In November 2001, we entered into a letter agreement with Mr. Anderson, pursuant to which Mr. Anderson was appointed our Chief Executive Officer and member of our board of directors.</w:t>
      </w:r>
    </w:p>
    <w:p>
      <w:pPr>
        <w:spacing w:after="0" w:line="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Compensation</w:t>
      </w:r>
    </w:p>
    <w:p>
      <w:pPr>
        <w:spacing w:after="0" w:line="6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The letter agreement provides that Mr. Anderson will receive an annual base salary of $300,000 (not including perquisites) and will be eligible to earn a bonus of up to 50% of his base salary. Mr. Anderson’s bonus is contingent upon our obtaining certain financial goals.</w:t>
      </w:r>
    </w:p>
    <w:p>
      <w:pPr>
        <w:spacing w:after="0" w:line="6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At the time he was hired, we granted Mr. Anderson options to purchase shares of our common stock. These options vest in equal amounts over four years, subject to accelerated vesting in the event that we reach targeted financial goals. In the event that Mr. Anderson is terminated for a reason other than “cause” (which term is not defined in the agreement), we may repurchase any or all of his vested options at “fair market value” as determined by our board of directors. In the event that Mr. Anderson is terminated for “cause,” any and all of his vested options will be cancelled. The agreement does not have a definite term, does not contain a noncompetition provision and does not provide for the treatment of unvested options held by Mr. Anderson at the time of his termination. The agreement provides that all of Mr. Anderson’s unvested options will vest upon a “change of control” (which term is not defined in the agreement).</w:t>
      </w:r>
    </w:p>
    <w:p>
      <w:pPr>
        <w:spacing w:after="0" w:line="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6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letter agreement provides that in the event that Mr. Anderson is terminated for any reason other than for “cause,” he is entitled to severance pay of $150,000 to be paid in arrears over a period of six months.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Employment and Non-Interference Agreement with George A. Bellino</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Term and Termination</w:t>
      </w:r>
    </w:p>
    <w:p>
      <w:pPr>
        <w:spacing w:after="0" w:line="60"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In April 1999, we entered into an employment and non-interference agreement with Mr. Bellino, pursuant to which Mr. Bellino was appointed our Chief Executive Officer and President for a period of two years. In December 2001, we amended certain terms of this employment and non-interference agreement, including to change Mr. Bellino’s position to Chief Merchandising Officer and President. Mr. Bellino’s amended agreement has a one year term and is automatically renewed for subsequent twelve-month periods subject to 90 days prior notice by either party. Mr. Bellino’s amended agreement provides that his employment may be terminated: (a) upon his death or disability, (b) by us for “cause” (described below), (d) by us for any reason other than those set forth in</w:t>
      </w:r>
    </w:p>
    <w:p>
      <w:pPr>
        <w:spacing w:after="0" w:line="1" w:lineRule="exact"/>
        <w:rPr>
          <w:sz w:val="20"/>
          <w:szCs w:val="20"/>
          <w:color w:val="auto"/>
        </w:rPr>
      </w:pPr>
    </w:p>
    <w:p>
      <w:pPr>
        <w:ind w:right="100" w:firstLine="6"/>
        <w:spacing w:after="0" w:line="250" w:lineRule="auto"/>
        <w:tabs>
          <w:tab w:leader="none" w:pos="2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or no reason, which the agreement defines as “no reason,” (e) by Mr. Bellino at will or (f) by Mr. Bellino if we do not satisfy our obligations under the agreement or materially reduce Mr. Bellino’s duties or change his title without consent, which the agreement defines as “reason.”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as defined in the agreement includes:</w:t>
      </w:r>
    </w:p>
    <w:p>
      <w:pPr>
        <w:spacing w:after="0" w:line="58" w:lineRule="exact"/>
        <w:rPr>
          <w:sz w:val="20"/>
          <w:szCs w:val="20"/>
          <w:color w:val="auto"/>
        </w:rPr>
      </w:pPr>
    </w:p>
    <w:p>
      <w:pPr>
        <w:ind w:left="340" w:hanging="215"/>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or guilty plea to a serious felony, a crime of moral turpitude or other specified financial offenses,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determination that Mr. Bellino has committed a crime of moral turpitude,</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determination that Mr. Bellino knowingly breached his fiduciary obligations to us, subject to notice and a cure period,</w:t>
      </w:r>
    </w:p>
    <w:p>
      <w:pPr>
        <w:spacing w:after="0" w:line="70" w:lineRule="exact"/>
        <w:rPr>
          <w:rFonts w:ascii="Times New Roman" w:cs="Times New Roman" w:eastAsia="Times New Roman" w:hAnsi="Times New Roman"/>
          <w:sz w:val="18"/>
          <w:szCs w:val="18"/>
          <w:color w:val="auto"/>
        </w:rPr>
      </w:pPr>
    </w:p>
    <w:p>
      <w:pPr>
        <w:ind w:left="340" w:right="180" w:hanging="215"/>
        <w:spacing w:after="0" w:line="271"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Bellino’s failure to discharge his duties under the agreement or substance abuse which materially interferes with the discharge of his duties, subject to notice and a cure period,</w:t>
      </w:r>
    </w:p>
    <w:p>
      <w:pPr>
        <w:spacing w:after="0" w:line="22"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Bellino’s material violation of any non-competition or confidentiality agreement with us,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Bellino’s material violation of any other personal obligations under his agreement, subject to notice and a cure period, and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violation of law by Mr. Bellino that could have a material adverse effect on us, subject to notice and a cure period.</w:t>
      </w:r>
    </w:p>
    <w:p>
      <w:pPr>
        <w:spacing w:after="0" w:line="11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Mr. Bellino’s agreement provides that if he is terminated for any reason, he is entitled to receive all accrued and unpaid salary and benefits, reimbursement of expenses and continued medical coverage as legally required. In addition, in the event that Mr. Bellino is terminated (a) upon his death or disability, (b) by us for “no reason” or (c) by him with “reason,” then Mr. Bellino is entitled to receive payments, payable over a twelve-month period, equal to twelve months of his base salary on his termination date, subject to reduction for any compensation from other employment during such twelve-month period.</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Compensation</w:t>
      </w:r>
    </w:p>
    <w:p>
      <w:pPr>
        <w:spacing w:after="0" w:line="60"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Under the agreement, Mr. Bellino receives an annual base salary of $215,000 (excluding perquisites), subject to review by the board, and is eligible for a bonus based on our performance. As provided in the agreement, Mr. Bellino’s bonus may be an amount equal to 35% of his base salary if we reach targeted financial goals. The agreement also provides for reimbursement of Mr. Bellino’s employment related expenses by us.</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Non-Interference and Non-Solicitation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term of his agreement and for a twelve-month period after his termination date, Mr. Bellino has agreed not to, without our consent:</w:t>
      </w:r>
    </w:p>
    <w:p>
      <w:pPr>
        <w:spacing w:after="0" w:line="58" w:lineRule="exact"/>
        <w:rPr>
          <w:sz w:val="20"/>
          <w:szCs w:val="20"/>
          <w:color w:val="auto"/>
        </w:rPr>
      </w:pPr>
    </w:p>
    <w:p>
      <w:pPr>
        <w:ind w:left="340" w:hanging="215"/>
        <w:spacing w:after="0" w:line="258"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 manage, operate, control, invest or acquire an interest in, or otherwise engage or participate in, whether as a proprietor, partner, stockholder, lender, director, officer, employee, joint venturer, investor, lessor, agent, representative or other participant, any business which competes with us in any state where we operate, or</w:t>
      </w:r>
    </w:p>
    <w:p>
      <w:pPr>
        <w:spacing w:after="0" w:line="33" w:lineRule="exact"/>
        <w:rPr>
          <w:rFonts w:ascii="Times New Roman" w:cs="Times New Roman" w:eastAsia="Times New Roman" w:hAnsi="Times New Roman"/>
          <w:sz w:val="18"/>
          <w:szCs w:val="18"/>
          <w:color w:val="auto"/>
        </w:rPr>
      </w:pPr>
    </w:p>
    <w:p>
      <w:pPr>
        <w:jc w:val="both"/>
        <w:ind w:left="340" w:right="140" w:hanging="215"/>
        <w:spacing w:after="0" w:line="301" w:lineRule="auto"/>
        <w:tabs>
          <w:tab w:leader="none" w:pos="3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 solicit or otherwise induce or influence any proprietor, partner, stockholder, lender, director, officer, employee, sales agent, joint venturer, investor, lessor, customer, agent, representative or any other person with a business relationship with us to discontinue, reduce or modify their relationship with us.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11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As permitted by the Delaware General Corporation Law, we have adopted provisions in our second amended and restated certificate of incorporation and our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or breach of fiduciary duty as a director, except for liability for:</w:t>
      </w:r>
    </w:p>
    <w:p>
      <w:pPr>
        <w:spacing w:after="0" w:line="29" w:lineRule="exact"/>
        <w:rPr>
          <w:sz w:val="20"/>
          <w:szCs w:val="20"/>
          <w:color w:val="auto"/>
        </w:rPr>
      </w:pPr>
    </w:p>
    <w:p>
      <w:pPr>
        <w:ind w:left="340" w:hanging="215"/>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1" w:lineRule="exact"/>
        <w:rPr>
          <w:sz w:val="20"/>
          <w:szCs w:val="20"/>
          <w:color w:val="auto"/>
        </w:rPr>
      </w:pPr>
    </w:p>
    <w:p>
      <w:pPr>
        <w:ind w:right="680"/>
        <w:spacing w:after="0" w:line="301"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second amended and restated certificate of incorporation also authorizes us to indemnify our officers, directors and other agents to the full extent permitted under Delaware law.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the Delaware General Corporation Law, our amended and restated by-laws provide that:</w:t>
      </w:r>
    </w:p>
    <w:p>
      <w:pPr>
        <w:spacing w:after="0" w:line="58" w:lineRule="exact"/>
        <w:rPr>
          <w:sz w:val="20"/>
          <w:szCs w:val="20"/>
          <w:color w:val="auto"/>
        </w:rPr>
      </w:pPr>
    </w:p>
    <w:p>
      <w:pPr>
        <w:ind w:left="340" w:right="600" w:hanging="215"/>
        <w:spacing w:after="0" w:line="27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22" w:lineRule="exact"/>
        <w:rPr>
          <w:rFonts w:ascii="Times New Roman" w:cs="Times New Roman" w:eastAsia="Times New Roman" w:hAnsi="Times New Roman"/>
          <w:sz w:val="18"/>
          <w:szCs w:val="18"/>
          <w:color w:val="auto"/>
        </w:rPr>
      </w:pPr>
    </w:p>
    <w:p>
      <w:pPr>
        <w:ind w:left="340" w:right="340" w:hanging="215"/>
        <w:spacing w:after="0" w:line="271"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22"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by-laws are not exclusive.</w:t>
      </w:r>
    </w:p>
    <w:p>
      <w:pPr>
        <w:spacing w:after="0" w:line="11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officers, employees or agents in which indemnification by us is sought, nor are we aware of any threatened litigation or proceeding that may result in a claim for indemnification.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Related Party Transactions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Consulting Agreement</w:t>
      </w:r>
    </w:p>
    <w:p>
      <w:pPr>
        <w:spacing w:after="0" w:line="11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a party to an Amended and Restated Management Consulting Agreement, or the consulting agreement, effective as of February 1, 2004 with Hampshire Management Company LLC, or the consultant, which is an affiliate of one of the selling stockholders, pursuant to which it provides us with certain consulting services related to, but not limited to, our financial affairs, relationships with our lenders, stockholders and other third-party associates or affiliates, and the expansion of our business.</w:t>
      </w:r>
    </w:p>
    <w:p>
      <w:pPr>
        <w:spacing w:after="0" w:line="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Term and Termination</w:t>
      </w:r>
    </w:p>
    <w:p>
      <w:pPr>
        <w:spacing w:after="0" w:line="6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consulting agreement has a four year term and is subject to automatic one year renewals each February 1, subject to 60 days prior notice of termination by either party. In addition, either party has the right to terminate the consulting agreement upon 90 days prior notice in the event of (a) a sale of all or substantially all of our common stock or assets, (b) a merger or consolidation in which we are not the surviving corporation or (c) a registered public offering of our common stock, which includes this offering. It is expected that both parties to the consulting agreement will waive any notice requirement for termination upon consummation of this offering.</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Compensation</w:t>
      </w:r>
    </w:p>
    <w:p>
      <w:pPr>
        <w:spacing w:after="0" w:line="60"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auto"/>
        </w:rPr>
        <w:t>Under the consulting agreement, we pay the consultant an annual management fee of $240,000, payable in monthly installments. We have also agreed to indemnify the consultant, its affiliates and associates, and each of the respective owners, partners, officers, directors, members, employees and agents of each, from and against any loss, liability, damage, claim or expenses (including the fees and expenses of counsel) relating to their performance under the consulting agreement. We believe that the terms of the consulting agreement are comparable to those we could have obtained from an unaffiliated third party.</w:t>
      </w:r>
    </w:p>
    <w:p>
      <w:pPr>
        <w:spacing w:after="0" w:line="6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Upon the consummation of this offering, the parties shall terminate the consulting agreement and we will pay the consultant a termination fee of $1.2 million no later than December 31, 2005.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Agreement</w:t>
      </w:r>
    </w:p>
    <w:p>
      <w:pPr>
        <w:spacing w:after="0" w:line="11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We are party to a Stockholders Agreement, dated as of April 13, 1999, or the stockholders agreement, with Hampshire Equity Partners II, L.P., George Bellino and certain management stockholders. Pursuant to the stockholders agreement:</w:t>
      </w:r>
    </w:p>
    <w:p>
      <w:pPr>
        <w:spacing w:after="0" w:line="9" w:lineRule="exact"/>
        <w:rPr>
          <w:sz w:val="20"/>
          <w:szCs w:val="20"/>
          <w:color w:val="auto"/>
        </w:rPr>
      </w:pPr>
    </w:p>
    <w:p>
      <w:pPr>
        <w:ind w:left="340" w:right="420" w:hanging="215"/>
        <w:spacing w:after="0" w:line="271"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members of our board of directors may be designated by the owners of the majority of the voting stock beneficially owned by Hampshire Equity Partners and its affiliates,</w:t>
      </w:r>
    </w:p>
    <w:p>
      <w:pPr>
        <w:spacing w:after="0" w:line="22"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have agreed generally not to transfer their shares,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stockholders have been granted tag-along rights in the event of the sale of more than 50% of our common stock,</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stockholders have agreed to cooperate in any sale of the company by Hampshire Equity Partners, and</w:t>
      </w:r>
    </w:p>
    <w:p>
      <w:pPr>
        <w:spacing w:after="0" w:line="70" w:lineRule="exact"/>
        <w:rPr>
          <w:rFonts w:ascii="Times New Roman" w:cs="Times New Roman" w:eastAsia="Times New Roman" w:hAnsi="Times New Roman"/>
          <w:sz w:val="18"/>
          <w:szCs w:val="18"/>
          <w:color w:val="auto"/>
        </w:rPr>
      </w:pPr>
    </w:p>
    <w:p>
      <w:pPr>
        <w:jc w:val="both"/>
        <w:ind w:left="340" w:right="80" w:hanging="215"/>
        <w:spacing w:after="0" w:line="258"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register shares of our common stock held by the stockholder parties in the event that we register additional shares of our common stock under the Securities Act of 1933, as amended, other than on a registration statement on Form S-4 or S-8, or in connection with an exchange offer, merger, acquisition, dividend reinvestment plan, stock option or other employee benefit plan.</w:t>
      </w:r>
    </w:p>
    <w:p>
      <w:pPr>
        <w:spacing w:after="0" w:line="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these rights under the stockholders agreement, Hampshire Equity Partners is entitled to include its shares of common stock in this registration statement, subject to the ability of the underwriters to limit the number of shares included in this offering. Under its terms, all of the provisions in the stockholders agreement will terminate upon consummation of this offering other than the registration rights described in the last bullet point above, although we expect to terminate the stockholders agreement in its entirety upon consummation of this offering.</w:t>
      </w:r>
    </w:p>
    <w:p>
      <w:pPr>
        <w:spacing w:after="0" w:line="1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1" w:right="3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1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8"/>
          <w:szCs w:val="18"/>
          <w:color w:val="auto"/>
        </w:rPr>
        <w:t>We expect to enter into a new registration rights agreement with Hampshire Equity Partners, who will hold 7,874,663 shares, or approximately 55%, of our shares of common stock on a fully diluted basis following the consummation of this offering. Pursuant to the terms and provisions of the new registration rights agreement, Hampshire Equity Partners will have the right from time to time, subject to certain restrictions, to cause us to register its shares of common stock for sale under the Securities Act of 1933, as amended, on Form S-1 or, if available, on Form S-2, Form S-3 or any similar short-form registration statement. In addition, if at any time we register additional shares of common stock, Hampshire Equity Partners will be entitled to include its shares of common stock in the registration statement relating to that offering. If our subsequent registration is made pursuant to an underwritten offering, Hampshire Equity Partners must sell its registrable securities to the underwriters selected by us if they choose to participate in that registration.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Agreement</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In connection with this offering, we will enter into a nominating agreement with Hampshire Equity Partners pursuant to which we, acting through our nominating and corporate governance committee, will agree, subject to the requirements of our directors’ fiduciary duties, that (i) Hampshire Equity Partners will be entitled to designate up to two directors to be nominated for election to our board of directors as long as Hampshire Equity Partners owns in the aggregate at least 40% of the shares of our common stock which it owned immediately prior to the consummation of this offering or (ii) Hampshire Equity Partners will be entitled to designate one director to be nominated for election to our board of directors as long as Hampshire Equity Partners owns in the aggregate less than 40% and at least 15% of the shares of our common stock which it owned immediately prior to the consummation of this offering. If at any time Hampshire Equity Partners owns less than 15%, it will not have the right to nominate any directors for election to our board of directors.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Principal and Selling Stockholders</w:t>
      </w:r>
    </w:p>
    <w:p>
      <w:pPr>
        <w:spacing w:after="0" w:line="115"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8"/>
          <w:szCs w:val="18"/>
          <w:color w:val="auto"/>
        </w:rPr>
        <w:t>The following table sets forth information known to us with respect to the beneficial ownership of our common stock as of April 28, 2005, and as adjusted to reflect the sale of 1,150,000 shares of common stock by selling stockholders, by the following persons:</w:t>
      </w:r>
    </w:p>
    <w:p>
      <w:pPr>
        <w:spacing w:after="0" w:line="9" w:lineRule="exact"/>
        <w:rPr>
          <w:sz w:val="20"/>
          <w:szCs w:val="20"/>
          <w:color w:val="auto"/>
        </w:rPr>
      </w:pPr>
    </w:p>
    <w:p>
      <w:pPr>
        <w:ind w:left="340" w:hanging="215"/>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own beneficially more than 5% of our common stock;</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named executive officers;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 and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w:t>
      </w:r>
    </w:p>
    <w:p>
      <w:pPr>
        <w:spacing w:after="0" w:line="11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This table lists applicable percentage ownership based on 9,295,000 shares of common stock outstanding as of April 28, 2005, and also lists applicable percentage ownership based on shares of common stock outstanding after completion of this offering. The information in the table is adjusted for the 26-for-one stock split of our common stock, which will occur simultaneously with the completion of this offering.</w:t>
      </w:r>
    </w:p>
    <w:p>
      <w:pPr>
        <w:spacing w:after="0" w:line="7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have determined beneficial ownership in the table in accordance with the rules of the Commission. In computing the number of shares beneficially owned by a person and the percentage ownership of that person, we have deemed shares of common stock subject to options held by that person that are currently exercisable or will become exercisable within 60 days of April 28, 2005 to be outstanding, but we have not deemed these shares to be outstanding for computing the percentage ownership of any other person. To our knowledge, except as set forth in the footnotes below, each stockholder identified in the table possesses sole voting and investment power with respect to all shares of common stock shown as beneficially owned by that stockholder. Unless otherwise indicated, the address of all listed stockholders is c/o Citi Trends, Inc., 102 Fahm Street, Savannah, Georgia 31401.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Owned</w:t>
            </w:r>
          </w:p>
        </w:tc>
        <w:tc>
          <w:tcPr>
            <w:tcW w:w="2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26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Owned Prior</w:t>
            </w:r>
          </w:p>
        </w:tc>
        <w:tc>
          <w:tcPr>
            <w:tcW w:w="24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 Being</w:t>
            </w:r>
          </w:p>
        </w:tc>
        <w:tc>
          <w:tcPr>
            <w:tcW w:w="24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After the</w:t>
            </w:r>
          </w:p>
        </w:tc>
        <w:tc>
          <w:tcPr>
            <w:tcW w:w="26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Before the</w:t>
            </w:r>
          </w:p>
        </w:tc>
        <w:tc>
          <w:tcPr>
            <w:tcW w:w="260" w:type="dxa"/>
            <w:vAlign w:val="bottom"/>
          </w:tcPr>
          <w:p>
            <w:pPr>
              <w:spacing w:after="0"/>
              <w:rPr>
                <w:sz w:val="12"/>
                <w:szCs w:val="12"/>
                <w:color w:val="auto"/>
              </w:rPr>
            </w:pPr>
          </w:p>
        </w:tc>
        <w:tc>
          <w:tcPr>
            <w:tcW w:w="16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the Offering</w:t>
            </w: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24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6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Directors and Named Executive</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2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 Edward Anderson</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60" w:type="dxa"/>
            <w:vAlign w:val="bottom"/>
            <w:gridSpan w:val="2"/>
          </w:tcPr>
          <w:p>
            <w:pPr>
              <w:jc w:val="right"/>
              <w:ind w:right="209"/>
              <w:spacing w:after="0"/>
              <w:rPr>
                <w:sz w:val="20"/>
                <w:szCs w:val="20"/>
                <w:color w:val="auto"/>
              </w:rPr>
            </w:pPr>
            <w:r>
              <w:rPr>
                <w:rFonts w:ascii="Times New Roman" w:cs="Times New Roman" w:eastAsia="Times New Roman" w:hAnsi="Times New Roman"/>
                <w:sz w:val="18"/>
                <w:szCs w:val="18"/>
                <w:color w:val="auto"/>
              </w:rPr>
              <w:t>528,502</w:t>
            </w:r>
            <w:r>
              <w:rPr>
                <w:rFonts w:ascii="Times New Roman" w:cs="Times New Roman" w:eastAsia="Times New Roman" w:hAnsi="Times New Roman"/>
                <w:sz w:val="14"/>
                <w:szCs w:val="14"/>
                <w:color w:val="auto"/>
              </w:rPr>
              <w:t>(1)</w:t>
            </w:r>
          </w:p>
        </w:tc>
        <w:tc>
          <w:tcPr>
            <w:tcW w:w="16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61,837</w:t>
            </w:r>
          </w:p>
        </w:tc>
        <w:tc>
          <w:tcPr>
            <w:tcW w:w="1620" w:type="dxa"/>
            <w:vAlign w:val="bottom"/>
            <w:gridSpan w:val="2"/>
          </w:tcPr>
          <w:p>
            <w:pPr>
              <w:jc w:val="right"/>
              <w:ind w:right="249"/>
              <w:spacing w:after="0"/>
              <w:rPr>
                <w:sz w:val="20"/>
                <w:szCs w:val="20"/>
                <w:color w:val="auto"/>
              </w:rPr>
            </w:pPr>
            <w:r>
              <w:rPr>
                <w:rFonts w:ascii="Times New Roman" w:cs="Times New Roman" w:eastAsia="Times New Roman" w:hAnsi="Times New Roman"/>
                <w:sz w:val="18"/>
                <w:szCs w:val="18"/>
                <w:color w:val="auto"/>
              </w:rPr>
              <w:t>466,665</w:t>
            </w:r>
          </w:p>
        </w:tc>
        <w:tc>
          <w:tcPr>
            <w:tcW w:w="128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5.4%</w:t>
            </w:r>
          </w:p>
        </w:tc>
        <w:tc>
          <w:tcPr>
            <w:tcW w:w="1920" w:type="dxa"/>
            <w:vAlign w:val="bottom"/>
            <w:gridSpan w:val="2"/>
          </w:tcPr>
          <w:p>
            <w:pPr>
              <w:jc w:val="right"/>
              <w:ind w:right="409"/>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George A. Bellino</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President, Chief Merchandising</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Officer and Director</w:t>
            </w:r>
          </w:p>
        </w:tc>
        <w:tc>
          <w:tcPr>
            <w:tcW w:w="19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556,504</w:t>
            </w:r>
            <w:r>
              <w:rPr>
                <w:rFonts w:ascii="Times New Roman" w:cs="Times New Roman" w:eastAsia="Times New Roman" w:hAnsi="Times New Roman"/>
                <w:sz w:val="14"/>
                <w:szCs w:val="14"/>
                <w:color w:val="auto"/>
              </w:rPr>
              <w:t>(2)</w:t>
            </w:r>
          </w:p>
        </w:tc>
        <w:tc>
          <w:tcPr>
            <w:tcW w:w="16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65,432</w:t>
            </w:r>
          </w:p>
        </w:tc>
        <w:tc>
          <w:tcPr>
            <w:tcW w:w="162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8"/>
                <w:szCs w:val="18"/>
                <w:color w:val="auto"/>
              </w:rPr>
              <w:t>491,072</w:t>
            </w:r>
          </w:p>
        </w:tc>
        <w:tc>
          <w:tcPr>
            <w:tcW w:w="128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5.8%</w:t>
            </w:r>
          </w:p>
        </w:tc>
        <w:tc>
          <w:tcPr>
            <w:tcW w:w="192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Thomas W. Stoltz</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60" w:type="dxa"/>
            <w:vAlign w:val="bottom"/>
            <w:gridSpan w:val="2"/>
          </w:tcPr>
          <w:p>
            <w:pPr>
              <w:jc w:val="right"/>
              <w:ind w:right="209"/>
              <w:spacing w:after="0"/>
              <w:rPr>
                <w:sz w:val="20"/>
                <w:szCs w:val="20"/>
                <w:color w:val="auto"/>
              </w:rPr>
            </w:pPr>
            <w:r>
              <w:rPr>
                <w:rFonts w:ascii="Times New Roman" w:cs="Times New Roman" w:eastAsia="Times New Roman" w:hAnsi="Times New Roman"/>
                <w:sz w:val="18"/>
                <w:szCs w:val="18"/>
                <w:color w:val="auto"/>
              </w:rPr>
              <w:t>78,000</w:t>
            </w:r>
            <w:r>
              <w:rPr>
                <w:rFonts w:ascii="Times New Roman" w:cs="Times New Roman" w:eastAsia="Times New Roman" w:hAnsi="Times New Roman"/>
                <w:sz w:val="14"/>
                <w:szCs w:val="14"/>
                <w:color w:val="auto"/>
              </w:rPr>
              <w:t>(3)</w:t>
            </w:r>
          </w:p>
        </w:tc>
        <w:tc>
          <w:tcPr>
            <w:tcW w:w="16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9,083</w:t>
            </w:r>
          </w:p>
        </w:tc>
        <w:tc>
          <w:tcPr>
            <w:tcW w:w="1620" w:type="dxa"/>
            <w:vAlign w:val="bottom"/>
            <w:gridSpan w:val="2"/>
          </w:tcPr>
          <w:p>
            <w:pPr>
              <w:jc w:val="right"/>
              <w:ind w:right="249"/>
              <w:spacing w:after="0"/>
              <w:rPr>
                <w:sz w:val="20"/>
                <w:szCs w:val="20"/>
                <w:color w:val="auto"/>
              </w:rPr>
            </w:pPr>
            <w:r>
              <w:rPr>
                <w:rFonts w:ascii="Times New Roman" w:cs="Times New Roman" w:eastAsia="Times New Roman" w:hAnsi="Times New Roman"/>
                <w:sz w:val="18"/>
                <w:szCs w:val="18"/>
                <w:color w:val="auto"/>
              </w:rPr>
              <w:t>68,917</w:t>
            </w:r>
          </w:p>
        </w:tc>
        <w:tc>
          <w:tcPr>
            <w:tcW w:w="128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James A. Dunn</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Vice President of Store Operations</w:t>
            </w:r>
          </w:p>
        </w:tc>
        <w:tc>
          <w:tcPr>
            <w:tcW w:w="19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65,000</w:t>
            </w:r>
            <w:r>
              <w:rPr>
                <w:rFonts w:ascii="Times New Roman" w:cs="Times New Roman" w:eastAsia="Times New Roman" w:hAnsi="Times New Roman"/>
                <w:sz w:val="14"/>
                <w:szCs w:val="14"/>
                <w:color w:val="auto"/>
              </w:rPr>
              <w:t>(3)</w:t>
            </w:r>
          </w:p>
        </w:tc>
        <w:tc>
          <w:tcPr>
            <w:tcW w:w="16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7,569</w:t>
            </w:r>
          </w:p>
        </w:tc>
        <w:tc>
          <w:tcPr>
            <w:tcW w:w="162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8"/>
                <w:szCs w:val="18"/>
                <w:color w:val="auto"/>
              </w:rPr>
              <w:t>57,431</w:t>
            </w:r>
          </w:p>
        </w:tc>
        <w:tc>
          <w:tcPr>
            <w:tcW w:w="12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Tracy L. Noll</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2"/>
          </w:tcPr>
          <w:p>
            <w:pPr>
              <w:jc w:val="right"/>
              <w:ind w:right="209"/>
              <w:spacing w:after="0"/>
              <w:rPr>
                <w:sz w:val="20"/>
                <w:szCs w:val="20"/>
                <w:color w:val="auto"/>
              </w:rPr>
            </w:pPr>
            <w:r>
              <w:rPr>
                <w:rFonts w:ascii="Times New Roman" w:cs="Times New Roman" w:eastAsia="Times New Roman" w:hAnsi="Times New Roman"/>
                <w:sz w:val="18"/>
                <w:szCs w:val="18"/>
                <w:color w:val="auto"/>
              </w:rPr>
              <w:t>90,064</w:t>
            </w:r>
            <w:r>
              <w:rPr>
                <w:rFonts w:ascii="Times New Roman" w:cs="Times New Roman" w:eastAsia="Times New Roman" w:hAnsi="Times New Roman"/>
                <w:sz w:val="14"/>
                <w:szCs w:val="14"/>
                <w:color w:val="auto"/>
              </w:rPr>
              <w:t>(3)</w:t>
            </w:r>
          </w:p>
        </w:tc>
        <w:tc>
          <w:tcPr>
            <w:tcW w:w="240" w:type="dxa"/>
            <w:vAlign w:val="bottom"/>
          </w:tcPr>
          <w:p>
            <w:pPr>
              <w:spacing w:after="0"/>
              <w:rPr>
                <w:sz w:val="20"/>
                <w:szCs w:val="20"/>
                <w:color w:val="auto"/>
              </w:rPr>
            </w:pPr>
          </w:p>
        </w:tc>
        <w:tc>
          <w:tcPr>
            <w:tcW w:w="1380" w:type="dxa"/>
            <w:vAlign w:val="bottom"/>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49"/>
              <w:spacing w:after="0"/>
              <w:rPr>
                <w:sz w:val="20"/>
                <w:szCs w:val="20"/>
                <w:color w:val="auto"/>
              </w:rPr>
            </w:pPr>
            <w:r>
              <w:rPr>
                <w:rFonts w:ascii="Times New Roman" w:cs="Times New Roman" w:eastAsia="Times New Roman" w:hAnsi="Times New Roman"/>
                <w:sz w:val="18"/>
                <w:szCs w:val="18"/>
                <w:color w:val="auto"/>
              </w:rPr>
              <w:t>90,064</w:t>
            </w:r>
          </w:p>
        </w:tc>
        <w:tc>
          <w:tcPr>
            <w:tcW w:w="128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John S. Lupo</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2"/>
            <w:shd w:val="clear" w:color="auto" w:fill="CCEEFF"/>
          </w:tcPr>
          <w:p>
            <w:pPr>
              <w:jc w:val="right"/>
              <w:ind w:right="209"/>
              <w:spacing w:after="0"/>
              <w:rPr>
                <w:sz w:val="20"/>
                <w:szCs w:val="20"/>
                <w:color w:val="auto"/>
              </w:rPr>
            </w:pPr>
            <w:r>
              <w:rPr>
                <w:rFonts w:ascii="Times New Roman" w:cs="Times New Roman" w:eastAsia="Times New Roman" w:hAnsi="Times New Roman"/>
                <w:sz w:val="18"/>
                <w:szCs w:val="18"/>
                <w:color w:val="auto"/>
              </w:rPr>
              <w:t>5,200</w:t>
            </w: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8"/>
                <w:szCs w:val="18"/>
                <w:color w:val="auto"/>
              </w:rPr>
              <w:t>5,200</w:t>
            </w:r>
          </w:p>
        </w:tc>
        <w:tc>
          <w:tcPr>
            <w:tcW w:w="12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Gregory P. Flynn</w:t>
            </w: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2"/>
          </w:tcPr>
          <w:p>
            <w:pPr>
              <w:jc w:val="right"/>
              <w:ind w:right="369"/>
              <w:spacing w:after="0"/>
              <w:rPr>
                <w:sz w:val="20"/>
                <w:szCs w:val="20"/>
                <w:color w:val="auto"/>
              </w:rPr>
            </w:pPr>
            <w:r>
              <w:rPr>
                <w:rFonts w:ascii="Times New Roman" w:cs="Times New Roman" w:eastAsia="Times New Roman" w:hAnsi="Times New Roman"/>
                <w:sz w:val="18"/>
                <w:szCs w:val="18"/>
                <w:color w:val="auto"/>
              </w:rPr>
              <w:t>8,893,612</w:t>
            </w:r>
          </w:p>
        </w:tc>
        <w:tc>
          <w:tcPr>
            <w:tcW w:w="16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993,077</w:t>
            </w:r>
          </w:p>
        </w:tc>
        <w:tc>
          <w:tcPr>
            <w:tcW w:w="1620" w:type="dxa"/>
            <w:vAlign w:val="bottom"/>
            <w:gridSpan w:val="2"/>
          </w:tcPr>
          <w:p>
            <w:pPr>
              <w:jc w:val="right"/>
              <w:ind w:right="249"/>
              <w:spacing w:after="0"/>
              <w:rPr>
                <w:sz w:val="20"/>
                <w:szCs w:val="20"/>
                <w:color w:val="auto"/>
              </w:rPr>
            </w:pPr>
            <w:r>
              <w:rPr>
                <w:rFonts w:ascii="Times New Roman" w:cs="Times New Roman" w:eastAsia="Times New Roman" w:hAnsi="Times New Roman"/>
                <w:sz w:val="18"/>
                <w:szCs w:val="18"/>
                <w:color w:val="auto"/>
              </w:rPr>
              <w:t>7,900,535</w:t>
            </w:r>
          </w:p>
        </w:tc>
        <w:tc>
          <w:tcPr>
            <w:tcW w:w="128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95.0%</w:t>
            </w:r>
          </w:p>
        </w:tc>
        <w:tc>
          <w:tcPr>
            <w:tcW w:w="1920" w:type="dxa"/>
            <w:vAlign w:val="bottom"/>
            <w:gridSpan w:val="2"/>
          </w:tcPr>
          <w:p>
            <w:pPr>
              <w:jc w:val="right"/>
              <w:ind w:right="409"/>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Laurens M. Goff</w:t>
            </w: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gridSpan w:val="2"/>
            <w:shd w:val="clear" w:color="auto" w:fill="CCEEFF"/>
          </w:tcPr>
          <w:p>
            <w:pPr>
              <w:jc w:val="right"/>
              <w:ind w:right="369"/>
              <w:spacing w:after="0"/>
              <w:rPr>
                <w:sz w:val="20"/>
                <w:szCs w:val="20"/>
                <w:color w:val="auto"/>
              </w:rPr>
            </w:pPr>
            <w:r>
              <w:rPr>
                <w:rFonts w:ascii="Times New Roman" w:cs="Times New Roman" w:eastAsia="Times New Roman" w:hAnsi="Times New Roman"/>
                <w:sz w:val="18"/>
                <w:szCs w:val="18"/>
                <w:color w:val="auto"/>
              </w:rPr>
              <w:t>8,893,612</w:t>
            </w:r>
          </w:p>
        </w:tc>
        <w:tc>
          <w:tcPr>
            <w:tcW w:w="162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color w:val="auto"/>
              </w:rPr>
              <w:t>993,077</w:t>
            </w:r>
          </w:p>
        </w:tc>
        <w:tc>
          <w:tcPr>
            <w:tcW w:w="162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8"/>
                <w:szCs w:val="18"/>
                <w:color w:val="auto"/>
              </w:rPr>
              <w:t>7,900,535</w:t>
            </w:r>
          </w:p>
        </w:tc>
        <w:tc>
          <w:tcPr>
            <w:tcW w:w="128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95.0%</w:t>
            </w:r>
          </w:p>
        </w:tc>
        <w:tc>
          <w:tcPr>
            <w:tcW w:w="1920" w:type="dxa"/>
            <w:vAlign w:val="bottom"/>
            <w:gridSpan w:val="2"/>
            <w:shd w:val="clear" w:color="auto" w:fill="CCEEFF"/>
          </w:tcPr>
          <w:p>
            <w:pPr>
              <w:jc w:val="right"/>
              <w:ind w:right="409"/>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Directors and executive officers as a</w:t>
            </w:r>
          </w:p>
        </w:tc>
        <w:tc>
          <w:tcPr>
            <w:tcW w:w="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group (eight persons)</w:t>
            </w:r>
          </w:p>
        </w:tc>
        <w:tc>
          <w:tcPr>
            <w:tcW w:w="1960" w:type="dxa"/>
            <w:vAlign w:val="bottom"/>
            <w:gridSpan w:val="2"/>
          </w:tcPr>
          <w:p>
            <w:pPr>
              <w:jc w:val="right"/>
              <w:ind w:right="369"/>
              <w:spacing w:after="0"/>
              <w:rPr>
                <w:sz w:val="20"/>
                <w:szCs w:val="20"/>
                <w:color w:val="auto"/>
              </w:rPr>
            </w:pPr>
            <w:r>
              <w:rPr>
                <w:rFonts w:ascii="Times New Roman" w:cs="Times New Roman" w:eastAsia="Times New Roman" w:hAnsi="Times New Roman"/>
                <w:sz w:val="18"/>
                <w:szCs w:val="18"/>
                <w:color w:val="auto"/>
              </w:rPr>
              <w:t>10,216,882</w:t>
            </w:r>
          </w:p>
        </w:tc>
        <w:tc>
          <w:tcPr>
            <w:tcW w:w="162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1,136,998</w:t>
            </w:r>
          </w:p>
        </w:tc>
        <w:tc>
          <w:tcPr>
            <w:tcW w:w="1620" w:type="dxa"/>
            <w:vAlign w:val="bottom"/>
            <w:gridSpan w:val="2"/>
          </w:tcPr>
          <w:p>
            <w:pPr>
              <w:jc w:val="right"/>
              <w:ind w:right="249"/>
              <w:spacing w:after="0"/>
              <w:rPr>
                <w:sz w:val="20"/>
                <w:szCs w:val="20"/>
                <w:color w:val="auto"/>
              </w:rPr>
            </w:pPr>
            <w:r>
              <w:rPr>
                <w:rFonts w:ascii="Times New Roman" w:cs="Times New Roman" w:eastAsia="Times New Roman" w:hAnsi="Times New Roman"/>
                <w:sz w:val="18"/>
                <w:szCs w:val="18"/>
                <w:color w:val="auto"/>
              </w:rPr>
              <w:t>9,079,884</w:t>
            </w:r>
          </w:p>
        </w:tc>
        <w:tc>
          <w:tcPr>
            <w:tcW w:w="128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98.7%</w:t>
            </w:r>
          </w:p>
        </w:tc>
        <w:tc>
          <w:tcPr>
            <w:tcW w:w="1920" w:type="dxa"/>
            <w:vAlign w:val="bottom"/>
            <w:gridSpan w:val="2"/>
          </w:tcPr>
          <w:p>
            <w:pPr>
              <w:jc w:val="right"/>
              <w:ind w:right="409"/>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397"/>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gridSpan w:val="2"/>
          </w:tcPr>
          <w:p>
            <w:pPr>
              <w:jc w:val="right"/>
              <w:ind w:right="722"/>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40" w:type="dxa"/>
            <w:vAlign w:val="bottom"/>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24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4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tcPr>
          <w:p>
            <w:pPr>
              <w:spacing w:after="0"/>
              <w:rPr>
                <w:sz w:val="12"/>
                <w:szCs w:val="12"/>
                <w:color w:val="auto"/>
              </w:rPr>
            </w:pPr>
          </w:p>
        </w:tc>
        <w:tc>
          <w:tcPr>
            <w:tcW w:w="18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Owned Prior</w:t>
            </w:r>
          </w:p>
        </w:tc>
        <w:tc>
          <w:tcPr>
            <w:tcW w:w="24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Shares Being</w:t>
            </w:r>
          </w:p>
        </w:tc>
        <w:tc>
          <w:tcPr>
            <w:tcW w:w="240" w:type="dxa"/>
            <w:vAlign w:val="bottom"/>
          </w:tcPr>
          <w:p>
            <w:pPr>
              <w:spacing w:after="0"/>
              <w:rPr>
                <w:sz w:val="12"/>
                <w:szCs w:val="12"/>
                <w:color w:val="auto"/>
              </w:rPr>
            </w:pPr>
          </w:p>
        </w:tc>
        <w:tc>
          <w:tcPr>
            <w:tcW w:w="1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w:t>
            </w:r>
          </w:p>
        </w:tc>
        <w:tc>
          <w:tcPr>
            <w:tcW w:w="240" w:type="dxa"/>
            <w:vAlign w:val="bottom"/>
          </w:tcPr>
          <w:p>
            <w:pPr>
              <w:spacing w:after="0"/>
              <w:rPr>
                <w:sz w:val="12"/>
                <w:szCs w:val="12"/>
                <w:color w:val="auto"/>
              </w:rPr>
            </w:pPr>
          </w:p>
        </w:tc>
        <w:tc>
          <w:tcPr>
            <w:tcW w:w="10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Before the</w:t>
            </w:r>
          </w:p>
        </w:tc>
        <w:tc>
          <w:tcPr>
            <w:tcW w:w="24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Outstanding After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9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the Offering</w:t>
            </w:r>
          </w:p>
        </w:tc>
        <w:tc>
          <w:tcPr>
            <w:tcW w:w="24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24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4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4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Hampshire Equity Partners II, L.P. </w:t>
            </w:r>
            <w:r>
              <w:rPr>
                <w:rFonts w:ascii="Times New Roman" w:cs="Times New Roman" w:eastAsia="Times New Roman" w:hAnsi="Times New Roman"/>
                <w:sz w:val="14"/>
                <w:szCs w:val="14"/>
                <w:color w:val="auto"/>
              </w:rPr>
              <w:t>(6)</w:t>
            </w:r>
          </w:p>
        </w:tc>
        <w:tc>
          <w:tcPr>
            <w:tcW w:w="2060" w:type="dxa"/>
            <w:vAlign w:val="bottom"/>
            <w:gridSpan w:val="2"/>
          </w:tcPr>
          <w:p>
            <w:pPr>
              <w:jc w:val="right"/>
              <w:ind w:right="429"/>
              <w:spacing w:after="0"/>
              <w:rPr>
                <w:sz w:val="20"/>
                <w:szCs w:val="20"/>
                <w:color w:val="auto"/>
              </w:rPr>
            </w:pPr>
            <w:r>
              <w:rPr>
                <w:rFonts w:ascii="Times New Roman" w:cs="Times New Roman" w:eastAsia="Times New Roman" w:hAnsi="Times New Roman"/>
                <w:sz w:val="18"/>
                <w:szCs w:val="18"/>
                <w:color w:val="auto"/>
              </w:rPr>
              <w:t>8,893,612</w:t>
            </w:r>
          </w:p>
        </w:tc>
        <w:tc>
          <w:tcPr>
            <w:tcW w:w="1660" w:type="dxa"/>
            <w:vAlign w:val="bottom"/>
            <w:gridSpan w:val="2"/>
          </w:tcPr>
          <w:p>
            <w:pPr>
              <w:jc w:val="right"/>
              <w:ind w:right="349"/>
              <w:spacing w:after="0"/>
              <w:rPr>
                <w:sz w:val="20"/>
                <w:szCs w:val="20"/>
                <w:color w:val="auto"/>
              </w:rPr>
            </w:pPr>
            <w:r>
              <w:rPr>
                <w:rFonts w:ascii="Times New Roman" w:cs="Times New Roman" w:eastAsia="Times New Roman" w:hAnsi="Times New Roman"/>
                <w:sz w:val="18"/>
                <w:szCs w:val="18"/>
                <w:color w:val="auto"/>
              </w:rPr>
              <w:t>993,077</w:t>
            </w:r>
          </w:p>
        </w:tc>
        <w:tc>
          <w:tcPr>
            <w:tcW w:w="1600" w:type="dxa"/>
            <w:vAlign w:val="bottom"/>
            <w:gridSpan w:val="2"/>
          </w:tcPr>
          <w:p>
            <w:pPr>
              <w:jc w:val="right"/>
              <w:ind w:right="249"/>
              <w:spacing w:after="0"/>
              <w:rPr>
                <w:sz w:val="20"/>
                <w:szCs w:val="20"/>
                <w:color w:val="auto"/>
              </w:rPr>
            </w:pPr>
            <w:r>
              <w:rPr>
                <w:rFonts w:ascii="Times New Roman" w:cs="Times New Roman" w:eastAsia="Times New Roman" w:hAnsi="Times New Roman"/>
                <w:sz w:val="18"/>
                <w:szCs w:val="18"/>
                <w:color w:val="auto"/>
              </w:rPr>
              <w:t>7,900,535</w:t>
            </w:r>
          </w:p>
        </w:tc>
        <w:tc>
          <w:tcPr>
            <w:tcW w:w="1260" w:type="dxa"/>
            <w:vAlign w:val="bottom"/>
            <w:gridSpan w:val="2"/>
          </w:tcPr>
          <w:p>
            <w:pPr>
              <w:jc w:val="right"/>
              <w:ind w:right="89"/>
              <w:spacing w:after="0"/>
              <w:rPr>
                <w:sz w:val="20"/>
                <w:szCs w:val="20"/>
                <w:color w:val="auto"/>
              </w:rPr>
            </w:pPr>
            <w:r>
              <w:rPr>
                <w:rFonts w:ascii="Times New Roman" w:cs="Times New Roman" w:eastAsia="Times New Roman" w:hAnsi="Times New Roman"/>
                <w:sz w:val="18"/>
                <w:szCs w:val="18"/>
                <w:color w:val="auto"/>
              </w:rPr>
              <w:t>95.0%</w:t>
            </w:r>
          </w:p>
        </w:tc>
        <w:tc>
          <w:tcPr>
            <w:tcW w:w="1880" w:type="dxa"/>
            <w:vAlign w:val="bottom"/>
            <w:gridSpan w:val="2"/>
          </w:tcPr>
          <w:p>
            <w:pPr>
              <w:jc w:val="right"/>
              <w:ind w:right="389"/>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Selling Stockholders:</w:t>
            </w:r>
          </w:p>
        </w:tc>
        <w:tc>
          <w:tcPr>
            <w:tcW w:w="2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Jon Devorkin</w:t>
            </w: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Divisional Merchandise Manager</w:t>
            </w:r>
          </w:p>
        </w:tc>
        <w:tc>
          <w:tcPr>
            <w:tcW w:w="2060" w:type="dxa"/>
            <w:vAlign w:val="bottom"/>
            <w:gridSpan w:val="2"/>
          </w:tcPr>
          <w:p>
            <w:pPr>
              <w:jc w:val="right"/>
              <w:ind w:right="389"/>
              <w:spacing w:after="0"/>
              <w:rPr>
                <w:sz w:val="20"/>
                <w:szCs w:val="20"/>
                <w:color w:val="auto"/>
              </w:rPr>
            </w:pPr>
            <w:r>
              <w:rPr>
                <w:rFonts w:ascii="Times New Roman" w:cs="Times New Roman" w:eastAsia="Times New Roman" w:hAnsi="Times New Roman"/>
                <w:sz w:val="18"/>
                <w:szCs w:val="18"/>
                <w:color w:val="auto"/>
              </w:rPr>
              <w:t>52,000</w:t>
            </w:r>
            <w:r>
              <w:rPr>
                <w:rFonts w:ascii="Times New Roman" w:cs="Times New Roman" w:eastAsia="Times New Roman" w:hAnsi="Times New Roman"/>
                <w:sz w:val="14"/>
                <w:szCs w:val="14"/>
                <w:color w:val="auto"/>
              </w:rPr>
              <w:t>(3)</w:t>
            </w:r>
          </w:p>
        </w:tc>
        <w:tc>
          <w:tcPr>
            <w:tcW w:w="1660" w:type="dxa"/>
            <w:vAlign w:val="bottom"/>
            <w:gridSpan w:val="2"/>
          </w:tcPr>
          <w:p>
            <w:pPr>
              <w:jc w:val="right"/>
              <w:ind w:right="349"/>
              <w:spacing w:after="0"/>
              <w:rPr>
                <w:sz w:val="20"/>
                <w:szCs w:val="20"/>
                <w:color w:val="auto"/>
              </w:rPr>
            </w:pPr>
            <w:r>
              <w:rPr>
                <w:rFonts w:ascii="Times New Roman" w:cs="Times New Roman" w:eastAsia="Times New Roman" w:hAnsi="Times New Roman"/>
                <w:sz w:val="18"/>
                <w:szCs w:val="18"/>
                <w:color w:val="auto"/>
              </w:rPr>
              <w:t>6,055</w:t>
            </w:r>
          </w:p>
        </w:tc>
        <w:tc>
          <w:tcPr>
            <w:tcW w:w="1600" w:type="dxa"/>
            <w:vAlign w:val="bottom"/>
            <w:gridSpan w:val="2"/>
          </w:tcPr>
          <w:p>
            <w:pPr>
              <w:jc w:val="right"/>
              <w:ind w:right="249"/>
              <w:spacing w:after="0"/>
              <w:rPr>
                <w:sz w:val="20"/>
                <w:szCs w:val="20"/>
                <w:color w:val="auto"/>
              </w:rPr>
            </w:pPr>
            <w:r>
              <w:rPr>
                <w:rFonts w:ascii="Times New Roman" w:cs="Times New Roman" w:eastAsia="Times New Roman" w:hAnsi="Times New Roman"/>
                <w:sz w:val="18"/>
                <w:szCs w:val="18"/>
                <w:color w:val="auto"/>
              </w:rPr>
              <w:t>45,945</w:t>
            </w:r>
          </w:p>
        </w:tc>
        <w:tc>
          <w:tcPr>
            <w:tcW w:w="126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Allison Smith</w:t>
            </w: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Divisional Merchandise Manager</w:t>
            </w:r>
          </w:p>
        </w:tc>
        <w:tc>
          <w:tcPr>
            <w:tcW w:w="2060" w:type="dxa"/>
            <w:vAlign w:val="bottom"/>
            <w:gridSpan w:val="2"/>
            <w:shd w:val="clear" w:color="auto" w:fill="CCEEFF"/>
          </w:tcPr>
          <w:p>
            <w:pPr>
              <w:jc w:val="right"/>
              <w:ind w:right="389"/>
              <w:spacing w:after="0"/>
              <w:rPr>
                <w:sz w:val="20"/>
                <w:szCs w:val="20"/>
                <w:color w:val="auto"/>
              </w:rPr>
            </w:pPr>
            <w:r>
              <w:rPr>
                <w:rFonts w:ascii="Times New Roman" w:cs="Times New Roman" w:eastAsia="Times New Roman" w:hAnsi="Times New Roman"/>
                <w:sz w:val="18"/>
                <w:szCs w:val="18"/>
                <w:color w:val="auto"/>
              </w:rPr>
              <w:t>52,000</w:t>
            </w:r>
            <w:r>
              <w:rPr>
                <w:rFonts w:ascii="Times New Roman" w:cs="Times New Roman" w:eastAsia="Times New Roman" w:hAnsi="Times New Roman"/>
                <w:sz w:val="14"/>
                <w:szCs w:val="14"/>
                <w:color w:val="auto"/>
              </w:rPr>
              <w:t>(3)</w:t>
            </w:r>
          </w:p>
        </w:tc>
        <w:tc>
          <w:tcPr>
            <w:tcW w:w="1660" w:type="dxa"/>
            <w:vAlign w:val="bottom"/>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8"/>
                <w:szCs w:val="18"/>
                <w:color w:val="auto"/>
              </w:rPr>
              <w:t>6,055</w:t>
            </w:r>
          </w:p>
        </w:tc>
        <w:tc>
          <w:tcPr>
            <w:tcW w:w="1600" w:type="dxa"/>
            <w:vAlign w:val="bottom"/>
            <w:gridSpan w:val="2"/>
            <w:shd w:val="clear" w:color="auto" w:fill="CCEEFF"/>
          </w:tcPr>
          <w:p>
            <w:pPr>
              <w:jc w:val="right"/>
              <w:ind w:right="249"/>
              <w:spacing w:after="0"/>
              <w:rPr>
                <w:sz w:val="20"/>
                <w:szCs w:val="20"/>
                <w:color w:val="auto"/>
              </w:rPr>
            </w:pPr>
            <w:r>
              <w:rPr>
                <w:rFonts w:ascii="Times New Roman" w:cs="Times New Roman" w:eastAsia="Times New Roman" w:hAnsi="Times New Roman"/>
                <w:sz w:val="18"/>
                <w:szCs w:val="18"/>
                <w:color w:val="auto"/>
              </w:rPr>
              <w:t>45,945</w:t>
            </w:r>
          </w:p>
        </w:tc>
        <w:tc>
          <w:tcPr>
            <w:tcW w:w="126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52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Rimma Schusterman</w:t>
            </w:r>
          </w:p>
        </w:tc>
        <w:tc>
          <w:tcPr>
            <w:tcW w:w="2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Divisional Merchandise Manager</w:t>
            </w:r>
          </w:p>
        </w:tc>
        <w:tc>
          <w:tcPr>
            <w:tcW w:w="2060" w:type="dxa"/>
            <w:vAlign w:val="bottom"/>
            <w:gridSpan w:val="2"/>
          </w:tcPr>
          <w:p>
            <w:pPr>
              <w:jc w:val="right"/>
              <w:ind w:right="389"/>
              <w:spacing w:after="0"/>
              <w:rPr>
                <w:sz w:val="20"/>
                <w:szCs w:val="20"/>
                <w:color w:val="auto"/>
              </w:rPr>
            </w:pPr>
            <w:r>
              <w:rPr>
                <w:rFonts w:ascii="Times New Roman" w:cs="Times New Roman" w:eastAsia="Times New Roman" w:hAnsi="Times New Roman"/>
                <w:sz w:val="18"/>
                <w:szCs w:val="18"/>
                <w:color w:val="auto"/>
              </w:rPr>
              <w:t>15,600</w:t>
            </w:r>
            <w:r>
              <w:rPr>
                <w:rFonts w:ascii="Times New Roman" w:cs="Times New Roman" w:eastAsia="Times New Roman" w:hAnsi="Times New Roman"/>
                <w:sz w:val="14"/>
                <w:szCs w:val="14"/>
                <w:color w:val="auto"/>
              </w:rPr>
              <w:t>(3)</w:t>
            </w:r>
          </w:p>
        </w:tc>
        <w:tc>
          <w:tcPr>
            <w:tcW w:w="1660" w:type="dxa"/>
            <w:vAlign w:val="bottom"/>
            <w:gridSpan w:val="2"/>
          </w:tcPr>
          <w:p>
            <w:pPr>
              <w:jc w:val="right"/>
              <w:ind w:right="349"/>
              <w:spacing w:after="0"/>
              <w:rPr>
                <w:sz w:val="20"/>
                <w:szCs w:val="20"/>
                <w:color w:val="auto"/>
              </w:rPr>
            </w:pPr>
            <w:r>
              <w:rPr>
                <w:rFonts w:ascii="Times New Roman" w:cs="Times New Roman" w:eastAsia="Times New Roman" w:hAnsi="Times New Roman"/>
                <w:sz w:val="18"/>
                <w:szCs w:val="18"/>
                <w:color w:val="auto"/>
              </w:rPr>
              <w:t>892</w:t>
            </w:r>
          </w:p>
        </w:tc>
        <w:tc>
          <w:tcPr>
            <w:tcW w:w="1600" w:type="dxa"/>
            <w:vAlign w:val="bottom"/>
            <w:gridSpan w:val="2"/>
          </w:tcPr>
          <w:p>
            <w:pPr>
              <w:jc w:val="right"/>
              <w:ind w:right="249"/>
              <w:spacing w:after="0"/>
              <w:rPr>
                <w:sz w:val="20"/>
                <w:szCs w:val="20"/>
                <w:color w:val="auto"/>
              </w:rPr>
            </w:pPr>
            <w:r>
              <w:rPr>
                <w:rFonts w:ascii="Times New Roman" w:cs="Times New Roman" w:eastAsia="Times New Roman" w:hAnsi="Times New Roman"/>
                <w:sz w:val="18"/>
                <w:szCs w:val="18"/>
                <w:color w:val="auto"/>
              </w:rPr>
              <w:t>14,708</w:t>
            </w:r>
          </w:p>
        </w:tc>
        <w:tc>
          <w:tcPr>
            <w:tcW w:w="1260" w:type="dxa"/>
            <w:vAlign w:val="bottom"/>
            <w:gridSpan w:val="2"/>
          </w:tcPr>
          <w:p>
            <w:pPr>
              <w:jc w:val="right"/>
              <w:ind w:right="229"/>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529"/>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55880</wp:posOffset>
            </wp:positionV>
            <wp:extent cx="13017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94" w:lineRule="exact"/>
        <w:rPr>
          <w:sz w:val="20"/>
          <w:szCs w:val="20"/>
          <w:color w:val="auto"/>
        </w:rPr>
      </w:pPr>
    </w:p>
    <w:p>
      <w:pPr>
        <w:ind w:left="460" w:hanging="454"/>
        <w:spacing w:after="0"/>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91,000 shares of common stock and 437,502 options to purchase shares of common stock exercisable within 60 days of April 28, 2005.</w:t>
      </w:r>
    </w:p>
    <w:p>
      <w:pPr>
        <w:spacing w:after="0" w:line="80" w:lineRule="exact"/>
        <w:rPr>
          <w:rFonts w:ascii="Times New Roman" w:cs="Times New Roman" w:eastAsia="Times New Roman" w:hAnsi="Times New Roman"/>
          <w:sz w:val="16"/>
          <w:szCs w:val="16"/>
          <w:color w:val="auto"/>
        </w:rPr>
      </w:pPr>
    </w:p>
    <w:p>
      <w:pPr>
        <w:ind w:left="460" w:hanging="454"/>
        <w:spacing w:after="0"/>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195,000 shares of common stock and 361,504 options to purchase shares of common stock exercisable within 60 days of April 28, 2005.</w:t>
      </w:r>
    </w:p>
    <w:p>
      <w:pPr>
        <w:spacing w:after="0" w:line="80" w:lineRule="exact"/>
        <w:rPr>
          <w:rFonts w:ascii="Times New Roman" w:cs="Times New Roman" w:eastAsia="Times New Roman" w:hAnsi="Times New Roman"/>
          <w:sz w:val="16"/>
          <w:szCs w:val="16"/>
          <w:color w:val="auto"/>
        </w:rPr>
      </w:pPr>
    </w:p>
    <w:p>
      <w:pPr>
        <w:ind w:left="460" w:hanging="454"/>
        <w:spacing w:after="0"/>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options to purchase shares of common stock exercisable within 60 days of April 28, 2005.</w:t>
      </w:r>
    </w:p>
    <w:p>
      <w:pPr>
        <w:spacing w:after="0" w:line="80" w:lineRule="exact"/>
        <w:rPr>
          <w:rFonts w:ascii="Times New Roman" w:cs="Times New Roman" w:eastAsia="Times New Roman" w:hAnsi="Times New Roman"/>
          <w:sz w:val="16"/>
          <w:szCs w:val="16"/>
          <w:color w:val="auto"/>
        </w:rPr>
      </w:pPr>
    </w:p>
    <w:p>
      <w:pPr>
        <w:ind w:left="460" w:right="460" w:hanging="454"/>
        <w:spacing w:after="0" w:line="289" w:lineRule="auto"/>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Flynn is the Managing Partner of Hampshire Equity Partners and is deemed to beneficially own the shares of common stock held by it. Mr. Flynn has disclaimed beneficial ownership of the shares of common stock held by Hampshire Equity Partners.</w:t>
      </w:r>
    </w:p>
    <w:p>
      <w:pPr>
        <w:spacing w:after="0" w:line="19" w:lineRule="exact"/>
        <w:rPr>
          <w:rFonts w:ascii="Times New Roman" w:cs="Times New Roman" w:eastAsia="Times New Roman" w:hAnsi="Times New Roman"/>
          <w:sz w:val="16"/>
          <w:szCs w:val="16"/>
          <w:color w:val="auto"/>
        </w:rPr>
      </w:pPr>
    </w:p>
    <w:p>
      <w:pPr>
        <w:ind w:left="460" w:right="640" w:hanging="454"/>
        <w:spacing w:after="0" w:line="289" w:lineRule="auto"/>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Goff is a Principal of Hampshire Equity Partners and is deemed to beneficially own the shares of common stock held by it. Mr. Goff has disclaimed beneficial ownership of the shares of common stock held by Hampshire Equity Partners.</w:t>
      </w:r>
    </w:p>
    <w:p>
      <w:pPr>
        <w:spacing w:after="0" w:line="19" w:lineRule="exact"/>
        <w:rPr>
          <w:rFonts w:ascii="Times New Roman" w:cs="Times New Roman" w:eastAsia="Times New Roman" w:hAnsi="Times New Roman"/>
          <w:sz w:val="16"/>
          <w:szCs w:val="16"/>
          <w:color w:val="auto"/>
        </w:rPr>
      </w:pPr>
    </w:p>
    <w:p>
      <w:pPr>
        <w:ind w:left="460" w:right="60" w:hanging="454"/>
        <w:spacing w:after="0" w:line="269" w:lineRule="auto"/>
        <w:tabs>
          <w:tab w:leader="none" w:pos="4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Hampshire Equity Partners II, L.P. is 520 Madison Avenue, New York, New York 10022. Lexington Equity Partners II, L.P. is the general partner of Hampshire Equity Partners and has ultimate voting and investment control over the shares of our common stock held by Hampshire Equity Partners. The general partner of Lexington Equity Partners II, L.P. is Lexington Equity Partners II, Inc., or Lexington Inc. Tracey Rudd, an employee of Hampshire Equity Partners, is the President of Lexington Inc. and Mr. Flynn, one of our directors, is the Vice President of Lexington Inc.</w:t>
      </w:r>
    </w:p>
    <w:p>
      <w:pPr>
        <w:spacing w:after="0" w:line="21" w:lineRule="exact"/>
        <w:rPr>
          <w:rFonts w:ascii="Times New Roman" w:cs="Times New Roman" w:eastAsia="Times New Roman" w:hAnsi="Times New Roman"/>
          <w:sz w:val="16"/>
          <w:szCs w:val="16"/>
          <w:color w:val="auto"/>
        </w:rPr>
      </w:pPr>
    </w:p>
    <w:p>
      <w:pPr>
        <w:ind w:left="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Less than 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Description of Capital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Upon the completion of this offering, we will be authorized to issue 20,000,000 shares of common stock, $0.01 par value per share, and 5,000 shares of undesignated preferred stock, $0.01 par value per share. The following description of our capital stock does not purport to be complete and is subject to, and qualified in its entirety by, our second amended and restated certificate of incorporation and amended and restated by-laws, which we have included as exhibits to the registration statement of which this prospectus forms a part.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1" w:lineRule="exact"/>
        <w:rPr>
          <w:sz w:val="20"/>
          <w:szCs w:val="20"/>
          <w:color w:val="auto"/>
        </w:rPr>
      </w:pPr>
    </w:p>
    <w:p>
      <w:pPr>
        <w:ind w:right="240"/>
        <w:spacing w:after="0" w:line="303" w:lineRule="auto"/>
        <w:rPr>
          <w:sz w:val="20"/>
          <w:szCs w:val="20"/>
          <w:color w:val="auto"/>
        </w:rPr>
      </w:pPr>
      <w:r>
        <w:rPr>
          <w:rFonts w:ascii="Times New Roman" w:cs="Times New Roman" w:eastAsia="Times New Roman" w:hAnsi="Times New Roman"/>
          <w:sz w:val="17"/>
          <w:szCs w:val="17"/>
          <w:i w:val="1"/>
          <w:iCs w:val="1"/>
          <w:color w:val="auto"/>
        </w:rPr>
        <w:t xml:space="preserve">Dividend Rights. </w:t>
      </w:r>
      <w:r>
        <w:rPr>
          <w:rFonts w:ascii="Times New Roman" w:cs="Times New Roman" w:eastAsia="Times New Roman" w:hAnsi="Times New Roman"/>
          <w:sz w:val="17"/>
          <w:szCs w:val="17"/>
          <w:color w:val="auto"/>
        </w:rPr>
        <w:t>Subject to preferences that may apply to shares of preferred stock outstanding at the time, the holders of outstanding shares of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entitled to receive dividends out of assets legally available at the time and in the amounts as our board of directors may from time to time determine.</w:t>
      </w:r>
    </w:p>
    <w:p>
      <w:pPr>
        <w:spacing w:after="0" w:line="36" w:lineRule="exact"/>
        <w:rPr>
          <w:sz w:val="20"/>
          <w:szCs w:val="20"/>
          <w:color w:val="auto"/>
        </w:rPr>
      </w:pPr>
    </w:p>
    <w:p>
      <w:pPr>
        <w:ind w:right="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Each common stockholder is entitled to one vote for each share of common stock held on all matters submitted to a vote of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for the election of directors is not provided for in our certificate of incorporation, which means that the holders of a majority of the shares voted can elect all of the directors then standing for election.</w:t>
      </w:r>
    </w:p>
    <w:p>
      <w:pPr>
        <w:spacing w:after="0" w:line="71"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No holder of our common stock is entitled to preemptive rights to subscribe for any shares of capital stock and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is not subject to conversion or redemption.</w:t>
      </w:r>
    </w:p>
    <w:p>
      <w:pPr>
        <w:spacing w:after="0" w:line="58"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Right to Receive Liquidation Distributions. </w:t>
      </w:r>
      <w:r>
        <w:rPr>
          <w:rFonts w:ascii="Times New Roman" w:cs="Times New Roman" w:eastAsia="Times New Roman" w:hAnsi="Times New Roman"/>
          <w:sz w:val="18"/>
          <w:szCs w:val="18"/>
          <w:color w:val="auto"/>
        </w:rPr>
        <w:t>Upon our liquidation, dissolution or winding-up, the assets legally available for distribution to our stockholders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distributable ratably among the holders of our common stock and any participating preferred stock outstanding at that time, after payment of liquidation preferences, if any, on any outstanding preferred stock and payment of other claims of creditors. Each outstanding share of common stock is, and all shares of common stock to be outstanding upon completion of this offering will be, fully paid and nonassessable.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of this offering, no shares of, and no securities convertible into, our preferred stock will be outstanding.</w:t>
      </w:r>
    </w:p>
    <w:p>
      <w:pPr>
        <w:spacing w:after="0" w:line="11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Upon the closing of this offering, under our second amended and restated certificate of incorporation our board of directors will be authorized, subject to the limits imposed by the Delaware General Corporation Law, but without further action by our stockholders, to issue shares of preferred stock in one or more series, to establish from time to time the number of shares to be included in each series, to fix the rights, preferences and privileges of the shares of each wholly unissued series and any of its qualifications, limitations and restrictions. Our board of directors can also increase or decrease the number of any series, but not below the number of shares of that series then outstanding, without any further vote or action by our stockholders.</w:t>
      </w:r>
    </w:p>
    <w:p>
      <w:pPr>
        <w:spacing w:after="0" w:line="8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stock with voting or conversion rights that adversely affect the voting power or other rights of our common stockholders. The issuance of preferred stock, while providing flexibility in connection with possible acquisitions, financings and other corporate purposes, could have the effect of delaying, deferring or preventing our change in control and may cause the market price of our common stock to decline or impair the voting and other rights of the holders of our common stock. We have no current plans to issue any shares of preferred stock.</w:t>
      </w:r>
    </w:p>
    <w:p>
      <w:pPr>
        <w:spacing w:after="0" w:line="78" w:lineRule="exact"/>
        <w:rPr>
          <w:sz w:val="20"/>
          <w:szCs w:val="20"/>
          <w:color w:val="auto"/>
        </w:rPr>
      </w:pPr>
    </w:p>
    <w:p>
      <w:pPr>
        <w:ind w:right="780"/>
        <w:spacing w:after="0" w:line="273" w:lineRule="auto"/>
        <w:rPr>
          <w:sz w:val="20"/>
          <w:szCs w:val="20"/>
          <w:color w:val="auto"/>
        </w:rPr>
      </w:pPr>
      <w:r>
        <w:rPr>
          <w:rFonts w:ascii="Times New Roman" w:cs="Times New Roman" w:eastAsia="Times New Roman" w:hAnsi="Times New Roman"/>
          <w:sz w:val="18"/>
          <w:szCs w:val="18"/>
          <w:b w:val="1"/>
          <w:bCs w:val="1"/>
          <w:color w:val="auto"/>
        </w:rPr>
        <w:t>Anti-Takeover Effects of Various Provisions of the Delaware General Corporation Law and Our Second Amended and Restated Certificate of Incorporation and Our Amended and Restated By-laws</w:t>
      </w:r>
    </w:p>
    <w:p>
      <w:pPr>
        <w:spacing w:after="0" w:line="6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Provisions of the Delaware General Corporation Law, our second amended and restated certificate of incorporation and our amended and restated by-laws contain provisions that may have some anti-takeover effects and may delay, defer or prevent a tender offer or takeover attempt that a stockholder might consider in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best interest, including those attempts that might result in a premium over the market price for the shares held by stockholders.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specific exceptions, Section 203 prohibits a publicly held Delaware corporation from engaging in a “business combination” with an “interested stockholder” for a period of three years after the time the person became an interested stockholder, unless:</w:t>
      </w:r>
    </w:p>
    <w:p>
      <w:pPr>
        <w:spacing w:after="0" w:line="20" w:lineRule="exact"/>
        <w:rPr>
          <w:sz w:val="20"/>
          <w:szCs w:val="20"/>
          <w:color w:val="auto"/>
        </w:rPr>
      </w:pPr>
    </w:p>
    <w:p>
      <w:pPr>
        <w:ind w:left="340" w:right="260" w:hanging="215"/>
        <w:spacing w:after="0" w:line="27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22" w:lineRule="exact"/>
        <w:rPr>
          <w:rFonts w:ascii="Times New Roman" w:cs="Times New Roman" w:eastAsia="Times New Roman" w:hAnsi="Times New Roman"/>
          <w:sz w:val="18"/>
          <w:szCs w:val="18"/>
          <w:color w:val="auto"/>
        </w:rPr>
      </w:pPr>
    </w:p>
    <w:p>
      <w:pPr>
        <w:ind w:left="340" w:right="80" w:hanging="215"/>
        <w:spacing w:after="0" w:line="253"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39" w:lineRule="exact"/>
        <w:rPr>
          <w:rFonts w:ascii="Times New Roman" w:cs="Times New Roman" w:eastAsia="Times New Roman" w:hAnsi="Times New Roman"/>
          <w:sz w:val="18"/>
          <w:szCs w:val="18"/>
          <w:color w:val="auto"/>
        </w:rPr>
      </w:pPr>
    </w:p>
    <w:p>
      <w:pPr>
        <w:jc w:val="both"/>
        <w:ind w:left="340" w:right="20" w:hanging="215"/>
        <w:spacing w:after="0" w:line="301" w:lineRule="auto"/>
        <w:tabs>
          <w:tab w:leader="none" w:pos="3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3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“Business combinations” include mergers, asset sales and other transactions resulting in a financial benefit to the interested stockholder. Subject to various exceptions, in general an “interested stockholder” is a person who, together with his or her affiliates and associates, owns, or within three years did own, 15% or more of the shares of the corporation’s outstanding voting stock. These restrictions could prohibit or delay the accomplishment of mergers or other takeover or change in control attempts with respect to us and, therefore, may discourage attempts to acquire us.</w:t>
      </w:r>
    </w:p>
    <w:p>
      <w:pPr>
        <w:spacing w:after="0" w:line="80" w:lineRule="exact"/>
        <w:rPr>
          <w:sz w:val="20"/>
          <w:szCs w:val="20"/>
          <w:color w:val="auto"/>
        </w:rPr>
      </w:pPr>
    </w:p>
    <w:p>
      <w:pPr>
        <w:ind w:right="700"/>
        <w:spacing w:after="0" w:line="271" w:lineRule="auto"/>
        <w:rPr>
          <w:sz w:val="20"/>
          <w:szCs w:val="20"/>
          <w:color w:val="auto"/>
        </w:rPr>
      </w:pPr>
      <w:r>
        <w:rPr>
          <w:rFonts w:ascii="Times New Roman" w:cs="Times New Roman" w:eastAsia="Times New Roman" w:hAnsi="Times New Roman"/>
          <w:sz w:val="18"/>
          <w:szCs w:val="18"/>
          <w:color w:val="auto"/>
        </w:rPr>
        <w:t>In addition, provisions of our second amended and restated certificate of incorporation and amended and restated by-laws, which are summarized in the following paragraphs, may have an anti-takeover effect.</w:t>
      </w:r>
    </w:p>
    <w:p>
      <w:pPr>
        <w:spacing w:after="0" w:line="6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Classified Board of Directors. </w:t>
      </w:r>
      <w:r>
        <w:rPr>
          <w:rFonts w:ascii="Times New Roman" w:cs="Times New Roman" w:eastAsia="Times New Roman" w:hAnsi="Times New Roman"/>
          <w:sz w:val="18"/>
          <w:szCs w:val="18"/>
          <w:color w:val="auto"/>
        </w:rPr>
        <w:t>Our second amended and restated certificate of incorporation will divide our board into three classes having staggered terms,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such classes being elected each year for a new three-year term. Class I directors will have an initial term expiring in 2006, Class II directors will have an initial term expiring in 2007 and Class III directors will have an initial term expiring in 2008. Class I will be comprised of the director who will occupy our vacant director position, which we intend to fill after the consummation of this offering. Class II will be comprised of Messrs. Noll and Lupo. Class III will be comprised of Messrs. Flynn and Anderson.</w:t>
      </w:r>
    </w:p>
    <w:p>
      <w:pPr>
        <w:spacing w:after="0" w:line="7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Quorum Requirements; Removal of Directors. </w:t>
      </w:r>
      <w:r>
        <w:rPr>
          <w:rFonts w:ascii="Times New Roman" w:cs="Times New Roman" w:eastAsia="Times New Roman" w:hAnsi="Times New Roman"/>
          <w:sz w:val="18"/>
          <w:szCs w:val="18"/>
          <w:color w:val="auto"/>
        </w:rPr>
        <w:t>Our second amended and restated certificate of incorporation provides for a minimum quorum of one-third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voting power of the outstanding shares of our capital stock entitled to vote, except that a minimum quorum of a majority in voting power of the outstanding shares of our capital stock entitled to vote is necessary to hold a vote for any director in a contested election, the removal of a director or the filling of a vacancy on our board of directors. Directors may be removed only for cause by the affirmative vote of at least a majority in voting power of the outstanding shares of our capital stock entitled to vote generally in the election of directors.</w:t>
      </w:r>
    </w:p>
    <w:p>
      <w:pPr>
        <w:spacing w:after="0" w:line="77"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Delaware General Corporation Law provides that stockholders are not entitled to cumulate votes in the election of directors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for otherwise in a company’s certificate of incorporation. Our second amended and restated certificate of incorporation does not grant our stockholders cumulative voting rights.</w:t>
      </w:r>
    </w:p>
    <w:p>
      <w:pPr>
        <w:spacing w:after="0" w:line="7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 Stockholder Action by Written Consent; Calling of Special Meeting of Stockholders. </w:t>
      </w:r>
      <w:r>
        <w:rPr>
          <w:rFonts w:ascii="Times New Roman" w:cs="Times New Roman" w:eastAsia="Times New Roman" w:hAnsi="Times New Roman"/>
          <w:sz w:val="18"/>
          <w:szCs w:val="18"/>
          <w:color w:val="auto"/>
        </w:rPr>
        <w:t>Our second amended and restated certificate of incorporation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prohibits stockholder action by written consent. It and our amended and restated by-laws also provide that special meetings of our stockholders may be called only by (1) the chairman of our board of directors or (2) our board of directors pursuant to a resolution approved by</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color w:val="auto"/>
        </w:rPr>
        <w:t>our board of directors or (3) our board of directors upon a request by holders of at least 50% in voting power of all the outstanding shares entitled to vote at that meeting.</w:t>
      </w:r>
    </w:p>
    <w:p>
      <w:pPr>
        <w:spacing w:after="0" w:line="6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 restated by-laws provide that stockholders seeking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 business before or to nominate candidates for election as directors at an annual meeting of stockholders must provide timely notice of their proposal in writing to the corporate secretary. To be timely, a stockholder’s notice must be delivered or mailed and received at our principal executive offices not less than 90 nor more than 120 days in advance of the anniversary date of the immediately preceding annual meeting of stockholders. Our amended and restated by-laws also specify requirements as to the form and content of a stockholder’s notice. These provisions may impede stockholders’ ability to bring matters before an annual meeting of stockholders or make nominations for directors at an annual meeting of stockholders. Stockholder nominations for the election of directors at a special meeting must be received by our corporate secretary by the later of ten days following the day on which notice of the date of the special meeting was mailed or public disclosure of the date of the special meeting was made or 90 days prior to the date that meeting is proposed to be held and not more than 120 days prior to such meeting.</w:t>
      </w:r>
    </w:p>
    <w:p>
      <w:pPr>
        <w:spacing w:after="0" w:line="8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Limitations on Liability and Indemnification of Officers and Directors. </w:t>
      </w:r>
      <w:r>
        <w:rPr>
          <w:rFonts w:ascii="Times New Roman" w:cs="Times New Roman" w:eastAsia="Times New Roman" w:hAnsi="Times New Roman"/>
          <w:sz w:val="17"/>
          <w:szCs w:val="17"/>
          <w:color w:val="auto"/>
        </w:rPr>
        <w:t>As discussed above under “Management-Limitation of Liability and Indemnification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and Directors,” the Delaware General Corporation Law authorizes corporations to limit or eliminate the personal liability of directors to corporations and their stockholders for monetary damages for breaches of directors’ fiduciary duties as directors. Our second amended and restated certificate of incorporation includes a provision that eliminates the personal liability of directors for monetary damages for actions taken as a director, except for liability:</w:t>
      </w:r>
    </w:p>
    <w:p>
      <w:pPr>
        <w:spacing w:after="0" w:line="9" w:lineRule="exact"/>
        <w:rPr>
          <w:sz w:val="20"/>
          <w:szCs w:val="20"/>
          <w:color w:val="auto"/>
        </w:rPr>
      </w:pPr>
    </w:p>
    <w:p>
      <w:pPr>
        <w:ind w:left="340" w:hanging="215"/>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breach of duty of loyalty;</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involving intentional misconduct or knowing violation of law;</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(unlawful dividends or stock repurchases); or</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transactions from which the director derived improper personal benefit.</w:t>
      </w:r>
    </w:p>
    <w:p>
      <w:pPr>
        <w:spacing w:after="0" w:line="111"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we must indemnify and advance expenses to our directors and officers to the fullest extent authorized by the Delaware General Corporation Law. We are also expressly authorized to, and do, carry directors’ and officers’ insurance for our directors, officers and certain employees for some liabilities. We believe that these indemnification provisions and insurance are useful to attract and retain qualified directors and executive officers.</w:t>
      </w:r>
    </w:p>
    <w:p>
      <w:pPr>
        <w:spacing w:after="0" w:line="8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that, in a class action or direct suit, we pay the costs of settlement and damage awards against directors and officers pursuant to these indemnification provisions.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currently no pending material litigation or proceeding involving any of our directors, officers or employees for which indemnification is sought.</w:t>
      </w:r>
    </w:p>
    <w:p>
      <w:pPr>
        <w:spacing w:after="0" w:line="10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Our authorized but unissued shares of common stock and preferred stock will be available for future issuance without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We may use additional shares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us by means of a proxy contest, tender offer, merger or otherwise.</w:t>
      </w:r>
    </w:p>
    <w:p>
      <w:pPr>
        <w:spacing w:after="0" w:line="76"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Supermajority Provisions. </w:t>
      </w:r>
      <w:r>
        <w:rPr>
          <w:rFonts w:ascii="Times New Roman" w:cs="Times New Roman" w:eastAsia="Times New Roman" w:hAnsi="Times New Roman"/>
          <w:sz w:val="18"/>
          <w:szCs w:val="18"/>
          <w:color w:val="auto"/>
        </w:rPr>
        <w:t>The Delaware General Corporation Law provides generally that the affirmative vote of a majority in voting power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entitled to vote is required to amend a corporation’s certificate of incorporation, unless the certificate of incorporation requires a greater percentage. Our second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amended and restated certificate of incorporation provides that the following provisions in the second amended and restated certificate of incorporation may be amended only by a vote of two-thirds or more in voting power of all the outstanding shares of our capital stock entitled to vote:</w:t>
      </w:r>
    </w:p>
    <w:p>
      <w:pPr>
        <w:spacing w:after="0" w:line="9" w:lineRule="exact"/>
        <w:rPr>
          <w:sz w:val="20"/>
          <w:szCs w:val="20"/>
          <w:color w:val="auto"/>
        </w:rPr>
      </w:pPr>
    </w:p>
    <w:p>
      <w:pPr>
        <w:ind w:left="340" w:hanging="215"/>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stockholder action by written consent;</w:t>
      </w:r>
    </w:p>
    <w:p>
      <w:pPr>
        <w:spacing w:after="0" w:line="70" w:lineRule="exact"/>
        <w:rPr>
          <w:rFonts w:ascii="Times New Roman" w:cs="Times New Roman" w:eastAsia="Times New Roman" w:hAnsi="Times New Roman"/>
          <w:sz w:val="18"/>
          <w:szCs w:val="18"/>
          <w:color w:val="auto"/>
        </w:rPr>
      </w:pPr>
    </w:p>
    <w:p>
      <w:pPr>
        <w:ind w:left="340" w:right="100" w:hanging="215"/>
        <w:spacing w:after="0" w:line="258"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call a special meeting of stockholders being vested solely in (1) the chairman of our board of directors, (2) our board of directors pursuant to a resolution adopted by our board of directors and (3) our board of directors upon a request by holders of at least 50% in voting power of all the outstanding shares entitled to vote at that meeting;</w:t>
      </w:r>
    </w:p>
    <w:p>
      <w:pPr>
        <w:spacing w:after="0" w:line="33"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classification of our board of directors;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size of our board of directors;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relating to the quorum requirements for stockholder action and the removal of directors;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on the liability of our directors to us and our stockholders;</w:t>
      </w:r>
    </w:p>
    <w:p>
      <w:pPr>
        <w:spacing w:after="0" w:line="70" w:lineRule="exact"/>
        <w:rPr>
          <w:rFonts w:ascii="Times New Roman" w:cs="Times New Roman" w:eastAsia="Times New Roman" w:hAnsi="Times New Roman"/>
          <w:sz w:val="18"/>
          <w:szCs w:val="18"/>
          <w:color w:val="auto"/>
        </w:rPr>
      </w:pPr>
    </w:p>
    <w:p>
      <w:pPr>
        <w:ind w:left="340" w:right="80" w:hanging="215"/>
        <w:spacing w:after="0" w:line="27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granting authority to our board of directors to amend or repeal our by-laws without a stockholder vote, as described in more detail in the next succeeding paragraph; and</w:t>
      </w:r>
    </w:p>
    <w:p>
      <w:pPr>
        <w:spacing w:after="0" w:line="22"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supermajority voting requirements listed above.</w:t>
      </w:r>
    </w:p>
    <w:p>
      <w:pPr>
        <w:spacing w:after="0" w:line="111"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grants our board of directors the authority to amend and repeal our by-laws without a stockholder vote in any manner not inconsistent with the laws of the State of Delaware or our second amended and restated certificate of incorporation.</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our second amended and restated certificate of incorporation and our amended and restated by-laws provide that the same provisions listed above and found in our amended and restated by-laws may be amended by stockholders representing no less than two-thirds of the voting power of all the outstanding shares of our capital stock entitled to vote.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list our common stock on the Nasdaq National Market under the trading symbol “CTRN.”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color w:val="auto"/>
        </w:rPr>
        <w:t>Upon consummation of this offering, the transfer agent and registrar for the common stock will be American Stock Transfer and Trust Company. The transfer agent’s address is 59 Maiden Lane, New York, New York 10038.</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Shares Eligible for Future Sale</w:t>
      </w:r>
    </w:p>
    <w:p>
      <w:pPr>
        <w:spacing w:after="0" w:line="115"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Immediately prior to this offering, there has been no public market for our common stock. Future sales of substantial amounts of common stock in the public market could adversely affect prevailing market prices. Furthermore, since only a limited number of shares will be available for sale shortly after the offering because of contractual and legal restrictions on resale described below, sales of substantial amounts of common stock in the public market after the restrictions lapse could adversely affect the prevailing market price and our ability to raise equity capital in the future.</w:t>
      </w:r>
    </w:p>
    <w:p>
      <w:pPr>
        <w:spacing w:after="0" w:line="8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11,995,000 shares of common stock will be outstanding, assuming no exercise of currently outstanding and exercisable options. Of these shares, the shares sold in this offering, plus any additional shares sold upon exercise of the underwriters’ over-allotment option, will be freely transferable without restriction under the Securities Act of 1933, as amended, unless they are held by our “affiliates” as that term is used under the Securities Act of 1933, as amended, and the rules and regulations promulgated thereunder. The remaining 8,145,000 shares of common stock held by existing stockholders are restricted shares. In addition, upon consummation of this offering, a total of 1,817,594 options will be outstanding, of which 1,614,144 options will be fully vested. Restricted shares may be sold in the public market only if registered or if they qualify for an exemption from registration under Rules 144 or 701 promulgated under the Securities Act of 1933, as amended, which rules are summarized below.</w:t>
      </w:r>
    </w:p>
    <w:p>
      <w:pPr>
        <w:spacing w:after="0" w:line="8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general, under Rule 144 as in effect on the date of this prospectus, beginning 90 days after the effective date of this offering, our affiliates, or a person (or persons whose shares are aggregated) who has beneficially owned restricted shares (as defined under Rule 144) for at least one year, are entitled to sell within any three-month period a number of shares that does not exceed the greater of one percent of the then outstanding shares of common stock or the average weekly trading volume of the common stock on the Nasdaq National Market during the four calendar weeks immediately preceding the date on which notice of the sale is filed with the Commission.</w:t>
      </w:r>
    </w:p>
    <w:p>
      <w:pPr>
        <w:spacing w:after="0" w:line="82"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Sales under Rule 144 are subject to requirements relating to the manner of sale, notice and the availability of current public information about us. A person (or persons whose shares are aggregated) who was not our affiliate at any time during the 90 days immediately preceding the sale and who has beneficially owned restricted shares for at least two years is entitled to sell such shares under Rule 144(k) without regard to the limitations described above.</w:t>
      </w:r>
    </w:p>
    <w:p>
      <w:pPr>
        <w:spacing w:after="0" w:line="7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Our employees, officers, directors or consultants who purchased or were awarded shares or options to purchase shares under a written compensatory plan or contract are entitled to rely on the resale provisions of Rule 701 under the Securities Act of 1933, as amended, which permits affiliates and non-affiliates to sell their Rule 701 shares without having to comply with the Rule 144 holding period restrictions, in each case commencing 90 days after the effective date of this offering. In addition, non-affiliates may sell Rule 701 shares without complying with the public information, volume and notice provisions of Rule 144.</w:t>
      </w:r>
    </w:p>
    <w:p>
      <w:pPr>
        <w:spacing w:after="0" w:line="63"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In addition, we expect to file a registration statement on Form S-8 registering shares of common stock subject to outstanding stock options or reserved for issuance under our Amended and Restated 1999 Stock Option Plan and 2005 Long-Term Incentive Plan. We expect to file this registration statement as soon as practicable after the consummation of this offering. Shares registered under this registration statement will, subject to Rule 144 volume limitations applicable to affiliates, be available for sale in the open market, unless such shares are subject to vesting restrictions with us or the lock-up agreements described below.</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Each of our officers and directors and certain other stockholders, including Hampshire Equity Partners, have agreed to a 180-day “lock-up” with respect to our shares of common stock and other of our securities that they beneficially own, including securities that are convertible into shares of common stock and securities that are exchangeable or exercisable for shares of common stock. These lock-up agreements cover 9,115,344 fully diluted shares of our common stock. We have also agreed to such a restriction. This means that, for a period of 180 days following the date of this prospectus (the “lock-up period”), subject to specified exceptions, we</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and such persons may not, directly or indirectly, offer, sell, pledge or otherwise dispose of these securities without the prior written consent of CIBC World Markets Corp. In addition, the lock-up period may be extended in the event that we release earnings or announce certain material news within specified time periods prior to the termination of the lock-up period. The restrictions in the lock-up agreements will not prevent such persons from transferring their shares or other securities as gifts, to members of their immediate family or to a trust for the benefit of themselves of member of their family or by will or intestacy, provided, in each case, that the transferee of such shares of other securities agrees to be locked-up to the same extent as the person from whom they received the shares.</w:t>
      </w:r>
    </w:p>
    <w:p>
      <w:pPr>
        <w:spacing w:after="0" w:line="8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been advised by CIBC World Markets Corp. that the release of any lock-up agreement by it will be considered on a case-by-case basis. The factors considered by CIBC World Markets Corp. in any such decision may include the length of time before the lock-up agreement expires, the number of shares involved, the reason for the requested release, market conditions, the trading price of our common stock, and the identity of the person or entity seeking the release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us or one of our affiliates, shareholders, executive officers or directors). We have also been advised by the underwriters that the underwriters have no current intention of waiving the lock-ups.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the registration rights agreement to be executed upon consummation of this offering, Hampshire Equity Partners has the right to demand registration of its shares and to include its shares in registration statements that we file after the consummation of this offering, subject to certain exceptions. See “Related Party Transactions—Registration Rights Agreement.”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Underwriting</w:t>
      </w:r>
    </w:p>
    <w:p>
      <w:pPr>
        <w:spacing w:after="0" w:line="115"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We and the selling stockholders will enter into an underwriting agreement with the underwriters named below. CIBC World Markets Corp., Piper Jaffray &amp; Co., SG Cowen &amp; Co., LLC and Wachovia Capital Markets, LLC, are acting as the representatives of the underwriters.</w:t>
      </w:r>
    </w:p>
    <w:p>
      <w:pPr>
        <w:spacing w:after="0" w:line="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underwriting agreement provides for the purchase of a specific number of shares of common stock by each of the underwriters. The underwriters’ obligations are several, which means that each underwriter is required to purchase a specified number of shares, but is not responsible for the commitment of any other underwriter to purchase shares. Subject to the terms and conditions of the underwriting agreement, each underwriter has severally agreed to purchase the number of shares of common stock set forth opposite its name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320" w:type="dxa"/>
            <w:vAlign w:val="bottom"/>
          </w:tcPr>
          <w:p>
            <w:pPr>
              <w:spacing w:after="0"/>
              <w:rPr>
                <w:sz w:val="14"/>
                <w:szCs w:val="14"/>
                <w:color w:val="auto"/>
              </w:rPr>
            </w:pPr>
          </w:p>
        </w:tc>
        <w:tc>
          <w:tcPr>
            <w:tcW w:w="2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200"/>
        </w:trPr>
        <w:tc>
          <w:tcPr>
            <w:tcW w:w="84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CIBC World Markets Corp.</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2"/>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Piper Jaffray &amp; Co.</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2"/>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SG Cowen &amp; Co., LLC</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Wachovia Capital Markets, LLC</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980" w:type="dxa"/>
            <w:vAlign w:val="bottom"/>
          </w:tcPr>
          <w:p>
            <w:pPr>
              <w:spacing w:after="0"/>
              <w:rPr>
                <w:sz w:val="19"/>
                <w:szCs w:val="19"/>
                <w:color w:val="auto"/>
              </w:rPr>
            </w:pPr>
          </w:p>
        </w:tc>
      </w:tr>
      <w:tr>
        <w:trPr>
          <w:trHeight w:val="219"/>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3,850,000</w:t>
            </w:r>
          </w:p>
        </w:tc>
        <w:tc>
          <w:tcPr>
            <w:tcW w:w="98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0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underwriters have agreed to purchase all of the shares offered by this prospectus (other than those covered by the over-allotment option described below) if any are purchased. Under the underwriting agreement, if an underwriter defaults in its commitment to purchase shares, the commitments of non-defaulting underwriters may be increased or the underwriting agreement may be terminated, depending on the circumstances.</w:t>
      </w:r>
    </w:p>
    <w:p>
      <w:pPr>
        <w:spacing w:after="0" w:line="7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shares should be ready for delivery on or about , 2005 against payment in immediately available funds. The underwriters are offering the shares subject to various conditions and may reject all or part of any order. The representatives have advised us and the selling stockholders that the underwriters propose to offer the shares directly to the public at the initial public offering price that appears on the cover page of this prospectus. In addition, the</w:t>
      </w:r>
    </w:p>
    <w:p>
      <w:pPr>
        <w:ind w:right="60"/>
        <w:spacing w:after="0" w:line="248" w:lineRule="auto"/>
        <w:rPr>
          <w:sz w:val="20"/>
          <w:szCs w:val="20"/>
          <w:color w:val="auto"/>
        </w:rPr>
      </w:pPr>
      <w:r>
        <w:rPr>
          <w:rFonts w:ascii="Times New Roman" w:cs="Times New Roman" w:eastAsia="Times New Roman" w:hAnsi="Times New Roman"/>
          <w:sz w:val="18"/>
          <w:szCs w:val="18"/>
          <w:color w:val="auto"/>
        </w:rPr>
        <w:t>representatives may offer some of the shares to other securities dealers at such price less a concession of $ per share. The underwriters may also allow, and such dealers may reallow, a concession not in excess of $ per share to other dealers. After the shares are released for sale to the public, the representatives may change the offering price and other selling terms at various times.</w:t>
      </w:r>
    </w:p>
    <w:p>
      <w:pPr>
        <w:spacing w:after="0" w:line="8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We have granted the underwriters an over-allotment option. This option, which is exercisable for up to 30 days after the date of this prospectus, permits the underwriters to purchase a maximum of 577,500 additional shares to cover over-allotments. If the underwriters exercise all or part of this option, they will purchase shares covered by the option at the initial public offering price that appears on the cover page of this prospectus, less the underwriting discount. If this</w:t>
      </w:r>
    </w:p>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option is exercised in full, the total price to the public will be $ and the total proceeds to us will be $ . The underwriters have severally agreed that, to the extent the over-allotment option is exercised, they will each purchase a number of additional shares proportionate to the underwriter’s initial amount reflected in the foregoing table.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the amount of the discount to be paid to the underwriters by us and the selling stockholders: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Without</w:t>
            </w:r>
          </w:p>
        </w:tc>
        <w:tc>
          <w:tcPr>
            <w:tcW w:w="340" w:type="dxa"/>
            <w:vAlign w:val="bottom"/>
          </w:tcPr>
          <w:p>
            <w:pPr>
              <w:spacing w:after="0"/>
              <w:rPr>
                <w:sz w:val="13"/>
                <w:szCs w:val="13"/>
                <w:color w:val="auto"/>
              </w:rPr>
            </w:pPr>
          </w:p>
        </w:tc>
        <w:tc>
          <w:tcPr>
            <w:tcW w:w="1460" w:type="dxa"/>
            <w:vAlign w:val="bottom"/>
          </w:tcPr>
          <w:p>
            <w:pPr>
              <w:jc w:val="center"/>
              <w:ind w:left="145"/>
              <w:spacing w:after="0"/>
              <w:rPr>
                <w:sz w:val="20"/>
                <w:szCs w:val="20"/>
                <w:color w:val="auto"/>
              </w:rPr>
            </w:pPr>
            <w:r>
              <w:rPr>
                <w:rFonts w:ascii="Times New Roman" w:cs="Times New Roman" w:eastAsia="Times New Roman" w:hAnsi="Times New Roman"/>
                <w:sz w:val="14"/>
                <w:szCs w:val="14"/>
                <w:b w:val="1"/>
                <w:bCs w:val="1"/>
                <w:color w:val="auto"/>
                <w:w w:val="98"/>
              </w:rPr>
              <w:t>Total With Full</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4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Exercise of Over-</w:t>
            </w:r>
          </w:p>
        </w:tc>
        <w:tc>
          <w:tcPr>
            <w:tcW w:w="340" w:type="dxa"/>
            <w:vAlign w:val="bottom"/>
          </w:tcPr>
          <w:p>
            <w:pPr>
              <w:spacing w:after="0"/>
              <w:rPr>
                <w:sz w:val="12"/>
                <w:szCs w:val="12"/>
                <w:color w:val="auto"/>
              </w:rPr>
            </w:pPr>
          </w:p>
        </w:tc>
        <w:tc>
          <w:tcPr>
            <w:tcW w:w="1460" w:type="dxa"/>
            <w:vAlign w:val="bottom"/>
          </w:tcPr>
          <w:p>
            <w:pPr>
              <w:jc w:val="center"/>
              <w:ind w:left="145"/>
              <w:spacing w:after="0" w:line="145" w:lineRule="exact"/>
              <w:rPr>
                <w:sz w:val="20"/>
                <w:szCs w:val="20"/>
                <w:color w:val="auto"/>
              </w:rPr>
            </w:pPr>
            <w:r>
              <w:rPr>
                <w:rFonts w:ascii="Times New Roman" w:cs="Times New Roman" w:eastAsia="Times New Roman" w:hAnsi="Times New Roman"/>
                <w:sz w:val="14"/>
                <w:szCs w:val="14"/>
                <w:b w:val="1"/>
                <w:bCs w:val="1"/>
                <w:color w:val="auto"/>
                <w:w w:val="99"/>
              </w:rPr>
              <w:t>Exercise of Over-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Citi Trends, Inc.</w:t>
            </w:r>
          </w:p>
        </w:tc>
        <w:tc>
          <w:tcPr>
            <w:tcW w:w="2860" w:type="dxa"/>
            <w:vAlign w:val="bottom"/>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Allotment Option</w:t>
            </w:r>
          </w:p>
        </w:tc>
        <w:tc>
          <w:tcPr>
            <w:tcW w:w="340" w:type="dxa"/>
            <w:vAlign w:val="bottom"/>
          </w:tcPr>
          <w:p>
            <w:pPr>
              <w:spacing w:after="0"/>
              <w:rPr>
                <w:sz w:val="14"/>
                <w:szCs w:val="14"/>
                <w:color w:val="auto"/>
              </w:rPr>
            </w:pPr>
          </w:p>
        </w:tc>
        <w:tc>
          <w:tcPr>
            <w:tcW w:w="1460" w:type="dxa"/>
            <w:vAlign w:val="bottom"/>
            <w:tcBorders>
              <w:bottom w:val="single" w:sz="8" w:color="auto"/>
            </w:tcBorders>
          </w:tcPr>
          <w:p>
            <w:pPr>
              <w:jc w:val="center"/>
              <w:ind w:left="165"/>
              <w:spacing w:after="0"/>
              <w:rPr>
                <w:sz w:val="20"/>
                <w:szCs w:val="20"/>
                <w:color w:val="auto"/>
              </w:rPr>
            </w:pPr>
            <w:r>
              <w:rPr>
                <w:rFonts w:ascii="Times New Roman" w:cs="Times New Roman" w:eastAsia="Times New Roman" w:hAnsi="Times New Roman"/>
                <w:sz w:val="14"/>
                <w:szCs w:val="14"/>
                <w:b w:val="1"/>
                <w:bCs w:val="1"/>
                <w:color w:val="auto"/>
              </w:rPr>
              <w:t>Allotment Option</w:t>
            </w: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540" w:type="dxa"/>
            <w:vAlign w:val="bottom"/>
            <w:vMerge w:val="continue"/>
          </w:tcPr>
          <w:p>
            <w:pPr>
              <w:spacing w:after="0"/>
              <w:rPr>
                <w:sz w:val="17"/>
                <w:szCs w:val="17"/>
                <w:color w:val="auto"/>
              </w:rPr>
            </w:pPr>
          </w:p>
        </w:tc>
        <w:tc>
          <w:tcPr>
            <w:tcW w:w="2860" w:type="dxa"/>
            <w:vAlign w:val="bottom"/>
          </w:tcPr>
          <w:p>
            <w:pPr>
              <w:spacing w:after="0"/>
              <w:rPr>
                <w:sz w:val="17"/>
                <w:szCs w:val="17"/>
                <w:color w:val="auto"/>
              </w:rPr>
            </w:pPr>
          </w:p>
        </w:tc>
        <w:tc>
          <w:tcPr>
            <w:tcW w:w="940" w:type="dxa"/>
            <w:vAlign w:val="bottom"/>
          </w:tcPr>
          <w:p>
            <w:pPr>
              <w:jc w:val="right"/>
              <w:ind w:right="501"/>
              <w:spacing w:after="0" w:line="200"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720" w:type="dxa"/>
            <w:vAlign w:val="bottom"/>
          </w:tcPr>
          <w:p>
            <w:pPr>
              <w:jc w:val="right"/>
              <w:ind w:right="965"/>
              <w:spacing w:after="0" w:line="200"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460" w:type="dxa"/>
            <w:vAlign w:val="bottom"/>
          </w:tcPr>
          <w:p>
            <w:pPr>
              <w:jc w:val="right"/>
              <w:ind w:right="705"/>
              <w:spacing w:after="0" w:line="200"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Selling Stockholders</w:t>
            </w:r>
          </w:p>
        </w:tc>
        <w:tc>
          <w:tcPr>
            <w:tcW w:w="2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11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We estimate that the total expenses of the offering for us and the selling stockholders, excluding the underwriting discount, will be approximately $</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1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We have agreed to bear the expenses (other than underwriting discounts and commissions) of the selling stockholders in connection with this offering.</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3540" w:type="dxa"/>
            <w:vAlign w:val="bottom"/>
          </w:tcPr>
          <w:p>
            <w:pPr>
              <w:spacing w:after="0"/>
              <w:rPr>
                <w:sz w:val="24"/>
                <w:szCs w:val="24"/>
                <w:color w:val="auto"/>
              </w:rPr>
            </w:pPr>
          </w:p>
        </w:tc>
        <w:tc>
          <w:tcPr>
            <w:tcW w:w="286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4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including liabilities under the Securities Act of 1933, as amended.</w:t>
      </w:r>
    </w:p>
    <w:p>
      <w:pPr>
        <w:spacing w:after="0" w:line="6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Each of our officers and directors and certain other stockholders, including Hampshire Equity Partners, have agreed to a 180-day “lock-up” with respect to our shares of common stock and other of our securities that they beneficially own, including securities that are convertible into shares of common stock and securities that are exchangeable or exercisable for shares of common stock. These lock-up agreements cover 9,115,344 fully diluted shares of our common stock. This means that for a period of 180 days following the date of this prospectus, (the “lock-up period”) subject to specified exceptions, such persons may not, directly or indirectly, offer, sell, pledge or otherwise dispose of these securities without the prior written consent of CIBC World Markets Corp. In addition, the lock-up period may be extended in the event that we release earnings or announce certain material news within specified time periods prior to the termination of the lock-up period. The restrictions in the lock-up agreements will not prevent such persons from transferring their shares or other securities as gifts, to members of their immediate family or to a trust for the benefit of themselves of member of their family or by will or intestacy, provided in each case, that the transferee of such shares of other securities agree to be locked-up to the same extent as the person from whom they received the shares.</w:t>
      </w:r>
    </w:p>
    <w:p>
      <w:pPr>
        <w:spacing w:after="0" w:line="8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We have agreed not to issue, sell or register (other than pursuant to a registration statement on Form S-8), or otherwise dispose of, directly or indirectly, any of our equity securities (or any securities convertible into, exercisable for or exchangeable for our equity securities), except for this offering and the issuance of equity securities pursuant to our Amended and Restated 1999 Stock Option Plan or our 2005 Long-Term Incentive Plan, during the lock-up period without the consent of CIBC World Markets Corp. In the event that during the lock-up period, (A) any shares are issued pursuant to our Amended and Restated 1999 Stock Option Plan or our 2005 Long Term Incentive Plan that are exercisable during the lock-up period (other than issuances, after the consummation of this offering, upon conversion of options outstanding as of the date of this prospectus), or (B) any registration is effected on Form S-8 or on any successor form relating to shares that are exercisable during the lock-up period (other than shares issued or issuable upon conversion of options outstanding as of the date of this prospectus), we have agreed to obtain the written agreement of such grantee or holder of such registered securities that, during the lock-up period, such person will not, without the prior written consent of CIBC World Markets Corp., offer for sale, sell, distribute, grant any option for the sale of, or otherwise dispose of, directly or indirectly, or exercise any registration rights with respect to, such shares of our common stock (or any securities convertible into, exercisable for, or exchangeable for such shares of our common stock) owned by such person.</w:t>
      </w:r>
    </w:p>
    <w:p>
      <w:pPr>
        <w:spacing w:after="0" w:line="91" w:lineRule="exact"/>
        <w:rPr>
          <w:sz w:val="20"/>
          <w:szCs w:val="20"/>
          <w:color w:val="auto"/>
        </w:rPr>
      </w:pPr>
    </w:p>
    <w:p>
      <w:pPr>
        <w:ind w:right="720"/>
        <w:spacing w:after="0" w:line="271" w:lineRule="auto"/>
        <w:rPr>
          <w:sz w:val="20"/>
          <w:szCs w:val="20"/>
          <w:color w:val="auto"/>
        </w:rPr>
      </w:pPr>
      <w:r>
        <w:rPr>
          <w:rFonts w:ascii="Times New Roman" w:cs="Times New Roman" w:eastAsia="Times New Roman" w:hAnsi="Times New Roman"/>
          <w:sz w:val="18"/>
          <w:szCs w:val="18"/>
          <w:color w:val="auto"/>
        </w:rPr>
        <w:t>The representatives have informed us that they do not expect discretionary sales by the underwriters to exceed five percent of the shares offered by this prospectus.</w:t>
      </w:r>
    </w:p>
    <w:p>
      <w:pPr>
        <w:spacing w:after="0" w:line="6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There is no established trading market for the shares. The offering price for the shares has been determined by us, the selling stockholders and the representative, based on the following factors:</w:t>
      </w:r>
    </w:p>
    <w:p>
      <w:pPr>
        <w:spacing w:after="0" w:line="9" w:lineRule="exact"/>
        <w:rPr>
          <w:sz w:val="20"/>
          <w:szCs w:val="20"/>
          <w:color w:val="auto"/>
        </w:rPr>
      </w:pPr>
    </w:p>
    <w:p>
      <w:pPr>
        <w:ind w:left="340" w:hanging="215"/>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and prospects for the industry in which we compete;</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past and present operations;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results of operations;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business and earning potential;</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securities of generally comparable companies; and</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capitalization and stages of development of other companies which we and the representative believe to be comparable to us.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Rules of the Commission may limit the ability of the underwriters to bid for or purchase shares before the distribution of the shares is completed. However, the underwriters may engage in the following activities in accordance with the rules:</w:t>
      </w:r>
    </w:p>
    <w:p>
      <w:pPr>
        <w:spacing w:after="0" w:line="48" w:lineRule="exact"/>
        <w:rPr>
          <w:sz w:val="20"/>
          <w:szCs w:val="20"/>
          <w:color w:val="auto"/>
        </w:rPr>
      </w:pPr>
    </w:p>
    <w:p>
      <w:pPr>
        <w:ind w:left="340" w:hanging="215"/>
        <w:spacing w:after="0" w:line="27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transactions—The representative may make bids or purchases for the purpose of pegging, fixing or maintaining the price of the shares, so long as stabilizing bids do not exceed a specified maximum.</w:t>
      </w:r>
    </w:p>
    <w:p>
      <w:pPr>
        <w:spacing w:after="0" w:line="260" w:lineRule="exact"/>
        <w:rPr>
          <w:rFonts w:ascii="Times New Roman" w:cs="Times New Roman" w:eastAsia="Times New Roman" w:hAnsi="Times New Roman"/>
          <w:sz w:val="18"/>
          <w:szCs w:val="18"/>
          <w:color w:val="auto"/>
        </w:rPr>
      </w:pPr>
    </w:p>
    <w:p>
      <w:pPr>
        <w:ind w:left="340" w:right="40" w:hanging="215"/>
        <w:spacing w:after="0" w:line="248"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Over-allotments and syndicate covering transactions—The underwriters may sell more shares of our common stock in connection with this offering than the number of shares than they have committed to purchase. This over-allotment creates a short position for the underwriters. This short sales position may involve either “covered” short sales or “naked” short sales. Covered short sales are short sales made in an amount not greater than the underwriters’ over-allotment option to purchase additional shares in this offering described above. The underwriters may close out any covered short position either by exercising their over-allotment option or by purchasing shares in the open market. To determine how they will close the covered short position, the underwriters will consider, among other things, the price of shares available for purchase in the open market, as compared to the price at which they may purchase shares through the over-allotment option. Naked short sales are short sales in excess of the over-allotment option. The underwriters must close out any naked short position by purchasing shares in the open market. A naked short position is more likely to be created if the underwriters are concerned that, in the open market after pricing, there may be downward pressure on the price of the shares that could adversely affect investors who purchase shares in this offering.</w:t>
      </w:r>
    </w:p>
    <w:p>
      <w:pPr>
        <w:spacing w:after="0" w:line="282" w:lineRule="exact"/>
        <w:rPr>
          <w:rFonts w:ascii="Times New Roman" w:cs="Times New Roman" w:eastAsia="Times New Roman" w:hAnsi="Times New Roman"/>
          <w:sz w:val="18"/>
          <w:szCs w:val="18"/>
          <w:color w:val="auto"/>
        </w:rPr>
      </w:pPr>
    </w:p>
    <w:p>
      <w:pPr>
        <w:ind w:left="340" w:right="320" w:hanging="215"/>
        <w:spacing w:after="0" w:line="27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bids—If the representative purchases shares in the open market in a stabilizing transaction or syndicate covering transaction, they may reclaim a selling concession from the underwriters and selling group members who sold those shares as part of this offering.</w:t>
      </w:r>
    </w:p>
    <w:p>
      <w:pPr>
        <w:spacing w:after="0" w:line="10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or to stabilize the market price of our common stock may have the effect of raising or maintaining the market price of our common stock or preventing or mitigating a decline in the market price of our common stock. As a result, the price of the shares of our common stock may be higher than the price that might otherwise exist in the open market. The imposition of a penalty bid might also have an effect on the price of the shares if it discourages resales of the shares.</w:t>
      </w:r>
    </w:p>
    <w:p>
      <w:pPr>
        <w:spacing w:after="0" w:line="10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Neither we nor the underwriters makes any representation or prediction as to the effect that the transactions described above may have on the price of the shares. These transactions may occur on the Nasdaq National Market or otherwise. If such transactions are commenced, they may be discontinued without notice at any time.</w:t>
      </w:r>
    </w:p>
    <w:p>
      <w:pPr>
        <w:spacing w:after="0" w:line="11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Congress Financial Corporation (Southwest), an affiliate of Wachovia Capital Markets, LLC, is the lender under our credit agreement and Wachovia Capital Markets, LLC is acting as an underwriter in this offering. As such, Congress Financial Corporation (Southwest) has received and will continue to receive customary fees in connection with the credit agreement. In addition, in the future, certain of the underwriters or their affiliates may provide us, from time to time, with other financial advisory or commercial or investment banking services, for which we expect they will receive customary fees and commissions.</w:t>
      </w:r>
    </w:p>
    <w:p>
      <w:pPr>
        <w:spacing w:after="0" w:line="11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Based on information provided to us by CIBC World Markets Corp. and Hampshire Equity Partners, a managing director of CIBC World Markets Corp. has an approximate 0.03% indirect interest in our Series A Preferred Stock and our common stock, through ownership of limited partnership interests in Hampshire Equity Partners. Assuming an initial public offering price of $13.00 per share, we do not expect the proceeds with respect to this indirect interest to exceed $10,000 in the aggregate.</w:t>
      </w:r>
    </w:p>
    <w:p>
      <w:pPr>
        <w:spacing w:after="0" w:line="10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set forth above under “Principal and Selling Stockholders,” Hampshire Equity Partners, on a fully diluted basis, currently holds approximately 81% of our common stock and after the offering will hold approximately 58% of our common stock. Based upon this ownership interest, Hampshire Equity Partners is an “affiliate” of the company (as such term is defined under the Securities Act of 1933, as amended) and may be deemed to be an “underwriter” under the Securities Act of 1933, as amended. Certain of our other “affiliates” are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also selling stockholders in this offering, including Messrs. Anderson, Bellino, Stoltz, Dunn and Devorkin and Ms. Smith and Ms. Schusterman, who are members of management and employees of ours, and may similarly be deemed to be “underwriters” under the Securities Act of 1933, as amended. See “Principal and Selling Stockholders.”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Legal Matters</w:t>
      </w:r>
    </w:p>
    <w:p>
      <w:pPr>
        <w:spacing w:after="0" w:line="115"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color w:val="auto"/>
        </w:rPr>
        <w:t>The validity of the common stock offered hereby will be passed upon for us by Paul, Hastings, Janofsky &amp; Walker LLP, New York, New York. DLA Piper Rudnick Gray Cary US LLP, Baltimore, Maryland, has represented the underwriters in this offering.</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Experts</w:t>
      </w:r>
    </w:p>
    <w:p>
      <w:pPr>
        <w:spacing w:after="0" w:line="11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 financial statements of Citi Trends, Inc. as of January 29, 2005 and January 31, 2004 and for the fiscal years ended January 29, 2005, January 31, 2004 and February 1, 2003 have been included herein in reliance upon the report of KPMG LLP, independent registered public accounting firm, appearing elsewhere herein, and upon the authority of said firm as experts in accounting and auditing. The audit report refers to the adoption of Statement of Financial Accounting Standards No. 150, “Accounting for Certain Financial Instruments with Characteristics of Both Liabilities and Equity.”</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Where You Can Find More Information</w:t>
      </w:r>
    </w:p>
    <w:p>
      <w:pPr>
        <w:spacing w:after="0" w:line="115"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have filed with the Commission a registration statement on Form S-1 under the Securities Act of 1933, as amended, for the common stock offered in this offering. In addition, upon completion of this offering, we will be required to file annual, quarterly and current reports, proxy statements and other information with the Commission. You may read and copy our registration statement and the attached exhibits and schedules without charge at the public reference room maintained by the Commission at 450 Fifth Street, N.W., Washington, D.C. 20549. Please call the Commission at 1 (800) SEC-0330 for further information on the public reference room. You may also inspect reports, proxy and information statements and other information that we file electronically with the Commission without charge at its Internet site, http://www.sec.gov.</w:t>
      </w:r>
    </w:p>
    <w:p>
      <w:pPr>
        <w:spacing w:after="0" w:line="8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This prospectus constitutes part of the registration and does not contain all of the information set forth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73" w:lineRule="exact"/>
        <w:rPr>
          <w:sz w:val="20"/>
          <w:szCs w:val="20"/>
          <w:color w:val="auto"/>
        </w:rPr>
      </w:pPr>
    </w:p>
    <w:p>
      <w:pPr>
        <w:ind w:right="620"/>
        <w:spacing w:after="0" w:line="271" w:lineRule="auto"/>
        <w:rPr>
          <w:sz w:val="20"/>
          <w:szCs w:val="20"/>
          <w:color w:val="auto"/>
        </w:rPr>
      </w:pPr>
      <w:r>
        <w:rPr>
          <w:rFonts w:ascii="Times New Roman" w:cs="Times New Roman" w:eastAsia="Times New Roman" w:hAnsi="Times New Roman"/>
          <w:sz w:val="18"/>
          <w:szCs w:val="18"/>
          <w:color w:val="auto"/>
        </w:rPr>
        <w:t>After the offering, we intend to furnish our stockholders with annual reports containing financial statements audited by our independent registered public accountants.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 AS OF AND FOR THE YEARS ENDED JANUARY 29, 2005,</w:t>
            </w:r>
          </w:p>
        </w:tc>
        <w:tc>
          <w:tcPr>
            <w:tcW w:w="1780" w:type="dxa"/>
            <w:vAlign w:val="bottom"/>
          </w:tcPr>
          <w:p>
            <w:pPr>
              <w:spacing w:after="0"/>
              <w:rPr>
                <w:sz w:val="18"/>
                <w:szCs w:val="18"/>
                <w:color w:val="auto"/>
              </w:rPr>
            </w:pPr>
          </w:p>
        </w:tc>
      </w:tr>
      <w:tr>
        <w:trPr>
          <w:trHeight w:val="212"/>
        </w:trPr>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JANUARY 31, 2004 AND FEBRUARY 1, 2003</w:t>
            </w:r>
          </w:p>
        </w:tc>
        <w:tc>
          <w:tcPr>
            <w:tcW w:w="1780" w:type="dxa"/>
            <w:vAlign w:val="bottom"/>
          </w:tcPr>
          <w:p>
            <w:pPr>
              <w:spacing w:after="0"/>
              <w:rPr>
                <w:sz w:val="18"/>
                <w:szCs w:val="18"/>
                <w:color w:val="auto"/>
              </w:rPr>
            </w:pPr>
          </w:p>
        </w:tc>
      </w:tr>
      <w:tr>
        <w:trPr>
          <w:trHeight w:val="190"/>
        </w:trPr>
        <w:tc>
          <w:tcPr>
            <w:tcW w:w="40" w:type="dxa"/>
            <w:vAlign w:val="bottom"/>
          </w:tcPr>
          <w:p>
            <w:pPr>
              <w:spacing w:after="0"/>
              <w:rPr>
                <w:sz w:val="16"/>
                <w:szCs w:val="16"/>
                <w:color w:val="auto"/>
              </w:rPr>
            </w:pPr>
          </w:p>
        </w:tc>
        <w:tc>
          <w:tcPr>
            <w:tcW w:w="9600" w:type="dxa"/>
            <w:vAlign w:val="bottom"/>
            <w:gridSpan w:val="7"/>
          </w:tcPr>
          <w:p>
            <w:pPr>
              <w:spacing w:after="0" w:line="190"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Report of Independent Registered Public Accounting Firm</w:t>
              </w:r>
            </w:hyperlink>
          </w:p>
        </w:tc>
        <w:tc>
          <w:tcPr>
            <w:tcW w:w="1780" w:type="dxa"/>
            <w:vAlign w:val="bottom"/>
          </w:tcPr>
          <w:p>
            <w:pPr>
              <w:ind w:left="1540"/>
              <w:spacing w:after="0" w:line="190" w:lineRule="exact"/>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40" w:type="dxa"/>
            <w:vAlign w:val="bottom"/>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9600" w:type="dxa"/>
            <w:vAlign w:val="bottom"/>
            <w:gridSpan w:val="7"/>
          </w:tcPr>
          <w:p>
            <w:pPr>
              <w:spacing w:after="0" w:line="192"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Balance Sheets as of January 29, 2005 and January 31, 2004</w:t>
              </w:r>
            </w:hyperlink>
          </w:p>
        </w:tc>
        <w:tc>
          <w:tcPr>
            <w:tcW w:w="1780" w:type="dxa"/>
            <w:vAlign w:val="bottom"/>
          </w:tcPr>
          <w:p>
            <w:pPr>
              <w:ind w:left="1540"/>
              <w:spacing w:after="0" w:line="192" w:lineRule="exact"/>
              <w:rPr>
                <w:sz w:val="20"/>
                <w:szCs w:val="20"/>
                <w:color w:val="auto"/>
              </w:rPr>
            </w:pPr>
            <w:r>
              <w:rPr>
                <w:rFonts w:ascii="Times New Roman" w:cs="Times New Roman" w:eastAsia="Times New Roman" w:hAnsi="Times New Roman"/>
                <w:sz w:val="18"/>
                <w:szCs w:val="18"/>
                <w:color w:val="auto"/>
                <w:w w:val="87"/>
              </w:rPr>
              <w:t>F-3</w:t>
            </w:r>
          </w:p>
        </w:tc>
      </w:tr>
      <w:tr>
        <w:trPr>
          <w:trHeight w:val="20"/>
        </w:trPr>
        <w:tc>
          <w:tcPr>
            <w:tcW w:w="40" w:type="dxa"/>
            <w:vAlign w:val="bottom"/>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7100" w:type="dxa"/>
            <w:vAlign w:val="bottom"/>
            <w:tcBorders>
              <w:bottom w:val="single" w:sz="8" w:color="0000EE"/>
            </w:tcBorders>
            <w:gridSpan w:val="3"/>
          </w:tcPr>
          <w:p>
            <w:pPr>
              <w:spacing w:after="0" w:line="192" w:lineRule="exact"/>
              <w:rPr>
                <w:rFonts w:ascii="Times New Roman" w:cs="Times New Roman" w:eastAsia="Times New Roman" w:hAnsi="Times New Roman"/>
                <w:sz w:val="18"/>
                <w:szCs w:val="18"/>
                <w:color w:val="0000EE"/>
                <w:w w:val="97"/>
              </w:rPr>
            </w:pPr>
            <w:hyperlink w:anchor="page79">
              <w:r>
                <w:rPr>
                  <w:rFonts w:ascii="Times New Roman" w:cs="Times New Roman" w:eastAsia="Times New Roman" w:hAnsi="Times New Roman"/>
                  <w:sz w:val="18"/>
                  <w:szCs w:val="18"/>
                  <w:color w:val="0000EE"/>
                  <w:w w:val="97"/>
                </w:rPr>
                <w:t>Statements of Income for the Years Ended January 29, 2005, January 31, 2004 and February 1, 2003</w:t>
              </w:r>
            </w:hyperlink>
          </w:p>
        </w:tc>
        <w:tc>
          <w:tcPr>
            <w:tcW w:w="2500" w:type="dxa"/>
            <w:vAlign w:val="bottom"/>
            <w:gridSpan w:val="4"/>
          </w:tcPr>
          <w:p>
            <w:pPr>
              <w:spacing w:after="0"/>
              <w:rPr>
                <w:sz w:val="16"/>
                <w:szCs w:val="16"/>
                <w:color w:val="auto"/>
              </w:rPr>
            </w:pPr>
          </w:p>
        </w:tc>
        <w:tc>
          <w:tcPr>
            <w:tcW w:w="1780" w:type="dxa"/>
            <w:vAlign w:val="bottom"/>
          </w:tcPr>
          <w:p>
            <w:pPr>
              <w:ind w:left="1540"/>
              <w:spacing w:after="0" w:line="192" w:lineRule="exact"/>
              <w:rPr>
                <w:sz w:val="20"/>
                <w:szCs w:val="20"/>
                <w:color w:val="auto"/>
              </w:rPr>
            </w:pPr>
            <w:r>
              <w:rPr>
                <w:rFonts w:ascii="Times New Roman" w:cs="Times New Roman" w:eastAsia="Times New Roman" w:hAnsi="Times New Roman"/>
                <w:sz w:val="18"/>
                <w:szCs w:val="18"/>
                <w:color w:val="auto"/>
                <w:w w:val="87"/>
              </w:rPr>
              <w:t>F-4</w:t>
            </w:r>
          </w:p>
        </w:tc>
      </w:tr>
      <w:tr>
        <w:trPr>
          <w:trHeight w:val="192"/>
        </w:trPr>
        <w:tc>
          <w:tcPr>
            <w:tcW w:w="40" w:type="dxa"/>
            <w:vAlign w:val="bottom"/>
          </w:tcPr>
          <w:p>
            <w:pPr>
              <w:spacing w:after="0"/>
              <w:rPr>
                <w:sz w:val="16"/>
                <w:szCs w:val="16"/>
                <w:color w:val="auto"/>
              </w:rPr>
            </w:pPr>
          </w:p>
        </w:tc>
        <w:tc>
          <w:tcPr>
            <w:tcW w:w="7400" w:type="dxa"/>
            <w:vAlign w:val="bottom"/>
            <w:tcBorders>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w:anchor="page80">
              <w:r>
                <w:rPr>
                  <w:rFonts w:ascii="Times New Roman" w:cs="Times New Roman" w:eastAsia="Times New Roman" w:hAnsi="Times New Roman"/>
                  <w:sz w:val="18"/>
                  <w:szCs w:val="18"/>
                  <w:color w:val="0000EE"/>
                  <w:w w:val="97"/>
                </w:rPr>
                <w:t>Statements of Cash Flows for the Years Ended January 29, 2005, January 31, 2004 and February 1, 2003</w:t>
              </w:r>
            </w:hyperlink>
          </w:p>
        </w:tc>
        <w:tc>
          <w:tcPr>
            <w:tcW w:w="2200" w:type="dxa"/>
            <w:vAlign w:val="bottom"/>
            <w:gridSpan w:val="3"/>
          </w:tcPr>
          <w:p>
            <w:pPr>
              <w:spacing w:after="0"/>
              <w:rPr>
                <w:sz w:val="16"/>
                <w:szCs w:val="16"/>
                <w:color w:val="auto"/>
              </w:rPr>
            </w:pPr>
          </w:p>
        </w:tc>
        <w:tc>
          <w:tcPr>
            <w:tcW w:w="1780" w:type="dxa"/>
            <w:vAlign w:val="bottom"/>
          </w:tcPr>
          <w:p>
            <w:pPr>
              <w:ind w:left="1540"/>
              <w:spacing w:after="0" w:line="192" w:lineRule="exact"/>
              <w:rPr>
                <w:sz w:val="20"/>
                <w:szCs w:val="20"/>
                <w:color w:val="auto"/>
              </w:rPr>
            </w:pPr>
            <w:r>
              <w:rPr>
                <w:rFonts w:ascii="Times New Roman" w:cs="Times New Roman" w:eastAsia="Times New Roman" w:hAnsi="Times New Roman"/>
                <w:sz w:val="18"/>
                <w:szCs w:val="18"/>
                <w:color w:val="auto"/>
                <w:w w:val="87"/>
              </w:rPr>
              <w:t>F-5</w:t>
            </w:r>
          </w:p>
        </w:tc>
      </w:tr>
      <w:tr>
        <w:trPr>
          <w:trHeight w:val="192"/>
        </w:trPr>
        <w:tc>
          <w:tcPr>
            <w:tcW w:w="40" w:type="dxa"/>
            <w:vAlign w:val="bottom"/>
          </w:tcPr>
          <w:p>
            <w:pPr>
              <w:spacing w:after="0"/>
              <w:rPr>
                <w:sz w:val="16"/>
                <w:szCs w:val="16"/>
                <w:color w:val="auto"/>
              </w:rPr>
            </w:pPr>
          </w:p>
        </w:tc>
        <w:tc>
          <w:tcPr>
            <w:tcW w:w="806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7"/>
              </w:rPr>
            </w:pPr>
            <w:hyperlink w:anchor="page81">
              <w:r>
                <w:rPr>
                  <w:rFonts w:ascii="Times New Roman" w:cs="Times New Roman" w:eastAsia="Times New Roman" w:hAnsi="Times New Roman"/>
                  <w:sz w:val="18"/>
                  <w:szCs w:val="18"/>
                  <w:color w:val="0000EE"/>
                  <w:w w:val="97"/>
                </w:rPr>
                <w:t>Statements of Stockholders’ Equity for the Years Ended January 29, 2005, January 31, 2004 and February 1, 2003</w:t>
              </w:r>
            </w:hyperlink>
          </w:p>
        </w:tc>
        <w:tc>
          <w:tcPr>
            <w:tcW w:w="1540" w:type="dxa"/>
            <w:vAlign w:val="bottom"/>
          </w:tcPr>
          <w:p>
            <w:pPr>
              <w:spacing w:after="0"/>
              <w:rPr>
                <w:sz w:val="16"/>
                <w:szCs w:val="16"/>
                <w:color w:val="auto"/>
              </w:rPr>
            </w:pPr>
          </w:p>
        </w:tc>
        <w:tc>
          <w:tcPr>
            <w:tcW w:w="1780" w:type="dxa"/>
            <w:vAlign w:val="bottom"/>
          </w:tcPr>
          <w:p>
            <w:pPr>
              <w:ind w:left="1540"/>
              <w:spacing w:after="0" w:line="192" w:lineRule="exact"/>
              <w:rPr>
                <w:sz w:val="20"/>
                <w:szCs w:val="20"/>
                <w:color w:val="auto"/>
              </w:rPr>
            </w:pPr>
            <w:r>
              <w:rPr>
                <w:rFonts w:ascii="Times New Roman" w:cs="Times New Roman" w:eastAsia="Times New Roman" w:hAnsi="Times New Roman"/>
                <w:sz w:val="18"/>
                <w:szCs w:val="18"/>
                <w:color w:val="auto"/>
                <w:w w:val="87"/>
              </w:rPr>
              <w:t>F-6</w:t>
            </w:r>
          </w:p>
        </w:tc>
      </w:tr>
      <w:tr>
        <w:trPr>
          <w:trHeight w:val="192"/>
        </w:trPr>
        <w:tc>
          <w:tcPr>
            <w:tcW w:w="40" w:type="dxa"/>
            <w:vAlign w:val="bottom"/>
          </w:tcPr>
          <w:p>
            <w:pPr>
              <w:spacing w:after="0"/>
              <w:rPr>
                <w:sz w:val="16"/>
                <w:szCs w:val="16"/>
                <w:color w:val="auto"/>
              </w:rPr>
            </w:pPr>
          </w:p>
        </w:tc>
        <w:tc>
          <w:tcPr>
            <w:tcW w:w="9600" w:type="dxa"/>
            <w:vAlign w:val="bottom"/>
            <w:gridSpan w:val="7"/>
          </w:tcPr>
          <w:p>
            <w:pPr>
              <w:spacing w:after="0" w:line="192"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Notes to Financial Statements for the Years Ended January 29, 2005, January 31, 2004 and February 1, 2003</w:t>
              </w:r>
            </w:hyperlink>
          </w:p>
        </w:tc>
        <w:tc>
          <w:tcPr>
            <w:tcW w:w="1780" w:type="dxa"/>
            <w:vAlign w:val="bottom"/>
          </w:tcPr>
          <w:p>
            <w:pPr>
              <w:ind w:left="1540"/>
              <w:spacing w:after="0" w:line="192" w:lineRule="exact"/>
              <w:rPr>
                <w:sz w:val="20"/>
                <w:szCs w:val="20"/>
                <w:color w:val="auto"/>
              </w:rPr>
            </w:pPr>
            <w:r>
              <w:rPr>
                <w:rFonts w:ascii="Times New Roman" w:cs="Times New Roman" w:eastAsia="Times New Roman" w:hAnsi="Times New Roman"/>
                <w:sz w:val="18"/>
                <w:szCs w:val="18"/>
                <w:color w:val="auto"/>
                <w:w w:val="87"/>
              </w:rPr>
              <w:t>F-7</w:t>
            </w:r>
          </w:p>
        </w:tc>
      </w:tr>
      <w:tr>
        <w:trPr>
          <w:trHeight w:val="416"/>
        </w:trPr>
        <w:tc>
          <w:tcPr>
            <w:tcW w:w="40" w:type="dxa"/>
            <w:vAlign w:val="bottom"/>
          </w:tcPr>
          <w:p>
            <w:pPr>
              <w:spacing w:after="0"/>
              <w:rPr>
                <w:sz w:val="24"/>
                <w:szCs w:val="24"/>
                <w:color w:val="auto"/>
              </w:rPr>
            </w:pPr>
          </w:p>
        </w:tc>
        <w:tc>
          <w:tcPr>
            <w:tcW w:w="4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0" w:type="dxa"/>
            <w:vAlign w:val="bottom"/>
            <w:tcBorders>
              <w:top w:val="single" w:sz="8" w:color="0000EE"/>
            </w:tcBorders>
            <w:gridSpan w:val="3"/>
          </w:tcPr>
          <w:p>
            <w:pPr>
              <w:ind w:left="1300"/>
              <w:spacing w:after="0"/>
              <w:rPr>
                <w:sz w:val="20"/>
                <w:szCs w:val="20"/>
                <w:color w:val="auto"/>
              </w:rPr>
            </w:pPr>
            <w:r>
              <w:rPr>
                <w:rFonts w:ascii="Times New Roman" w:cs="Times New Roman" w:eastAsia="Times New Roman" w:hAnsi="Times New Roman"/>
                <w:sz w:val="18"/>
                <w:szCs w:val="18"/>
                <w:color w:val="auto"/>
              </w:rPr>
              <w:t>F-1</w:t>
            </w:r>
          </w:p>
        </w:tc>
        <w:tc>
          <w:tcPr>
            <w:tcW w:w="194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r>
      <w:tr>
        <w:trPr>
          <w:trHeight w:val="222"/>
        </w:trPr>
        <w:tc>
          <w:tcPr>
            <w:tcW w:w="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13"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When the transaction referred to in Note 12(d) of the notes to the financial statements has been consummated, we will be in a position to render the following report.</w:t>
      </w:r>
    </w:p>
    <w:p>
      <w:pPr>
        <w:spacing w:after="0" w:line="37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/s/ KPMG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 Trends, Inc.:</w:t>
      </w:r>
    </w:p>
    <w:p>
      <w:pPr>
        <w:spacing w:after="0" w:line="9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7"/>
          <w:szCs w:val="17"/>
          <w:color w:val="auto"/>
        </w:rPr>
        <w:t>We have audited the accompanying balance sheets of Citi Trends, Inc. (the “Company”) as of January 29, 2005, and January 31, 2004, and the related statements of income, stockholders’ equity, and cash flows for the fiscal years ended January 29, 2005, January 31, 2004 and February 1, 2003. These financial statements are the responsibility of the Company’s management. Our responsibility is to express an opinion on these financial statements based on our audits.</w:t>
      </w:r>
    </w:p>
    <w:p>
      <w:pPr>
        <w:spacing w:after="0" w:line="5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Citi Trends, Inc. as of January 29, 2005, and January 31, 2004, and the results of its operations and its cash flows for the fiscal years ended January 29, 2005, January 31, 2004 and February 1, 2003 in conformity with U.S. generally accepted accounting principles.</w:t>
      </w:r>
    </w:p>
    <w:p>
      <w:pPr>
        <w:spacing w:after="0" w:line="73"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color w:val="auto"/>
        </w:rPr>
        <w:t>As discussed in Note 2 to the financial statements, effective July 6, 2003 the Company adopted the provisions of the Statement of Financial Accounting Standards No. 150, “Accounting for Certain Financial Instruments with Characteristics of Both Liabilities and Equity”.</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22" w:lineRule="exact"/>
        <w:rPr>
          <w:sz w:val="20"/>
          <w:szCs w:val="20"/>
          <w:color w:val="auto"/>
        </w:rPr>
      </w:pPr>
    </w:p>
    <w:p>
      <w:pPr>
        <w:spacing w:after="0"/>
        <w:tabs>
          <w:tab w:leader="none" w:pos="7680" w:val="left"/>
        </w:tabs>
        <w:rPr>
          <w:sz w:val="20"/>
          <w:szCs w:val="20"/>
          <w:color w:val="auto"/>
        </w:rPr>
      </w:pPr>
      <w:r>
        <w:rPr>
          <w:rFonts w:ascii="Times New Roman" w:cs="Times New Roman" w:eastAsia="Times New Roman" w:hAnsi="Times New Roman"/>
          <w:sz w:val="18"/>
          <w:szCs w:val="18"/>
          <w:color w:val="auto"/>
        </w:rPr>
        <w:t>March 30, 2005, except as to Note 12(c) which is as of April 28, 2005 and Note 12(d) which is as of May</w:t>
      </w:r>
      <w:r>
        <w:rPr>
          <w:sz w:val="20"/>
          <w:szCs w:val="20"/>
          <w:color w:val="auto"/>
        </w:rPr>
        <w:tab/>
      </w:r>
      <w:r>
        <w:rPr>
          <w:rFonts w:ascii="Times New Roman" w:cs="Times New Roman" w:eastAsia="Times New Roman" w:hAnsi="Times New Roman"/>
          <w:sz w:val="17"/>
          <w:szCs w:val="17"/>
          <w:color w:val="auto"/>
        </w:rPr>
        <w:t>, 2005</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1"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color w:val="auto"/>
        </w:rPr>
        <w:t>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and January 31, 2004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20" w:type="dxa"/>
            <w:vAlign w:val="bottom"/>
          </w:tcPr>
          <w:p>
            <w:pPr>
              <w:spacing w:after="0"/>
              <w:rPr>
                <w:sz w:val="13"/>
                <w:szCs w:val="13"/>
                <w:color w:val="auto"/>
              </w:rPr>
            </w:pPr>
          </w:p>
        </w:tc>
        <w:tc>
          <w:tcPr>
            <w:tcW w:w="20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7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5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3"/>
              </w:rPr>
              <w:t>11,801,442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9,954,232</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3"/>
              </w:rPr>
              <w:t>36,172,832</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3"/>
              </w:rPr>
              <w:t>22,712,369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2,600,933</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1,770,998</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1,139,000</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530,604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3"/>
              </w:rPr>
              <w:t>51,714,207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34,968,203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3"/>
              </w:rPr>
              <w:t>17,573,767</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3"/>
              </w:rPr>
              <w:t>12,749,601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1,371,404</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1,371,404</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130,182</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123,992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3"/>
              </w:rPr>
              <w:t>70,789,560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49,213,200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gridSpan w:val="2"/>
            <w:vMerge w:val="restart"/>
          </w:tcPr>
          <w:p>
            <w:pPr>
              <w:ind w:left="43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2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Borrowings under revolving lines of credit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3"/>
              </w:rPr>
              <w:t>28,132,301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19,577,370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3,199,772</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2,121,520</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2,537,643</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1,669,462</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78,953</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74,762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capital lease obligations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718,425</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566,667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2,455,247</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331,342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Layaway deposits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252,791</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133,028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37,375,132</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24,474,151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1,526,110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1,494,302</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lease obligations, less current portion</w:t>
            </w:r>
          </w:p>
        </w:tc>
        <w:tc>
          <w:tcPr>
            <w:tcW w:w="28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688,473</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494,547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subject to mandatory redemption</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3,984,763</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5,160,313</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818,000</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333,445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2,632,113</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752,574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47,024,591</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32,709,332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240" w:type="dxa"/>
            <w:vAlign w:val="bottom"/>
            <w:gridSpan w:val="2"/>
          </w:tcPr>
          <w:p>
            <w:pPr>
              <w:ind w:left="260"/>
              <w:spacing w:after="0" w:line="194" w:lineRule="exact"/>
              <w:rPr>
                <w:sz w:val="20"/>
                <w:szCs w:val="20"/>
                <w:color w:val="auto"/>
              </w:rPr>
            </w:pPr>
            <w:r>
              <w:rPr>
                <w:rFonts w:ascii="Times New Roman" w:cs="Times New Roman" w:eastAsia="Times New Roman" w:hAnsi="Times New Roman"/>
                <w:sz w:val="18"/>
                <w:szCs w:val="18"/>
                <w:color w:val="auto"/>
              </w:rPr>
              <w:t>Common stock, $0.01 par value. Authorized 13,000,000 shares;</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9,460,750 and 9,445,150 shares issued in 2005 and 2004; 9,295,000 shares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outstanding in 2005 and 2004</w:t>
            </w:r>
          </w:p>
        </w:tc>
        <w:tc>
          <w:tcPr>
            <w:tcW w:w="280" w:type="dxa"/>
            <w:vAlign w:val="bottom"/>
          </w:tcPr>
          <w:p>
            <w:pPr>
              <w:spacing w:after="0"/>
              <w:rPr>
                <w:sz w:val="19"/>
                <w:szCs w:val="19"/>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3,639</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Paid-in-capital</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4,120,894</w:t>
            </w: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4,011,601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w w:val="93"/>
              </w:rPr>
              <w:t>19,828,629</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3"/>
              </w:rPr>
              <w:t>12,571,384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Treasury stock, at cost; 165,750 and 150,150 shares in 2005 and 2004</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(164,550)</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(57,750)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Subscription receivable</w:t>
            </w:r>
          </w:p>
        </w:tc>
        <w:tc>
          <w:tcPr>
            <w:tcW w:w="28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(23,643)</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3"/>
              </w:rPr>
              <w:t>23,764,969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16,503,368</w:t>
            </w:r>
          </w:p>
        </w:tc>
        <w:tc>
          <w:tcPr>
            <w:tcW w:w="0" w:type="dxa"/>
            <w:vAlign w:val="bottom"/>
          </w:tcPr>
          <w:p>
            <w:pPr>
              <w:spacing w:after="0"/>
              <w:rPr>
                <w:sz w:val="1"/>
                <w:szCs w:val="1"/>
                <w:color w:val="auto"/>
              </w:rPr>
            </w:pPr>
          </w:p>
        </w:tc>
      </w:tr>
      <w:tr>
        <w:trPr>
          <w:trHeight w:val="218"/>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(notes 9 and 10)</w:t>
            </w:r>
          </w:p>
        </w:tc>
        <w:tc>
          <w:tcPr>
            <w:tcW w:w="2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3"/>
              </w:rPr>
              <w:t>70,789,560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49,213,200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1"/>
          <w:szCs w:val="21"/>
          <w:b w:val="1"/>
          <w:bCs w:val="1"/>
          <w:color w:val="auto"/>
        </w:rPr>
        <w:t>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Years Ended January 29, 2005, January 31, 2004 and February 1, 2003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2002</w:t>
            </w: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203,441,772</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5"/>
              </w:rPr>
              <w:t>157,198,306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7"/>
              </w:rPr>
              <w:t>124,950,935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127,307,594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98,145,216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77,806,541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76,134,178</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59,053,090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47,144,394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63,593,731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48,844,888</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38,759,624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12,540,447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10,208,202</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8,384,770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including redeemable preferred stock dividend</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732,202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563,342</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255,708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11,808,245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9,644,860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8,129,062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4,551,000</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3,726,914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3,101,237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7,257,245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5,917,946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5,027,825</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income per common share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0.67</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0.54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Average number of shares outstanding</w:t>
            </w: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9,302,800</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9,295,000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9,295,000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10,879,388</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10,771,410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10,757,110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color w:val="auto"/>
        </w:rPr>
        <w:t>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Years Ended January 29, 2005, January 31, 2004 and February 1, 2003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Fiscal 2004</w:t>
            </w: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Fiscal 2003</w:t>
            </w:r>
          </w:p>
        </w:tc>
        <w:tc>
          <w:tcPr>
            <w:tcW w:w="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Fiscal 2002</w:t>
            </w: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7,257,245</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5,917,946</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5,027,825</w:t>
            </w:r>
          </w:p>
        </w:tc>
        <w:tc>
          <w:tcPr>
            <w:tcW w:w="5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5140" w:type="dxa"/>
            <w:vAlign w:val="bottom"/>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auto"/>
              </w:rPr>
              <w:t>Adjustment to reconcile net income to net cash provided by</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r>
      <w:tr>
        <w:trPr>
          <w:trHeight w:val="193"/>
        </w:trPr>
        <w:tc>
          <w:tcPr>
            <w:tcW w:w="20" w:type="dxa"/>
            <w:vAlign w:val="bottom"/>
          </w:tcPr>
          <w:p>
            <w:pPr>
              <w:spacing w:after="0"/>
              <w:rPr>
                <w:sz w:val="16"/>
                <w:szCs w:val="16"/>
                <w:color w:val="auto"/>
              </w:rPr>
            </w:pPr>
          </w:p>
        </w:tc>
        <w:tc>
          <w:tcPr>
            <w:tcW w:w="5140" w:type="dxa"/>
            <w:vAlign w:val="bottom"/>
          </w:tcPr>
          <w:p>
            <w:pPr>
              <w:ind w:left="500"/>
              <w:spacing w:after="0" w:line="194" w:lineRule="exact"/>
              <w:rPr>
                <w:sz w:val="20"/>
                <w:szCs w:val="20"/>
                <w:color w:val="auto"/>
              </w:rPr>
            </w:pPr>
            <w:r>
              <w:rPr>
                <w:rFonts w:ascii="Times New Roman" w:cs="Times New Roman" w:eastAsia="Times New Roman" w:hAnsi="Times New Roman"/>
                <w:sz w:val="18"/>
                <w:szCs w:val="18"/>
                <w:color w:val="auto"/>
              </w:rPr>
              <w:t>Dividends on preferred shares subject to mandatory</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redemption</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gridSpan w:val="2"/>
          </w:tcPr>
          <w:p>
            <w:pPr>
              <w:jc w:val="right"/>
              <w:ind w:right="383"/>
              <w:spacing w:after="0"/>
              <w:rPr>
                <w:sz w:val="20"/>
                <w:szCs w:val="20"/>
                <w:color w:val="auto"/>
              </w:rPr>
            </w:pPr>
            <w:r>
              <w:rPr>
                <w:rFonts w:ascii="Times New Roman" w:cs="Times New Roman" w:eastAsia="Times New Roman" w:hAnsi="Times New Roman"/>
                <w:sz w:val="18"/>
                <w:szCs w:val="18"/>
                <w:color w:val="auto"/>
              </w:rPr>
              <w:t>324,450</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189,263</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4,871,682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4,032,602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3,014,549</w:t>
            </w: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323"/>
              <w:spacing w:after="0"/>
              <w:rPr>
                <w:sz w:val="20"/>
                <w:szCs w:val="20"/>
                <w:color w:val="auto"/>
              </w:rPr>
            </w:pPr>
            <w:r>
              <w:rPr>
                <w:rFonts w:ascii="Times New Roman" w:cs="Times New Roman" w:eastAsia="Times New Roman" w:hAnsi="Times New Roman"/>
                <w:sz w:val="18"/>
                <w:szCs w:val="18"/>
                <w:color w:val="auto"/>
              </w:rPr>
              <w:t>(123,841)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161,883</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541,742</w:t>
            </w:r>
          </w:p>
        </w:tc>
        <w:tc>
          <w:tcPr>
            <w:tcW w:w="5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80,719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23,396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93,189</w:t>
            </w:r>
          </w:p>
        </w:tc>
      </w:tr>
      <w:tr>
        <w:trPr>
          <w:trHeight w:val="212"/>
        </w:trPr>
        <w:tc>
          <w:tcPr>
            <w:tcW w:w="20" w:type="dxa"/>
            <w:vAlign w:val="bottom"/>
          </w:tcPr>
          <w:p>
            <w:pPr>
              <w:spacing w:after="0"/>
              <w:rPr>
                <w:sz w:val="18"/>
                <w:szCs w:val="18"/>
                <w:color w:val="auto"/>
              </w:rPr>
            </w:pPr>
          </w:p>
        </w:tc>
        <w:tc>
          <w:tcPr>
            <w:tcW w:w="5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on Subscription Receivable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323"/>
              <w:spacing w:after="0"/>
              <w:rPr>
                <w:sz w:val="20"/>
                <w:szCs w:val="20"/>
                <w:color w:val="auto"/>
              </w:rPr>
            </w:pPr>
            <w:r>
              <w:rPr>
                <w:rFonts w:ascii="Times New Roman" w:cs="Times New Roman" w:eastAsia="Times New Roman" w:hAnsi="Times New Roman"/>
                <w:sz w:val="18"/>
                <w:szCs w:val="18"/>
                <w:color w:val="auto"/>
              </w:rPr>
              <w:t>(9,643)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Noncash compensation expense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103,299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123,273</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161,882</w:t>
            </w: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Inventory</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8"/>
                <w:szCs w:val="18"/>
                <w:color w:val="auto"/>
                <w:w w:val="94"/>
              </w:rPr>
              <w:t>(13,460,463)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(5,669,857)</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(2,110,472)</w:t>
            </w:r>
          </w:p>
        </w:tc>
      </w:tr>
      <w:tr>
        <w:trPr>
          <w:trHeight w:val="212"/>
        </w:trPr>
        <w:tc>
          <w:tcPr>
            <w:tcW w:w="20" w:type="dxa"/>
            <w:vAlign w:val="bottom"/>
          </w:tcPr>
          <w:p>
            <w:pPr>
              <w:spacing w:after="0"/>
              <w:rPr>
                <w:sz w:val="18"/>
                <w:szCs w:val="18"/>
                <w:color w:val="auto"/>
              </w:rPr>
            </w:pPr>
          </w:p>
        </w:tc>
        <w:tc>
          <w:tcPr>
            <w:tcW w:w="5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323"/>
              <w:spacing w:after="0"/>
              <w:rPr>
                <w:sz w:val="20"/>
                <w:szCs w:val="20"/>
                <w:color w:val="auto"/>
              </w:rPr>
            </w:pPr>
            <w:r>
              <w:rPr>
                <w:rFonts w:ascii="Times New Roman" w:cs="Times New Roman" w:eastAsia="Times New Roman" w:hAnsi="Times New Roman"/>
                <w:sz w:val="18"/>
                <w:szCs w:val="18"/>
                <w:color w:val="auto"/>
              </w:rPr>
              <w:t>(845,787)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(577,991)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374,919</w:t>
            </w:r>
          </w:p>
        </w:tc>
        <w:tc>
          <w:tcPr>
            <w:tcW w:w="5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Income tax receivable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195,068</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60,795</w:t>
            </w:r>
          </w:p>
        </w:tc>
      </w:tr>
      <w:tr>
        <w:trPr>
          <w:trHeight w:val="212"/>
        </w:trPr>
        <w:tc>
          <w:tcPr>
            <w:tcW w:w="20" w:type="dxa"/>
            <w:vAlign w:val="bottom"/>
          </w:tcPr>
          <w:p>
            <w:pPr>
              <w:spacing w:after="0"/>
              <w:rPr>
                <w:sz w:val="18"/>
                <w:szCs w:val="18"/>
                <w:color w:val="auto"/>
              </w:rPr>
            </w:pPr>
          </w:p>
        </w:tc>
        <w:tc>
          <w:tcPr>
            <w:tcW w:w="5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323"/>
              <w:spacing w:after="0"/>
              <w:rPr>
                <w:sz w:val="20"/>
                <w:szCs w:val="20"/>
                <w:color w:val="auto"/>
              </w:rPr>
            </w:pPr>
            <w:r>
              <w:rPr>
                <w:rFonts w:ascii="Times New Roman" w:cs="Times New Roman" w:eastAsia="Times New Roman" w:hAnsi="Times New Roman"/>
                <w:sz w:val="18"/>
                <w:szCs w:val="18"/>
                <w:color w:val="auto"/>
              </w:rPr>
              <w:t>(29,334)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(16,020)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(39,294)</w:t>
            </w: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8,554,931</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6,108,110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1,956,945</w:t>
            </w: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2,823,842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647,045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576,631</w:t>
            </w:r>
          </w:p>
        </w:tc>
        <w:tc>
          <w:tcPr>
            <w:tcW w:w="5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Accrued compensation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868,181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(247,906)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880,225</w:t>
            </w: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Income tax payable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2,123,905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331,342</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Layaway deposits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119,763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(28,761)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(82,278)</w:t>
            </w:r>
          </w:p>
        </w:tc>
      </w:tr>
      <w:tr>
        <w:trPr>
          <w:trHeight w:val="225"/>
        </w:trPr>
        <w:tc>
          <w:tcPr>
            <w:tcW w:w="20" w:type="dxa"/>
            <w:vAlign w:val="bottom"/>
          </w:tcPr>
          <w:p>
            <w:pPr>
              <w:spacing w:after="0"/>
              <w:rPr>
                <w:sz w:val="19"/>
                <w:szCs w:val="19"/>
                <w:color w:val="auto"/>
              </w:rPr>
            </w:pPr>
          </w:p>
        </w:tc>
        <w:tc>
          <w:tcPr>
            <w:tcW w:w="51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12,658,949</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11,189,393</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10,456,658</w:t>
            </w:r>
          </w:p>
        </w:tc>
        <w:tc>
          <w:tcPr>
            <w:tcW w:w="5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323"/>
              <w:spacing w:after="0"/>
              <w:rPr>
                <w:sz w:val="20"/>
                <w:szCs w:val="20"/>
                <w:color w:val="auto"/>
              </w:rPr>
            </w:pPr>
            <w:r>
              <w:rPr>
                <w:rFonts w:ascii="Times New Roman" w:cs="Times New Roman" w:eastAsia="Times New Roman" w:hAnsi="Times New Roman"/>
                <w:sz w:val="18"/>
                <w:szCs w:val="18"/>
                <w:color w:val="auto"/>
              </w:rPr>
              <w:t>(8,631,233)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(6,117,954)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(5,926,622)</w:t>
            </w: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54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 paid for continuance of revolving line of credit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38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(50,000)</w:t>
            </w: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37,716,044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26,295,521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133,369,853</w:t>
            </w: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under revolving line of credit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323"/>
              <w:spacing w:after="0"/>
              <w:rPr>
                <w:sz w:val="20"/>
                <w:szCs w:val="20"/>
                <w:color w:val="auto"/>
              </w:rPr>
            </w:pPr>
            <w:r>
              <w:rPr>
                <w:rFonts w:ascii="Times New Roman" w:cs="Times New Roman" w:eastAsia="Times New Roman" w:hAnsi="Times New Roman"/>
                <w:sz w:val="18"/>
                <w:szCs w:val="18"/>
                <w:color w:val="auto"/>
                <w:w w:val="94"/>
              </w:rPr>
              <w:t>(37,716,044)</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(26,295,521)</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8"/>
              </w:rPr>
              <w:t>(137,059,791)</w:t>
            </w: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on long-term debt and capital lease obligations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8"/>
                <w:szCs w:val="18"/>
                <w:color w:val="auto"/>
              </w:rPr>
              <w:t>(831,456)</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(942,054)</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(742,969)</w:t>
            </w:r>
          </w:p>
        </w:tc>
      </w:tr>
      <w:tr>
        <w:trPr>
          <w:trHeight w:val="212"/>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jc w:val="right"/>
              <w:ind w:right="38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1,680,000</w:t>
            </w:r>
          </w:p>
        </w:tc>
        <w:tc>
          <w:tcPr>
            <w:tcW w:w="52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5140" w:type="dxa"/>
            <w:vAlign w:val="bottom"/>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auto"/>
              </w:rPr>
              <w:t>Payment of dividends on preferred shares subject to mandatory</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3"/>
              <w:spacing w:after="0"/>
              <w:rPr>
                <w:sz w:val="20"/>
                <w:szCs w:val="20"/>
                <w:color w:val="auto"/>
              </w:rPr>
            </w:pPr>
            <w:r>
              <w:rPr>
                <w:rFonts w:ascii="Times New Roman" w:cs="Times New Roman" w:eastAsia="Times New Roman" w:hAnsi="Times New Roman"/>
                <w:sz w:val="18"/>
                <w:szCs w:val="18"/>
                <w:color w:val="auto"/>
              </w:rPr>
              <w:t>(1,366,050)</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payment of shareholder note receivable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stock</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6,000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0" w:type="dxa"/>
            <w:vAlign w:val="bottom"/>
          </w:tcPr>
          <w:p>
            <w:pPr>
              <w:spacing w:after="0"/>
              <w:rPr>
                <w:sz w:val="19"/>
                <w:szCs w:val="19"/>
                <w:color w:val="auto"/>
              </w:rPr>
            </w:pPr>
          </w:p>
        </w:tc>
        <w:tc>
          <w:tcPr>
            <w:tcW w:w="51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5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(2,180,506</w:t>
            </w:r>
          </w:p>
        </w:tc>
        <w:tc>
          <w:tcPr>
            <w:tcW w:w="460" w:type="dxa"/>
            <w:vAlign w:val="bottom"/>
          </w:tcPr>
          <w:p>
            <w:pPr>
              <w:jc w:val="right"/>
              <w:ind w:right="323"/>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(942,054)</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(2,802,907)</w:t>
            </w:r>
          </w:p>
        </w:tc>
        <w:tc>
          <w:tcPr>
            <w:tcW w:w="5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1,847,210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4,129,385</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1,727,129</w:t>
            </w: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Beginning of period</w:t>
            </w:r>
          </w:p>
        </w:tc>
        <w:tc>
          <w:tcPr>
            <w:tcW w:w="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9,954,232</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5,824,847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4,097,718</w:t>
            </w:r>
          </w:p>
        </w:tc>
        <w:tc>
          <w:tcPr>
            <w:tcW w:w="52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End of period</w:t>
            </w:r>
          </w:p>
        </w:tc>
        <w:tc>
          <w:tcPr>
            <w:tcW w:w="540" w:type="dxa"/>
            <w:vAlign w:val="bottom"/>
          </w:tcPr>
          <w:p>
            <w:pPr>
              <w:ind w:left="46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11,801,442</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9,954,232</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5,824,847</w:t>
            </w:r>
          </w:p>
        </w:tc>
        <w:tc>
          <w:tcPr>
            <w:tcW w:w="520" w:type="dxa"/>
            <w:vAlign w:val="bottom"/>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383"/>
              <w:spacing w:after="0"/>
              <w:rPr>
                <w:sz w:val="20"/>
                <w:szCs w:val="20"/>
                <w:color w:val="auto"/>
              </w:rPr>
            </w:pPr>
            <w:r>
              <w:rPr>
                <w:rFonts w:ascii="Times New Roman" w:cs="Times New Roman" w:eastAsia="Times New Roman" w:hAnsi="Times New Roman"/>
                <w:sz w:val="18"/>
                <w:szCs w:val="18"/>
                <w:color w:val="auto"/>
              </w:rPr>
              <w:t>518,557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352,933</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255,708</w:t>
            </w:r>
          </w:p>
        </w:tc>
        <w:tc>
          <w:tcPr>
            <w:tcW w:w="5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2,550,938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3,036,620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2,498,700</w:t>
            </w:r>
          </w:p>
        </w:tc>
        <w:tc>
          <w:tcPr>
            <w:tcW w:w="5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accrued on redeemable preferred stock</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135,187</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327,713</w:t>
            </w:r>
          </w:p>
        </w:tc>
        <w:tc>
          <w:tcPr>
            <w:tcW w:w="52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514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Purchases of property and equipment financed by entering into</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leases</w:t>
            </w:r>
          </w:p>
        </w:tc>
        <w:tc>
          <w:tcPr>
            <w:tcW w:w="5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1,106,338</w:t>
            </w:r>
          </w:p>
        </w:tc>
        <w:tc>
          <w:tcPr>
            <w:tcW w:w="4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670,503</w:t>
            </w:r>
          </w:p>
        </w:tc>
        <w:tc>
          <w:tcPr>
            <w:tcW w:w="4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660,012</w:t>
            </w:r>
          </w:p>
        </w:tc>
        <w:tc>
          <w:tcPr>
            <w:tcW w:w="5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5140" w:type="dxa"/>
            <w:vAlign w:val="bottom"/>
            <w:shd w:val="clear" w:color="auto" w:fill="CCEEFF"/>
          </w:tcPr>
          <w:p>
            <w:pPr>
              <w:ind w:left="240"/>
              <w:spacing w:after="0" w:line="194" w:lineRule="exact"/>
              <w:rPr>
                <w:sz w:val="20"/>
                <w:szCs w:val="20"/>
                <w:color w:val="auto"/>
              </w:rPr>
            </w:pPr>
            <w:r>
              <w:rPr>
                <w:rFonts w:ascii="Times New Roman" w:cs="Times New Roman" w:eastAsia="Times New Roman" w:hAnsi="Times New Roman"/>
                <w:sz w:val="18"/>
                <w:szCs w:val="18"/>
                <w:color w:val="auto"/>
              </w:rPr>
              <w:t>Insurance settlement not yet received related to loss of fixed</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assets and inventory related to store fire</w:t>
            </w: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8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192,384</w:t>
            </w: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b w:val="1"/>
          <w:bCs w:val="1"/>
          <w:color w:val="auto"/>
        </w:rPr>
        <w:t>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Years Ended January 29, 2005, January 31, 2004 and February 1, 2003</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80" w:type="dxa"/>
            <w:vAlign w:val="bottom"/>
          </w:tcPr>
          <w:p>
            <w:pPr>
              <w:spacing w:after="0"/>
              <w:rPr>
                <w:sz w:val="14"/>
                <w:szCs w:val="14"/>
                <w:color w:val="auto"/>
              </w:rPr>
            </w:pPr>
          </w:p>
        </w:tc>
        <w:tc>
          <w:tcPr>
            <w:tcW w:w="14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Subscription</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6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Balance—February 2,</w:t>
            </w:r>
          </w:p>
        </w:tc>
        <w:tc>
          <w:tcPr>
            <w:tcW w:w="1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9,445,150</w:t>
            </w:r>
          </w:p>
        </w:tc>
        <w:tc>
          <w:tcPr>
            <w:tcW w:w="14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3,726,446</w:t>
            </w: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2,088,513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150,150</w:t>
            </w:r>
          </w:p>
        </w:tc>
        <w:tc>
          <w:tcPr>
            <w:tcW w:w="14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(57,750)</w:t>
            </w:r>
          </w:p>
        </w:tc>
        <w:tc>
          <w:tcPr>
            <w:tcW w:w="15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5,735,842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Expense recorded in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connection with</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stock</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161,882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161,882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Accrued preferred stock</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(327,713)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(327,713)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5,027,825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5,027,825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 February 1,</w:t>
            </w: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9,445,150</w:t>
            </w:r>
          </w:p>
        </w:tc>
        <w:tc>
          <w:tcPr>
            <w:tcW w:w="14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3,633</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3,888,328</w:t>
            </w: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6,788,625</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150,150</w:t>
            </w:r>
          </w:p>
        </w:tc>
        <w:tc>
          <w:tcPr>
            <w:tcW w:w="14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(57,750)</w:t>
            </w:r>
          </w:p>
        </w:tc>
        <w:tc>
          <w:tcPr>
            <w:tcW w:w="15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10,597,836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Expense recorded in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connection with</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stock</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123,273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123,273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Accrued preferred stock</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(135,187)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(135,187)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5,917,946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5,917,946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Balance— January 31,</w:t>
            </w:r>
          </w:p>
        </w:tc>
        <w:tc>
          <w:tcPr>
            <w:tcW w:w="16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9,445,150</w:t>
            </w:r>
          </w:p>
        </w:tc>
        <w:tc>
          <w:tcPr>
            <w:tcW w:w="140" w:type="dxa"/>
            <w:vAlign w:val="bottom"/>
            <w:shd w:val="clear" w:color="auto" w:fill="CCEEFF"/>
          </w:tcPr>
          <w:p>
            <w:pPr>
              <w:spacing w:after="0"/>
              <w:rPr>
                <w:sz w:val="20"/>
                <w:szCs w:val="20"/>
                <w:color w:val="auto"/>
              </w:rPr>
            </w:pPr>
          </w:p>
        </w:tc>
        <w:tc>
          <w:tcPr>
            <w:tcW w:w="8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3,633</w:t>
            </w: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4,011,601</w:t>
            </w:r>
          </w:p>
        </w:tc>
        <w:tc>
          <w:tcPr>
            <w:tcW w:w="13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12,571,384</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150,150</w:t>
            </w:r>
          </w:p>
        </w:tc>
        <w:tc>
          <w:tcPr>
            <w:tcW w:w="140" w:type="dxa"/>
            <w:vAlign w:val="bottom"/>
            <w:shd w:val="clear" w:color="auto" w:fill="CCEEFF"/>
          </w:tcPr>
          <w:p>
            <w:pPr>
              <w:spacing w:after="0"/>
              <w:rPr>
                <w:sz w:val="20"/>
                <w:szCs w:val="20"/>
                <w:color w:val="auto"/>
              </w:rPr>
            </w:pP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(57,750)</w:t>
            </w:r>
          </w:p>
        </w:tc>
        <w:tc>
          <w:tcPr>
            <w:tcW w:w="15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(25,000)</w:t>
            </w:r>
          </w:p>
        </w:tc>
        <w:tc>
          <w:tcPr>
            <w:tcW w:w="1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16,503,868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Exercise of stock</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15,600</w:t>
            </w: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5,994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Expense recorded in</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connection with</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stock</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103,299</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103,299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Purchase of 600 shares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common stock in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for a 3 year</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15,600</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(106,800)</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(106,800)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Interest recorded on</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(9,643)</w:t>
            </w:r>
          </w:p>
        </w:tc>
        <w:tc>
          <w:tcPr>
            <w:tcW w:w="14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Payment received on</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11,000</w:t>
            </w: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11,000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7,257,245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7,257,245</w:t>
            </w:r>
          </w:p>
        </w:tc>
        <w:tc>
          <w:tcPr>
            <w:tcW w:w="0" w:type="dxa"/>
            <w:vAlign w:val="bottom"/>
          </w:tcPr>
          <w:p>
            <w:pPr>
              <w:spacing w:after="0"/>
              <w:rPr>
                <w:sz w:val="1"/>
                <w:szCs w:val="1"/>
                <w:color w:val="auto"/>
              </w:rPr>
            </w:pPr>
          </w:p>
        </w:tc>
      </w:tr>
      <w:tr>
        <w:trPr>
          <w:trHeight w:val="200"/>
        </w:trPr>
        <w:tc>
          <w:tcPr>
            <w:tcW w:w="1900" w:type="dxa"/>
            <w:vAlign w:val="bottom"/>
            <w:gridSpan w:val="2"/>
          </w:tcPr>
          <w:p>
            <w:pPr>
              <w:spacing w:after="0" w:line="200" w:lineRule="exact"/>
              <w:rPr>
                <w:sz w:val="20"/>
                <w:szCs w:val="20"/>
                <w:color w:val="auto"/>
              </w:rPr>
            </w:pPr>
            <w:r>
              <w:rPr>
                <w:rFonts w:ascii="Times New Roman" w:cs="Times New Roman" w:eastAsia="Times New Roman" w:hAnsi="Times New Roman"/>
                <w:sz w:val="18"/>
                <w:szCs w:val="18"/>
                <w:color w:val="auto"/>
              </w:rPr>
              <w:t>Balance— January 29,</w:t>
            </w: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2005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9,460,750</w:t>
            </w:r>
          </w:p>
        </w:tc>
        <w:tc>
          <w:tcPr>
            <w:tcW w:w="140" w:type="dxa"/>
            <w:vAlign w:val="bottom"/>
          </w:tcPr>
          <w:p>
            <w:pPr>
              <w:spacing w:after="0"/>
              <w:rPr>
                <w:sz w:val="19"/>
                <w:szCs w:val="19"/>
                <w:color w:val="auto"/>
              </w:rPr>
            </w:pP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3,639</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4,120,894</w:t>
            </w:r>
          </w:p>
        </w:tc>
        <w:tc>
          <w:tcPr>
            <w:tcW w:w="140" w:type="dxa"/>
            <w:vAlign w:val="bottom"/>
          </w:tcPr>
          <w:p>
            <w:pPr>
              <w:spacing w:after="0"/>
              <w:rPr>
                <w:sz w:val="19"/>
                <w:szCs w:val="19"/>
                <w:color w:val="auto"/>
              </w:rPr>
            </w:pPr>
          </w:p>
        </w:tc>
        <w:tc>
          <w:tcPr>
            <w:tcW w:w="13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19,828,629</w:t>
            </w: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165,750</w:t>
            </w:r>
          </w:p>
        </w:tc>
        <w:tc>
          <w:tcPr>
            <w:tcW w:w="140" w:type="dxa"/>
            <w:vAlign w:val="bottom"/>
          </w:tcPr>
          <w:p>
            <w:pPr>
              <w:spacing w:after="0"/>
              <w:rPr>
                <w:sz w:val="19"/>
                <w:szCs w:val="19"/>
                <w:color w:val="auto"/>
              </w:rPr>
            </w:pP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(164,550)</w:t>
            </w:r>
          </w:p>
        </w:tc>
        <w:tc>
          <w:tcPr>
            <w:tcW w:w="158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(23,643)</w:t>
            </w: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23,764,969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b w:val="1"/>
          <w:bCs w:val="1"/>
          <w:color w:val="auto"/>
        </w:rPr>
        <w:t>Notes to Financial Statements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191" w:lineRule="exact"/>
        <w:rPr>
          <w:sz w:val="20"/>
          <w:szCs w:val="20"/>
          <w:color w:val="auto"/>
        </w:rPr>
      </w:pPr>
    </w:p>
    <w:p>
      <w:pPr>
        <w:ind w:left="580" w:hanging="574"/>
        <w:spacing w:after="0"/>
        <w:tabs>
          <w:tab w:leader="none" w:pos="5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1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Citi Trends, Inc. (the “Company”) is a rapidly growing, value-priced retailer of urban fashion apparel and accessories for the entire family. As of January 29, 2005, the Company operated 200 stores in Alabama, Arkansas, Florida, Georgia, Louisiana, Maryland, Mississippi, North Carolina, South Carolina, Tennessee, Texas, and Virginia.</w:t>
      </w:r>
    </w:p>
    <w:p>
      <w:pPr>
        <w:spacing w:after="0" w:line="177" w:lineRule="exact"/>
        <w:rPr>
          <w:sz w:val="20"/>
          <w:szCs w:val="20"/>
          <w:color w:val="auto"/>
        </w:rPr>
      </w:pPr>
    </w:p>
    <w:p>
      <w:pPr>
        <w:ind w:left="580" w:hanging="574"/>
        <w:spacing w:after="0"/>
        <w:tabs>
          <w:tab w:leader="none" w:pos="5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1" w:lineRule="exact"/>
        <w:rPr>
          <w:sz w:val="20"/>
          <w:szCs w:val="20"/>
          <w:color w:val="auto"/>
        </w:rPr>
      </w:pPr>
    </w:p>
    <w:p>
      <w:pPr>
        <w:ind w:left="940" w:hanging="714"/>
        <w:spacing w:after="0"/>
        <w:tabs>
          <w:tab w:leader="none" w:pos="94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Fiscal Year</w:t>
      </w:r>
    </w:p>
    <w:p>
      <w:pPr>
        <w:spacing w:after="0" w:line="6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of each year. The years ended January 29, 2005, January 31, 2004 and February 1, 2003 are referred to as fiscal 2004, 2003 and 2002, respectively, in the accompanying financial statements. Fiscal years 2004, 2003 and 2002 are each comprised of 52 weeks.</w:t>
      </w:r>
    </w:p>
    <w:p>
      <w:pPr>
        <w:spacing w:after="0" w:line="177" w:lineRule="exact"/>
        <w:rPr>
          <w:sz w:val="20"/>
          <w:szCs w:val="20"/>
          <w:color w:val="auto"/>
        </w:rPr>
      </w:pPr>
    </w:p>
    <w:p>
      <w:pPr>
        <w:ind w:left="940" w:hanging="714"/>
        <w:spacing w:after="0"/>
        <w:tabs>
          <w:tab w:leader="none" w:pos="94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and Cash Equivalents</w:t>
      </w:r>
    </w:p>
    <w:p>
      <w:pPr>
        <w:spacing w:after="0" w:line="60"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For purposes of the balance sheets and statements of cash flows, the Company considers all highly liquid debt instruments with original maturities of three months or less to be cash equivalents.</w:t>
      </w:r>
    </w:p>
    <w:p>
      <w:pPr>
        <w:spacing w:after="0" w:line="166" w:lineRule="exact"/>
        <w:rPr>
          <w:sz w:val="20"/>
          <w:szCs w:val="20"/>
          <w:color w:val="auto"/>
        </w:rPr>
      </w:pPr>
    </w:p>
    <w:p>
      <w:pPr>
        <w:ind w:left="940" w:hanging="714"/>
        <w:spacing w:after="0"/>
        <w:tabs>
          <w:tab w:leader="none" w:pos="94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Inventory</w:t>
      </w:r>
    </w:p>
    <w:p>
      <w:pPr>
        <w:spacing w:after="0" w:line="60" w:lineRule="exact"/>
        <w:rPr>
          <w:sz w:val="20"/>
          <w:szCs w:val="20"/>
          <w:color w:val="auto"/>
        </w:rPr>
      </w:pPr>
    </w:p>
    <w:p>
      <w:pPr>
        <w:jc w:val="both"/>
        <w:ind w:right="140"/>
        <w:spacing w:after="0" w:line="280" w:lineRule="auto"/>
        <w:rPr>
          <w:sz w:val="20"/>
          <w:szCs w:val="20"/>
          <w:color w:val="auto"/>
        </w:rPr>
      </w:pPr>
      <w:r>
        <w:rPr>
          <w:rFonts w:ascii="Times New Roman" w:cs="Times New Roman" w:eastAsia="Times New Roman" w:hAnsi="Times New Roman"/>
          <w:sz w:val="17"/>
          <w:szCs w:val="17"/>
          <w:color w:val="auto"/>
        </w:rPr>
        <w:t>Inventory is stated at the lower of cost (first-in, first-out basis) or market as determined by the retail inventory method less a provision for inventory shrinkage. Under the retail inventory method, the cost value of inventory and gross margins are determined by calculating a cost-to-retail ratio and applying it to the retail value of inventory. The Company believes the first-in first-out retail inventory method results in an inventory valuation that is fairly stated.</w:t>
      </w:r>
    </w:p>
    <w:p>
      <w:pPr>
        <w:spacing w:after="0" w:line="160" w:lineRule="exact"/>
        <w:rPr>
          <w:sz w:val="20"/>
          <w:szCs w:val="20"/>
          <w:color w:val="auto"/>
        </w:rPr>
      </w:pPr>
    </w:p>
    <w:p>
      <w:pPr>
        <w:ind w:left="940" w:hanging="714"/>
        <w:spacing w:after="0"/>
        <w:tabs>
          <w:tab w:leader="none" w:pos="940"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Property and Equipment, net</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Property and equipment are stated at cost. Equipment under capital leases is stated at the present value of minimum lease payments. Depreciation and amortization are computed using the straight-line method over the lesser of the estimated useful lives (principally three to five years for computer equipment and furniture, fixtures and equipment, five years for leasehold improvements, and 15 years for buildings) of the related assets or the relevant lease term, whichever is shorter.</w:t>
      </w:r>
    </w:p>
    <w:p>
      <w:pPr>
        <w:spacing w:after="0" w:line="184" w:lineRule="exact"/>
        <w:rPr>
          <w:sz w:val="20"/>
          <w:szCs w:val="20"/>
          <w:color w:val="auto"/>
        </w:rPr>
      </w:pPr>
    </w:p>
    <w:p>
      <w:pPr>
        <w:ind w:left="940" w:hanging="714"/>
        <w:spacing w:after="0"/>
        <w:tabs>
          <w:tab w:leader="none" w:pos="940"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w:t>
      </w:r>
    </w:p>
    <w:p>
      <w:pPr>
        <w:spacing w:after="0" w:line="60"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The Company adopted the provisions of Statement of Financial Accounting Standards (“SFAS”) No. 142,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as of February 3, 2002. Pursuant to SFAS No. 142, goodwill acquired in a purchase business combination and determined to have an indefinite useful life is not amortized, but instead tested for impairment at least annually. The Company performed this analysis at the end of fiscal 2004 and no impairment was indicated.</w:t>
      </w:r>
    </w:p>
    <w:p>
      <w:pPr>
        <w:spacing w:after="0" w:line="184" w:lineRule="exact"/>
        <w:rPr>
          <w:sz w:val="20"/>
          <w:szCs w:val="20"/>
          <w:color w:val="auto"/>
        </w:rPr>
      </w:pPr>
    </w:p>
    <w:p>
      <w:pPr>
        <w:ind w:left="940" w:hanging="714"/>
        <w:spacing w:after="0"/>
        <w:tabs>
          <w:tab w:leader="none" w:pos="940"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of Long-Lived Assets</w:t>
      </w:r>
    </w:p>
    <w:p>
      <w:pPr>
        <w:spacing w:after="0" w:line="6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If facts and circumstances indicate that a long-lived asset, including property and equipment, may be impaired, the carrying value of long-lived assets is reviewed. If this review indicates that the carrying value of the asset will not be recovered as determined based on projected undiscounted cash flows related to the asset over its remaining life, the carrying value of the asset is reduced to its estimated fair value. Impairment losses in the future are dependent on a number of factors such as site selection and general economic trends,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193"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color w:val="auto"/>
        </w:rPr>
        <w:t>and thus could be significantly different from historical results. To the extent the Company’s estimates for net sales, gross profit and store expenses are not realized, future assessments of recoverability could result in impairment charges.</w:t>
      </w:r>
    </w:p>
    <w:p>
      <w:pPr>
        <w:spacing w:after="0" w:line="166" w:lineRule="exact"/>
        <w:rPr>
          <w:sz w:val="20"/>
          <w:szCs w:val="20"/>
          <w:color w:val="auto"/>
        </w:rPr>
      </w:pPr>
    </w:p>
    <w:p>
      <w:pPr>
        <w:ind w:left="940" w:hanging="714"/>
        <w:spacing w:after="0"/>
        <w:tabs>
          <w:tab w:leader="none" w:pos="940" w:val="left"/>
        </w:tabs>
        <w:numPr>
          <w:ilvl w:val="0"/>
          <w:numId w:val="5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Stock-Based Compensation</w:t>
      </w:r>
    </w:p>
    <w:p>
      <w:pPr>
        <w:spacing w:after="0" w:line="5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 xml:space="preserve">The Company applies the intrinsic-value-based method of accounting prescribed by Accounting Principles Board (“APB”) Opinion No. 25, </w:t>
      </w:r>
      <w:r>
        <w:rPr>
          <w:rFonts w:ascii="Times New Roman" w:cs="Times New Roman" w:eastAsia="Times New Roman" w:hAnsi="Times New Roman"/>
          <w:sz w:val="17"/>
          <w:szCs w:val="17"/>
          <w:i w:val="1"/>
          <w:iCs w:val="1"/>
          <w:color w:val="auto"/>
        </w:rPr>
        <w:t>Accounting for 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Issued to Employees</w:t>
      </w:r>
      <w:r>
        <w:rPr>
          <w:rFonts w:ascii="Times New Roman" w:cs="Times New Roman" w:eastAsia="Times New Roman" w:hAnsi="Times New Roman"/>
          <w:sz w:val="17"/>
          <w:szCs w:val="17"/>
          <w:color w:val="auto"/>
        </w:rPr>
        <w:t>, and related interpretations including Financial Accounting Standards Board (“FASB”) interpretation (FIN) No. 44,</w:t>
      </w:r>
      <w:r>
        <w:rPr>
          <w:rFonts w:ascii="Times New Roman" w:cs="Times New Roman" w:eastAsia="Times New Roman" w:hAnsi="Times New Roman"/>
          <w:sz w:val="17"/>
          <w:szCs w:val="17"/>
          <w:i w:val="1"/>
          <w:iCs w:val="1"/>
          <w:color w:val="auto"/>
        </w:rPr>
        <w:t xml:space="preserve"> Accounting for Certain Transactions involving Stock Compensation, an interpretation of APB Opinion No. 25</w:t>
      </w:r>
      <w:r>
        <w:rPr>
          <w:rFonts w:ascii="Times New Roman" w:cs="Times New Roman" w:eastAsia="Times New Roman" w:hAnsi="Times New Roman"/>
          <w:sz w:val="17"/>
          <w:szCs w:val="17"/>
          <w:color w:val="auto"/>
        </w:rPr>
        <w:t>, to account for its fixed-plan stock options. Under this method,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compensation expense is recorded on the date of grant only if the current fair value of the underlying stock exceeds the exercise price. The Company recognizes the fair value of stock rights granted to non-employees in the accompanying financial statements. SFAS No. 123, </w:t>
      </w:r>
      <w:r>
        <w:rPr>
          <w:rFonts w:ascii="Times New Roman" w:cs="Times New Roman" w:eastAsia="Times New Roman" w:hAnsi="Times New Roman"/>
          <w:sz w:val="17"/>
          <w:szCs w:val="17"/>
          <w:i w:val="1"/>
          <w:iCs w:val="1"/>
          <w:color w:val="auto"/>
        </w:rPr>
        <w:t>Accounting for Stock-Based Compensation,</w:t>
      </w:r>
      <w:r>
        <w:rPr>
          <w:rFonts w:ascii="Times New Roman" w:cs="Times New Roman" w:eastAsia="Times New Roman" w:hAnsi="Times New Roman"/>
          <w:sz w:val="17"/>
          <w:szCs w:val="17"/>
          <w:color w:val="auto"/>
        </w:rPr>
        <w:t xml:space="preserve"> and SFAS No. 148, </w:t>
      </w:r>
      <w:r>
        <w:rPr>
          <w:rFonts w:ascii="Times New Roman" w:cs="Times New Roman" w:eastAsia="Times New Roman" w:hAnsi="Times New Roman"/>
          <w:sz w:val="17"/>
          <w:szCs w:val="17"/>
          <w:i w:val="1"/>
          <w:iCs w:val="1"/>
          <w:color w:val="auto"/>
        </w:rPr>
        <w:t>Accounting for Stock-Based Compensation— Transition and Disclosure, an amendment of FASB Statement No. 123</w:t>
      </w:r>
      <w:r>
        <w:rPr>
          <w:rFonts w:ascii="Times New Roman" w:cs="Times New Roman" w:eastAsia="Times New Roman" w:hAnsi="Times New Roman"/>
          <w:sz w:val="17"/>
          <w:szCs w:val="17"/>
          <w:color w:val="auto"/>
        </w:rPr>
        <w:t xml:space="preserve">, establishes accounting and disclosure requirements using a fair-value-based method of accounting for stock-based employee compensation plans. As permitted by existing accounting standards, the Company has elected to continue to apply the intrinsic-value-based method of accounting described above, and the Company has adopted only the disclosure requirements of SFAS No. 123, as amended. The following table illustrates the effect on net income for fiscal 2004, 2003 and 2002 if the fair-value-based method had been applied to all outstanding and unvested awards in the period. Pro forma information regarding net income and net income per share is required in order to show our net income as if we had accounted for employee stock options under the fair value method of SFAS No. 123, </w:t>
      </w:r>
      <w:r>
        <w:rPr>
          <w:rFonts w:ascii="Times New Roman" w:cs="Times New Roman" w:eastAsia="Times New Roman" w:hAnsi="Times New Roman"/>
          <w:sz w:val="17"/>
          <w:szCs w:val="17"/>
          <w:i w:val="1"/>
          <w:iCs w:val="1"/>
          <w:color w:val="auto"/>
        </w:rPr>
        <w:t xml:space="preserve">Accounting for Stock-Based Compensation, </w:t>
      </w:r>
      <w:r>
        <w:rPr>
          <w:rFonts w:ascii="Times New Roman" w:cs="Times New Roman" w:eastAsia="Times New Roman" w:hAnsi="Times New Roman"/>
          <w:sz w:val="17"/>
          <w:szCs w:val="17"/>
          <w:color w:val="auto"/>
        </w:rPr>
        <w:t>as amended by SFAS No. 148,</w:t>
      </w:r>
      <w:r>
        <w:rPr>
          <w:rFonts w:ascii="Times New Roman" w:cs="Times New Roman" w:eastAsia="Times New Roman" w:hAnsi="Times New Roman"/>
          <w:sz w:val="17"/>
          <w:szCs w:val="17"/>
          <w:i w:val="1"/>
          <w:iCs w:val="1"/>
          <w:color w:val="auto"/>
        </w:rPr>
        <w:t xml:space="preserve"> Accounting for Stock-Based Compensation— Transition Disclosure</w:t>
      </w:r>
      <w:r>
        <w:rPr>
          <w:rFonts w:ascii="Times New Roman" w:cs="Times New Roman" w:eastAsia="Times New Roman" w:hAnsi="Times New Roman"/>
          <w:sz w:val="17"/>
          <w:szCs w:val="17"/>
          <w:color w:val="auto"/>
        </w:rPr>
        <w:t>. The fair values of options and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issued pursuant to our option plan at each grant date were estimated using the Black-Scholes option pricing model.</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tcBorders>
              <w:bottom w:val="single" w:sz="8" w:color="auto"/>
            </w:tcBorders>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7,257,245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5,917,946</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5,027,825</w:t>
            </w:r>
          </w:p>
        </w:tc>
      </w:tr>
      <w:tr>
        <w:trPr>
          <w:trHeight w:val="193"/>
        </w:trPr>
        <w:tc>
          <w:tcPr>
            <w:tcW w:w="20" w:type="dxa"/>
            <w:vAlign w:val="bottom"/>
          </w:tcPr>
          <w:p>
            <w:pPr>
              <w:spacing w:after="0"/>
              <w:rPr>
                <w:sz w:val="16"/>
                <w:szCs w:val="16"/>
                <w:color w:val="auto"/>
              </w:rPr>
            </w:pPr>
          </w:p>
        </w:tc>
        <w:tc>
          <w:tcPr>
            <w:tcW w:w="5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Add stock-based employee compensation expense included in reported net</w:t>
            </w: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net of tax of $39,791, $45,855 and $62,729, respectively</w:t>
            </w:r>
          </w:p>
        </w:tc>
        <w:tc>
          <w:tcPr>
            <w:tcW w:w="5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63,508</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77,415</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99,153</w:t>
            </w:r>
          </w:p>
        </w:tc>
      </w:tr>
      <w:tr>
        <w:trPr>
          <w:trHeight w:val="194"/>
        </w:trPr>
        <w:tc>
          <w:tcPr>
            <w:tcW w:w="20" w:type="dxa"/>
            <w:vAlign w:val="bottom"/>
          </w:tcPr>
          <w:p>
            <w:pPr>
              <w:spacing w:after="0"/>
              <w:rPr>
                <w:sz w:val="16"/>
                <w:szCs w:val="16"/>
                <w:color w:val="auto"/>
              </w:rPr>
            </w:pPr>
          </w:p>
        </w:tc>
        <w:tc>
          <w:tcPr>
            <w:tcW w:w="5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Deduct total stock-based employee compensation expense determined under</w:t>
            </w: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fair-value-based method for all awards, net of tax of $86,829, $68,120 and</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$47,157, respectively</w:t>
            </w:r>
          </w:p>
        </w:tc>
        <w:tc>
          <w:tcPr>
            <w:tcW w:w="5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(138,583)</w:t>
            </w: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(114,997)</w:t>
            </w:r>
          </w:p>
        </w:tc>
        <w:tc>
          <w:tcPr>
            <w:tcW w:w="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(74,538)</w:t>
            </w:r>
          </w:p>
        </w:tc>
      </w:tr>
      <w:tr>
        <w:trPr>
          <w:trHeight w:val="218"/>
        </w:trPr>
        <w:tc>
          <w:tcPr>
            <w:tcW w:w="20" w:type="dxa"/>
            <w:vAlign w:val="bottom"/>
          </w:tcPr>
          <w:p>
            <w:pPr>
              <w:spacing w:after="0"/>
              <w:rPr>
                <w:sz w:val="18"/>
                <w:szCs w:val="18"/>
                <w:color w:val="auto"/>
              </w:rPr>
            </w:pPr>
          </w:p>
        </w:tc>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 forma net income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7,182,170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5,880,364</w:t>
            </w:r>
          </w:p>
        </w:tc>
        <w:tc>
          <w:tcPr>
            <w:tcW w:w="4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5,052,440</w:t>
            </w:r>
          </w:p>
        </w:tc>
        <w:tc>
          <w:tcPr>
            <w:tcW w:w="380" w:type="dxa"/>
            <w:vAlign w:val="bottom"/>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basic income per common share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0.51</w:t>
            </w:r>
          </w:p>
        </w:tc>
      </w:tr>
      <w:tr>
        <w:trPr>
          <w:trHeight w:val="20"/>
        </w:trPr>
        <w:tc>
          <w:tcPr>
            <w:tcW w:w="5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8"/>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basic income per common share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4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380" w:type="dxa"/>
            <w:vAlign w:val="bottom"/>
          </w:tcPr>
          <w:p>
            <w:pPr>
              <w:spacing w:after="0"/>
              <w:rPr>
                <w:sz w:val="18"/>
                <w:szCs w:val="18"/>
                <w:color w:val="auto"/>
              </w:rPr>
            </w:pPr>
          </w:p>
        </w:tc>
      </w:tr>
      <w:tr>
        <w:trPr>
          <w:trHeight w:val="26"/>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diluted income per common share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0.54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59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8"/>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diluted income per common share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4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5" w:lineRule="exact"/>
        <w:rPr>
          <w:sz w:val="20"/>
          <w:szCs w:val="20"/>
          <w:color w:val="auto"/>
        </w:rPr>
      </w:pPr>
    </w:p>
    <w:p>
      <w:pPr>
        <w:ind w:left="940" w:hanging="714"/>
        <w:spacing w:after="0"/>
        <w:tabs>
          <w:tab w:leader="none" w:pos="940" w:val="left"/>
        </w:tabs>
        <w:numPr>
          <w:ilvl w:val="0"/>
          <w:numId w:val="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Recognition</w:t>
      </w:r>
    </w:p>
    <w:p>
      <w:pPr>
        <w:spacing w:after="0" w:line="6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Revenue from retail sales is recognized at the time of the sale, net of an allowance for estimated returns. The Company allows for returns up to 10 days after the date of sales and the estimate for returns is based on actual return activity 10 days after the period ends. Revenue from layaway sales is recognized when the customer has paid for and received the merchandise. If the merchandise is not fully paid for within 60 days, the customer is given a refund or store credit for merchandise payments made, less a re-stocking fee and 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19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program service charge. Program service charges, which are non-refundable, are recognized in revenue when collected. All sales are from cash, check or major credit card company transactions. The Company does not offer company-sponsored customer credit accounts.</w:t>
      </w:r>
    </w:p>
    <w:p>
      <w:pPr>
        <w:spacing w:after="0" w:line="166" w:lineRule="exact"/>
        <w:rPr>
          <w:sz w:val="20"/>
          <w:szCs w:val="20"/>
          <w:color w:val="auto"/>
        </w:rPr>
      </w:pPr>
    </w:p>
    <w:p>
      <w:pPr>
        <w:ind w:left="940" w:hanging="714"/>
        <w:spacing w:after="0"/>
        <w:tabs>
          <w:tab w:leader="none" w:pos="940" w:val="left"/>
        </w:tabs>
        <w:numPr>
          <w:ilvl w:val="0"/>
          <w:numId w:val="5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 of Sales</w:t>
      </w:r>
    </w:p>
    <w:p>
      <w:pPr>
        <w:spacing w:after="0" w:line="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 of sales includes the cost of inventory sold during the period, net of discounts and allowances; purchasing costs; transportation costs including inbound freight and internal transfer costs. Distribution center costs, advertising and promotional expenses are not considered a portion of cost of sales and are included as part of selling, general and administrative expenses.</w:t>
      </w:r>
    </w:p>
    <w:p>
      <w:pPr>
        <w:spacing w:after="0" w:line="177" w:lineRule="exact"/>
        <w:rPr>
          <w:sz w:val="20"/>
          <w:szCs w:val="20"/>
          <w:color w:val="auto"/>
        </w:rPr>
      </w:pPr>
    </w:p>
    <w:p>
      <w:pPr>
        <w:ind w:left="940" w:hanging="714"/>
        <w:spacing w:after="0"/>
        <w:tabs>
          <w:tab w:leader="none" w:pos="940"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Certain Financial Instruments with Characteristics of Liabilities and Equity</w:t>
      </w:r>
    </w:p>
    <w:p>
      <w:pPr>
        <w:spacing w:after="0" w:line="5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 xml:space="preserve">The Company has prospectively adopted SFAS No. 150, </w:t>
      </w:r>
      <w:r>
        <w:rPr>
          <w:rFonts w:ascii="Times New Roman" w:cs="Times New Roman" w:eastAsia="Times New Roman" w:hAnsi="Times New Roman"/>
          <w:sz w:val="18"/>
          <w:szCs w:val="18"/>
          <w:i w:val="1"/>
          <w:iCs w:val="1"/>
          <w:color w:val="auto"/>
        </w:rPr>
        <w:t>Accounting for Certain Financial Instruments with Characteristics of both Liabilities and Equity.</w:t>
      </w:r>
      <w:r>
        <w:rPr>
          <w:rFonts w:ascii="Times New Roman" w:cs="Times New Roman" w:eastAsia="Times New Roman" w:hAnsi="Times New Roman"/>
          <w:sz w:val="18"/>
          <w:szCs w:val="18"/>
          <w:color w:val="auto"/>
        </w:rPr>
        <w:t xml:space="preserve"> SFAS No. 150 establishes standards for the classification and measurement of certain financial instruments with characteristics of both liabilities and equity. SFAS No. 150 also includes required disclosures for financial instruments within its scope. For the Company, SFAS No. 150 was effective for instruments entered into or modified after May 1, 2003 and otherwise effective as of February 1, 2004, except for mandatorily redeemable financial instruments. As such, the Company adopted the provisions of SFAS No. 150 for our Series A Preferred Stock on July 6, 2003 which required the Company to classify the Series A Preferred Stock as a liability on our balance sheet. The effective date of SFAS No. 150 has been deferred indefinitely for certain other types of mandatorily redeemable financial instruments. To illustrate the effect of SFAS No. 150 the following table shows net income if SFAS No. 150 had not been adopted for fiscal 2004, 2003 and 2002.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tcBorders>
              <w:bottom w:val="single" w:sz="8" w:color="auto"/>
            </w:tcBorders>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6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$7,257,245</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$5,917,946</w:t>
            </w:r>
          </w:p>
        </w:tc>
        <w:tc>
          <w:tcPr>
            <w:tcW w:w="48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$5,027,825</w:t>
            </w: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Add dividends on preferred shares subject to mandatory redemption</w:t>
            </w: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324,450</w:t>
            </w:r>
          </w:p>
        </w:tc>
        <w:tc>
          <w:tcPr>
            <w:tcW w:w="4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189,263</w:t>
            </w: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 forma net income</w:t>
            </w:r>
          </w:p>
        </w:tc>
        <w:tc>
          <w:tcPr>
            <w:tcW w:w="168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$7,581,695</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$6,107,209</w:t>
            </w:r>
          </w:p>
        </w:tc>
        <w:tc>
          <w:tcPr>
            <w:tcW w:w="48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$5,027,825</w:t>
            </w: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5" w:lineRule="exact"/>
        <w:rPr>
          <w:sz w:val="20"/>
          <w:szCs w:val="20"/>
          <w:color w:val="auto"/>
        </w:rPr>
      </w:pPr>
    </w:p>
    <w:p>
      <w:pPr>
        <w:ind w:left="940" w:hanging="714"/>
        <w:spacing w:after="0"/>
        <w:tabs>
          <w:tab w:leader="none" w:pos="940" w:val="left"/>
        </w:tabs>
        <w:numPr>
          <w:ilvl w:val="0"/>
          <w:numId w:val="5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Earnings per Share</w:t>
      </w:r>
    </w:p>
    <w:p>
      <w:pPr>
        <w:spacing w:after="0" w:line="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Earnings per common share amounts are based on the weighted average number of common shares outstanding and diluted earnings per share amounts are based on the weighted average number of common shares outstanding plus the incremental shares that would have been outstanding upon the assumed exercise of all dilutive stock options.</w:t>
      </w:r>
    </w:p>
    <w:p>
      <w:pPr>
        <w:spacing w:after="0" w:line="73"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color w:val="auto"/>
        </w:rPr>
        <w:t>The following table provides a reconciliation of the earnings figures used to calculate earning per share and used in calculating diluted earnings per share for fiscal 2004, 2003 and 2002: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tcBorders>
              <w:bottom w:val="single" w:sz="8" w:color="auto"/>
            </w:tcBorders>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2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$7,257,245</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$5,917,946</w:t>
            </w:r>
          </w:p>
        </w:tc>
        <w:tc>
          <w:tcPr>
            <w:tcW w:w="48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$5,027,825</w:t>
            </w:r>
          </w:p>
        </w:tc>
      </w:tr>
      <w:tr>
        <w:trPr>
          <w:trHeight w:val="212"/>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Subtract dividends on preferred shares subject to mandatory redemption</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135,188</w:t>
            </w:r>
          </w:p>
        </w:tc>
        <w:tc>
          <w:tcPr>
            <w:tcW w:w="18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324,450</w:t>
            </w:r>
          </w:p>
        </w:tc>
      </w:tr>
      <w:tr>
        <w:trPr>
          <w:trHeight w:val="26"/>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Numerator for EPS calculation</w:t>
            </w:r>
          </w:p>
        </w:tc>
        <w:tc>
          <w:tcPr>
            <w:tcW w:w="224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$7,257,245</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$5,782,758</w:t>
            </w:r>
          </w:p>
        </w:tc>
        <w:tc>
          <w:tcPr>
            <w:tcW w:w="48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$4,703,375</w:t>
            </w: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F-9</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53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29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8"/>
          <w:szCs w:val="18"/>
          <w:color w:val="auto"/>
        </w:rPr>
        <w:t>The following table provides a reconciliation of the number of average common shares outstanding used to calculate earning per share to the number of common shares and common share equivalents outstanding used in calculating diluted earnings per share for fiscal 2004, 2003 and 2002: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2002</w:t>
            </w:r>
          </w:p>
        </w:tc>
        <w:tc>
          <w:tcPr>
            <w:tcW w:w="360" w:type="dxa"/>
            <w:vAlign w:val="bottom"/>
            <w:tcBorders>
              <w:bottom w:val="single" w:sz="8" w:color="auto"/>
            </w:tcBorders>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number of common shares outstanding</w:t>
            </w: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9,302,800</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9,295,000</w:t>
            </w:r>
          </w:p>
        </w:tc>
        <w:tc>
          <w:tcPr>
            <w:tcW w:w="460" w:type="dxa"/>
            <w:vAlign w:val="bottom"/>
            <w:shd w:val="clear" w:color="auto" w:fill="CCEEFF"/>
          </w:tcPr>
          <w:p>
            <w:pPr>
              <w:spacing w:after="0"/>
              <w:rPr>
                <w:sz w:val="18"/>
                <w:szCs w:val="18"/>
                <w:color w:val="auto"/>
              </w:rPr>
            </w:pPr>
          </w:p>
        </w:tc>
        <w:tc>
          <w:tcPr>
            <w:tcW w:w="19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9,295,000</w:t>
            </w:r>
          </w:p>
        </w:tc>
      </w:tr>
      <w:tr>
        <w:trPr>
          <w:trHeight w:val="218"/>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Incremental shares from assumed exercises of stock options</w:t>
            </w:r>
          </w:p>
        </w:tc>
        <w:tc>
          <w:tcPr>
            <w:tcW w:w="17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1,576,588</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1,476,410</w:t>
            </w:r>
          </w:p>
        </w:tc>
        <w:tc>
          <w:tcPr>
            <w:tcW w:w="460" w:type="dxa"/>
            <w:vAlign w:val="bottom"/>
          </w:tcPr>
          <w:p>
            <w:pPr>
              <w:spacing w:after="0"/>
              <w:rPr>
                <w:sz w:val="18"/>
                <w:szCs w:val="18"/>
                <w:color w:val="auto"/>
              </w:rPr>
            </w:pPr>
          </w:p>
        </w:tc>
        <w:tc>
          <w:tcPr>
            <w:tcW w:w="190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1,462,110</w:t>
            </w:r>
          </w:p>
        </w:tc>
      </w:tr>
      <w:tr>
        <w:trPr>
          <w:trHeight w:val="193"/>
        </w:trPr>
        <w:tc>
          <w:tcPr>
            <w:tcW w:w="20" w:type="dxa"/>
            <w:vAlign w:val="bottom"/>
          </w:tcPr>
          <w:p>
            <w:pPr>
              <w:spacing w:after="0"/>
              <w:rPr>
                <w:sz w:val="16"/>
                <w:szCs w:val="16"/>
                <w:color w:val="auto"/>
              </w:rPr>
            </w:pPr>
          </w:p>
        </w:tc>
        <w:tc>
          <w:tcPr>
            <w:tcW w:w="5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Average number of common shares and common stock equivalents</w:t>
            </w:r>
          </w:p>
        </w:tc>
        <w:tc>
          <w:tcPr>
            <w:tcW w:w="4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outstanding</w:t>
            </w:r>
          </w:p>
        </w:tc>
        <w:tc>
          <w:tcPr>
            <w:tcW w:w="17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10,879,388</w:t>
            </w:r>
          </w:p>
        </w:tc>
        <w:tc>
          <w:tcPr>
            <w:tcW w:w="200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10,771,410</w:t>
            </w:r>
          </w:p>
        </w:tc>
        <w:tc>
          <w:tcPr>
            <w:tcW w:w="190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10,757,110</w:t>
            </w: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01"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18"/>
          <w:szCs w:val="18"/>
          <w:color w:val="auto"/>
        </w:rPr>
        <w:t>For fiscal 2004 and 2002 there were no options outstanding to purchase shares of common stock excluded from the calculation of diluted earnings per share because of antidilution. For fiscal 2003, there was an immaterial number of options outstanding to purchase shares of common stock excluded from the calculation of diluted earnings per share because of antidilution.</w:t>
      </w:r>
    </w:p>
    <w:p>
      <w:pPr>
        <w:spacing w:after="0" w:line="177" w:lineRule="exact"/>
        <w:rPr>
          <w:sz w:val="20"/>
          <w:szCs w:val="20"/>
          <w:color w:val="auto"/>
        </w:rPr>
      </w:pPr>
    </w:p>
    <w:p>
      <w:pPr>
        <w:ind w:left="940" w:hanging="714"/>
        <w:spacing w:after="0"/>
        <w:tabs>
          <w:tab w:leader="none" w:pos="940" w:val="left"/>
        </w:tabs>
        <w:numPr>
          <w:ilvl w:val="0"/>
          <w:numId w:val="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Advertising</w:t>
      </w:r>
    </w:p>
    <w:p>
      <w:pPr>
        <w:spacing w:after="0" w:line="60"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color w:val="auto"/>
        </w:rPr>
        <w:t>The Company expenses all advertising expenditures as incurred. Advertising expense for fiscal 2004, 2003 and 2002 was $1,164,701, $905,872 and $618,051, respectively.</w:t>
      </w:r>
    </w:p>
    <w:p>
      <w:pPr>
        <w:spacing w:after="0" w:line="166" w:lineRule="exact"/>
        <w:rPr>
          <w:sz w:val="20"/>
          <w:szCs w:val="20"/>
          <w:color w:val="auto"/>
        </w:rPr>
      </w:pPr>
    </w:p>
    <w:p>
      <w:pPr>
        <w:ind w:left="1040" w:hanging="814"/>
        <w:spacing w:after="0"/>
        <w:tabs>
          <w:tab w:leader="none" w:pos="104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Leases</w:t>
      </w:r>
    </w:p>
    <w:p>
      <w:pPr>
        <w:spacing w:after="0" w:line="58"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 xml:space="preserve">We account for our store leases in accordance with SFAS No. 13, </w:t>
      </w:r>
      <w:r>
        <w:rPr>
          <w:rFonts w:ascii="Times New Roman" w:cs="Times New Roman" w:eastAsia="Times New Roman" w:hAnsi="Times New Roman"/>
          <w:sz w:val="18"/>
          <w:szCs w:val="18"/>
          <w:i w:val="1"/>
          <w:iCs w:val="1"/>
          <w:color w:val="auto"/>
        </w:rPr>
        <w:t>Accounting for Leases</w:t>
      </w:r>
      <w:r>
        <w:rPr>
          <w:rFonts w:ascii="Times New Roman" w:cs="Times New Roman" w:eastAsia="Times New Roman" w:hAnsi="Times New Roman"/>
          <w:sz w:val="18"/>
          <w:szCs w:val="18"/>
          <w:color w:val="auto"/>
        </w:rPr>
        <w:t xml:space="preserve"> and other authoritative guidance. Rent expense for operating leases, which have escalating rentals over the term of the lease, is recognized on a straight-line basis over the initial term.</w:t>
      </w:r>
    </w:p>
    <w:p>
      <w:pPr>
        <w:spacing w:after="0" w:line="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Certain of our leases contain tenant improvement allowances, rent holidays, rent escalation clauses and/or contingent rent provisions. Incentives, rent holidays and minimum rental expenses are recognized on a straight-line basis over the term of the lease based on the date of initial possession, which is generally the date the property is available to the Company to make improvements in preparation of its intended use.</w:t>
      </w:r>
    </w:p>
    <w:p>
      <w:pPr>
        <w:spacing w:after="0" w:line="73"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color w:val="auto"/>
        </w:rPr>
        <w:t>For tenant improvement allowances, we record a deferred rent liability on the balance sheet and amortize the deferred rent over the term of the lease as a reduction to rent expense.</w:t>
      </w:r>
    </w:p>
    <w:p>
      <w:pPr>
        <w:spacing w:after="0" w:line="166" w:lineRule="exact"/>
        <w:rPr>
          <w:sz w:val="20"/>
          <w:szCs w:val="20"/>
          <w:color w:val="auto"/>
        </w:rPr>
      </w:pPr>
    </w:p>
    <w:p>
      <w:pPr>
        <w:ind w:left="940" w:hanging="714"/>
        <w:spacing w:after="0"/>
        <w:tabs>
          <w:tab w:leader="none" w:pos="940" w:val="left"/>
        </w:tabs>
        <w:numPr>
          <w:ilvl w:val="0"/>
          <w:numId w:val="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Store Opening and Closing Costs</w:t>
      </w:r>
    </w:p>
    <w:p>
      <w:pPr>
        <w:spacing w:after="0" w:line="60" w:lineRule="exact"/>
        <w:rPr>
          <w:sz w:val="20"/>
          <w:szCs w:val="20"/>
          <w:color w:val="auto"/>
        </w:rPr>
      </w:pPr>
    </w:p>
    <w:p>
      <w:pPr>
        <w:ind w:right="420"/>
        <w:spacing w:after="0" w:line="301" w:lineRule="auto"/>
        <w:rPr>
          <w:sz w:val="20"/>
          <w:szCs w:val="20"/>
          <w:color w:val="auto"/>
        </w:rPr>
      </w:pPr>
      <w:r>
        <w:rPr>
          <w:rFonts w:ascii="Times New Roman" w:cs="Times New Roman" w:eastAsia="Times New Roman" w:hAnsi="Times New Roman"/>
          <w:sz w:val="17"/>
          <w:szCs w:val="17"/>
          <w:color w:val="auto"/>
        </w:rPr>
        <w:t>New and relocated store opening costs are charged directly to expense when incurred. When the Company decides to close or relocate a store, the Company records an expense for the present value of expected future rent payments, net of sublease income, in the period that a store closes or relocates.</w:t>
      </w:r>
    </w:p>
    <w:p>
      <w:pPr>
        <w:spacing w:after="0" w:line="143" w:lineRule="exact"/>
        <w:rPr>
          <w:sz w:val="20"/>
          <w:szCs w:val="20"/>
          <w:color w:val="auto"/>
        </w:rPr>
      </w:pPr>
    </w:p>
    <w:p>
      <w:pPr>
        <w:ind w:left="940" w:hanging="714"/>
        <w:spacing w:after="0"/>
        <w:tabs>
          <w:tab w:leader="none" w:pos="94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Income Taxes</w:t>
      </w:r>
    </w:p>
    <w:p>
      <w:pPr>
        <w:spacing w:after="0" w:line="6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200" w:lineRule="exact"/>
        <w:rPr>
          <w:sz w:val="20"/>
          <w:szCs w:val="20"/>
          <w:color w:val="auto"/>
        </w:rPr>
      </w:pPr>
    </w:p>
    <w:p>
      <w:pPr>
        <w:spacing w:after="0" w:line="203" w:lineRule="exact"/>
        <w:rPr>
          <w:sz w:val="20"/>
          <w:szCs w:val="20"/>
          <w:color w:val="auto"/>
        </w:rPr>
      </w:pPr>
    </w:p>
    <w:p>
      <w:pPr>
        <w:ind w:left="940" w:hanging="714"/>
        <w:spacing w:after="0"/>
        <w:tabs>
          <w:tab w:leader="none" w:pos="94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Use of Estimates</w:t>
      </w:r>
    </w:p>
    <w:p>
      <w:pPr>
        <w:spacing w:after="0" w:line="6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77" w:lineRule="exact"/>
        <w:rPr>
          <w:sz w:val="20"/>
          <w:szCs w:val="20"/>
          <w:color w:val="auto"/>
        </w:rPr>
      </w:pPr>
    </w:p>
    <w:p>
      <w:pPr>
        <w:ind w:left="940" w:hanging="714"/>
        <w:spacing w:after="0"/>
        <w:tabs>
          <w:tab w:leader="none" w:pos="94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Reporting Segments</w:t>
      </w:r>
    </w:p>
    <w:p>
      <w:pPr>
        <w:spacing w:after="0" w:line="60"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The Company is a value-priced retailer of urban fashion apparel and accessories for the entire family. The Company’s chief operating decision maker reviews performance and the allocation of resources on a store by store basis. Because the Company operates one business activity and the level of review by the Company’s chief operating decision maker is on a store by store basis, the Company has determined that its operations are within one reportable segment. Accordingly, financial information on industry segments is omitted. All sales are to customers and assets are located within the United States.</w:t>
      </w:r>
    </w:p>
    <w:p>
      <w:pPr>
        <w:spacing w:after="0" w:line="184" w:lineRule="exact"/>
        <w:rPr>
          <w:sz w:val="20"/>
          <w:szCs w:val="20"/>
          <w:color w:val="auto"/>
        </w:rPr>
      </w:pPr>
    </w:p>
    <w:p>
      <w:pPr>
        <w:ind w:left="940" w:hanging="714"/>
        <w:spacing w:after="0"/>
        <w:tabs>
          <w:tab w:leader="none" w:pos="94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Comprehensive Income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components of other comprehensive income for fiscal 2004, 2003 and 2002.</w:t>
      </w:r>
    </w:p>
    <w:p>
      <w:pPr>
        <w:spacing w:after="0" w:line="214" w:lineRule="exact"/>
        <w:rPr>
          <w:sz w:val="20"/>
          <w:szCs w:val="20"/>
          <w:color w:val="auto"/>
        </w:rPr>
      </w:pPr>
    </w:p>
    <w:p>
      <w:pPr>
        <w:ind w:left="940" w:hanging="714"/>
        <w:spacing w:after="0"/>
        <w:tabs>
          <w:tab w:leader="none" w:pos="94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Recently Issued Accounting Standards Not Currently Effective</w:t>
      </w:r>
    </w:p>
    <w:p>
      <w:pPr>
        <w:spacing w:after="0" w:line="5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 xml:space="preserve">In December 2004, the FASB issued SFAS No. 123 (revised 2004), </w:t>
      </w:r>
      <w:r>
        <w:rPr>
          <w:rFonts w:ascii="Times New Roman" w:cs="Times New Roman" w:eastAsia="Times New Roman" w:hAnsi="Times New Roman"/>
          <w:sz w:val="17"/>
          <w:szCs w:val="17"/>
          <w:i w:val="1"/>
          <w:iCs w:val="1"/>
          <w:color w:val="auto"/>
        </w:rPr>
        <w:t>Share-Based Payment.</w:t>
      </w:r>
      <w:r>
        <w:rPr>
          <w:rFonts w:ascii="Times New Roman" w:cs="Times New Roman" w:eastAsia="Times New Roman" w:hAnsi="Times New Roman"/>
          <w:sz w:val="17"/>
          <w:szCs w:val="17"/>
          <w:color w:val="auto"/>
        </w:rPr>
        <w:t xml:space="preserve"> SFAS No. 123R establishes standards for the accounting for transactions in which an entity exchanges its equity instruments for goods and services. SFAS No. 123R focuses primarily on accounting for transactions in which an entity obtains employee services in share-based payment transactions. Under SFAS No. 123R, the Company, beginning in the third quarter of 2005, will be required to measure the cost of employee services received in exchange for an award of equity instruments based on the grant date fair value of the award (with limited exceptions). The cost will be recognized over the period during which an employee is required to provide services in exchange for the award.</w:t>
      </w:r>
    </w:p>
    <w:p>
      <w:pPr>
        <w:spacing w:after="0" w:line="1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Currently, the Company discloses the estimated effect on net income of these share-based payments in the notes to the financial statements. The estimated fair value (cost) of the share-based payments has historically been determined using the Black-Scholes pricing model. As of the date of this report, the Company had not calculated the cost of share-based payments using the various other methods allowed by SFAS No. 123R and has not yet decided on the method to be used upon implementation of this standard. The actual compensation cost resulting from share-based payments to be included in the Company’s future results of operations may vary significantly from the amounts currently disclosed in the notes to the financial statements.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7060" w:type="dxa"/>
            <w:vAlign w:val="bottom"/>
            <w:gridSpan w:val="2"/>
          </w:tcPr>
          <w:p>
            <w:pPr>
              <w:jc w:val="right"/>
              <w:ind w:right="47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17"/>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property and equipment at January 29, 2005 and January 31, 2004 are as follows: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320" w:type="dxa"/>
            <w:vAlign w:val="bottom"/>
          </w:tcPr>
          <w:p>
            <w:pPr>
              <w:spacing w:after="0"/>
              <w:rPr>
                <w:sz w:val="20"/>
                <w:szCs w:val="20"/>
                <w:color w:val="auto"/>
              </w:rPr>
            </w:pPr>
          </w:p>
        </w:tc>
        <w:tc>
          <w:tcPr>
            <w:tcW w:w="20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7"/>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2004</w:t>
            </w:r>
          </w:p>
        </w:tc>
        <w:tc>
          <w:tcPr>
            <w:tcW w:w="600" w:type="dxa"/>
            <w:vAlign w:val="bottom"/>
            <w:tcBorders>
              <w:bottom w:val="single" w:sz="8" w:color="auto"/>
            </w:tcBorders>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810,000</w:t>
            </w:r>
          </w:p>
        </w:tc>
        <w:tc>
          <w:tcPr>
            <w:tcW w:w="6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810,000</w:t>
            </w:r>
          </w:p>
        </w:tc>
      </w:tr>
      <w:tr>
        <w:trPr>
          <w:trHeight w:val="212"/>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1,340,000</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1,340,000</w:t>
            </w:r>
          </w:p>
        </w:tc>
        <w:tc>
          <w:tcPr>
            <w:tcW w:w="6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12,134,815</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8,885,163</w:t>
            </w:r>
          </w:p>
        </w:tc>
        <w:tc>
          <w:tcPr>
            <w:tcW w:w="60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13,660,714</w:t>
            </w: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9,000,105</w:t>
            </w:r>
          </w:p>
        </w:tc>
        <w:tc>
          <w:tcPr>
            <w:tcW w:w="6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6,535,924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4,823,922</w:t>
            </w:r>
          </w:p>
        </w:tc>
        <w:tc>
          <w:tcPr>
            <w:tcW w:w="60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34,481,453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24,859,190</w:t>
            </w:r>
          </w:p>
        </w:tc>
        <w:tc>
          <w:tcPr>
            <w:tcW w:w="6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16,907,686</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w w:val="93"/>
              </w:rPr>
              <w:t>12,109,589</w:t>
            </w:r>
          </w:p>
        </w:tc>
      </w:tr>
      <w:tr>
        <w:trPr>
          <w:trHeight w:val="218"/>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17,573,767</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12,749,601</w:t>
            </w:r>
          </w:p>
        </w:tc>
        <w:tc>
          <w:tcPr>
            <w:tcW w:w="6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0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Depreciation expense for fiscal 2004, 2003 and 2002 was $4,848,537, $4,011,456 and $2,999,666, respectively. Computer equipment held under capital leases and related accumulated depreciation was $4,466,372 and $3,103,821, respectively, at January 29, 2005 and $3,373,409 and $2,448,245, respectively, at January 31, 2004.</w:t>
      </w:r>
    </w:p>
    <w:p>
      <w:pPr>
        <w:spacing w:after="0" w:line="177" w:lineRule="exact"/>
        <w:rPr>
          <w:sz w:val="20"/>
          <w:szCs w:val="20"/>
          <w:color w:val="auto"/>
        </w:rPr>
      </w:pPr>
    </w:p>
    <w:p>
      <w:pPr>
        <w:ind w:left="580" w:hanging="574"/>
        <w:spacing w:after="0"/>
        <w:tabs>
          <w:tab w:leader="none" w:pos="5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Revolving Lines of Credit</w:t>
      </w:r>
    </w:p>
    <w:p>
      <w:pPr>
        <w:spacing w:after="0" w:line="11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The Company has a revolving line of credit secured by substantially all of the Company’s assets pursuant to which the Company pays customary fees. This secured line of credit expires in April 2007. At January 29, 2005, the line of credit provided for aggregate cash borrowings and the issuance of letters of credit up to the lesser of $25,000,000 or the Company’s borrowing base (approximately $23,500,000 at January 29, 2005), as defined in the credit agreement. Borrowings under this secured line of credit bear interest at either the prime rate or the Eurodollar rate plus 2.25%, at the Company’s election, based on conditions in the credit agreement. Additionally, there is a letter of credit fee of 1.25% per annum on the outstanding balance of letters of credit. At January 29, 2005, there were no outstanding borrowings on the revolving line of credit, nor were there any outstanding letters of credit. Under the terms of the credit agreement, the Company is required to maintain a minimum tangible net worth. The Company was in compliance with this requirement at January 29, 2005.</w:t>
      </w:r>
    </w:p>
    <w:p>
      <w:pPr>
        <w:spacing w:after="0" w:line="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September 2003, the Company entered into an annual unsecured revolving line of credit with Bank of America that expires in June 2005. At January 29, 2005, the line of credit provided for aggregate cash borrowings up to $3,000,000. Borrowings under the credit agreement bear interest at the London Interbank Offered Rate (“LIBOR”) plus 2.00%. At January 29, 2005, there were no outstanding borrowings on the unsecured revolving line of credit.</w:t>
      </w:r>
    </w:p>
    <w:p>
      <w:pPr>
        <w:spacing w:after="0" w:line="73"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color w:val="auto"/>
        </w:rPr>
        <w:t>The Company borrows funds under these revolving lines of credit from time to time and subsequently repays such borrowings with available cash generated from operations.</w:t>
      </w:r>
    </w:p>
    <w:p>
      <w:pPr>
        <w:spacing w:after="0" w:line="166" w:lineRule="exact"/>
        <w:rPr>
          <w:sz w:val="20"/>
          <w:szCs w:val="20"/>
          <w:color w:val="auto"/>
        </w:rPr>
      </w:pPr>
    </w:p>
    <w:p>
      <w:pPr>
        <w:ind w:left="580" w:hanging="574"/>
        <w:spacing w:after="0"/>
        <w:tabs>
          <w:tab w:leader="none" w:pos="5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and Capital Lease Obligations</w:t>
      </w:r>
    </w:p>
    <w:p>
      <w:pPr>
        <w:spacing w:after="0" w:line="111"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Capital Leases. </w:t>
      </w:r>
      <w:r>
        <w:rPr>
          <w:rFonts w:ascii="Times New Roman" w:cs="Times New Roman" w:eastAsia="Times New Roman" w:hAnsi="Times New Roman"/>
          <w:sz w:val="18"/>
          <w:szCs w:val="18"/>
          <w:color w:val="auto"/>
        </w:rPr>
        <w:t>The Company has capital lease obligations that finance the purchase of its computer equipment. These obligations have maturity dates ranging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March 2005 to December 2007. The interest rates on these obligations range from 7.2% to 11.5%. All of these obligations are secured by the computer equipment.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29, 2005 and January 31, 2004, long-term debt and capital lease obligations consist of the following: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January 29,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2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gridSpan w:val="2"/>
          </w:tcPr>
          <w:p>
            <w:pPr>
              <w:spacing w:after="0"/>
              <w:rPr>
                <w:sz w:val="15"/>
                <w:szCs w:val="15"/>
                <w:color w:val="auto"/>
              </w:rPr>
            </w:pPr>
          </w:p>
        </w:tc>
        <w:tc>
          <w:tcPr>
            <w:tcW w:w="13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Mortgage payable issued to finance purchase of land and building; payable in monthly</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installments of $14,913, including interest, through June 2007 with a balloon payment of</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$1,303,412 due July 2007; interest at a fixed rate of 6.80%; secured by land and building</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$1,496,121</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$1,569,064</w:t>
            </w: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Non-negotiable three year junior subordinated note payable on September 30, 2007 issued in</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exchange for 600 shares of common stock</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108,942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2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Capital lease obligations issued to finance purchase of computer equipment; payable in</w:t>
            </w: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monthly installments averaging approximately $68,092, $45,357 and $15,889 in 2005,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2006 and 2007, with maturity dates ranging from March 2005 to December 2007; interest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 rates ranging from 7.2% to 11.5%; secured by computer equipment</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1,406,898</w:t>
            </w: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1,061,214</w:t>
            </w: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3,011,961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2,630,278</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 and capital lease obligations</w:t>
            </w:r>
          </w:p>
        </w:tc>
        <w:tc>
          <w:tcPr>
            <w:tcW w:w="13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797,378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gridSpan w:val="7"/>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641,429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2,214,583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ind w:left="94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1,988,849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w w:val="98"/>
              </w:rPr>
              <w:t>As of January 31, 2004, annual long-term debt and capital lease obligation maturities are as follows:</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7140" w:type="dxa"/>
            <w:vAlign w:val="bottom"/>
            <w:gridSpan w:val="4"/>
            <w:vMerge w:val="continue"/>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2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00" w:type="dxa"/>
            <w:vAlign w:val="bottom"/>
            <w:gridSpan w:val="2"/>
            <w:vMerge w:val="restart"/>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Capital Lease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20" w:type="dxa"/>
            <w:vAlign w:val="bottom"/>
            <w:tcBorders>
              <w:bottom w:val="single" w:sz="8" w:color="auto"/>
            </w:tcBorders>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Debt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6"/>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78,953</w:t>
            </w:r>
          </w:p>
        </w:tc>
        <w:tc>
          <w:tcPr>
            <w:tcW w:w="100" w:type="dxa"/>
            <w:vAlign w:val="bottom"/>
            <w:shd w:val="clear" w:color="auto" w:fill="CCEEFF"/>
          </w:tcPr>
          <w:p>
            <w:pPr>
              <w:spacing w:after="0"/>
              <w:rPr>
                <w:sz w:val="18"/>
                <w:szCs w:val="18"/>
                <w:color w:val="auto"/>
              </w:rPr>
            </w:pPr>
          </w:p>
        </w:tc>
        <w:tc>
          <w:tcPr>
            <w:tcW w:w="174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801,112</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6"/>
          </w:tcPr>
          <w:p>
            <w:pPr>
              <w:jc w:val="right"/>
              <w:ind w:right="520"/>
              <w:spacing w:after="0"/>
              <w:rPr>
                <w:sz w:val="20"/>
                <w:szCs w:val="20"/>
                <w:color w:val="auto"/>
              </w:rPr>
            </w:pPr>
            <w:r>
              <w:rPr>
                <w:rFonts w:ascii="Times New Roman" w:cs="Times New Roman" w:eastAsia="Times New Roman" w:hAnsi="Times New Roman"/>
                <w:sz w:val="18"/>
                <w:szCs w:val="18"/>
                <w:color w:val="auto"/>
              </w:rPr>
              <w:t>85,984</w:t>
            </w:r>
          </w:p>
        </w:tc>
        <w:tc>
          <w:tcPr>
            <w:tcW w:w="100" w:type="dxa"/>
            <w:vAlign w:val="bottom"/>
          </w:tcPr>
          <w:p>
            <w:pPr>
              <w:spacing w:after="0"/>
              <w:rPr>
                <w:sz w:val="18"/>
                <w:szCs w:val="18"/>
                <w:color w:val="auto"/>
              </w:rPr>
            </w:pPr>
          </w:p>
        </w:tc>
        <w:tc>
          <w:tcPr>
            <w:tcW w:w="16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544,278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1,440,126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182,639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1,605,063</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1,528,029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portion attributable to future interest payments (at rates ranging from 7.2% to 11.5%)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5"/>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(121,131)</w:t>
            </w: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1,605,063</w:t>
            </w:r>
          </w:p>
        </w:tc>
        <w:tc>
          <w:tcPr>
            <w:tcW w:w="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1,406,898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8"/>
              </w:rPr>
              <w:t>The provision for income taxes for fiscal 2004, 2003 and 2002 consists of the following:</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48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2003</w:t>
            </w:r>
          </w:p>
        </w:tc>
        <w:tc>
          <w:tcPr>
            <w:tcW w:w="48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2002</w:t>
            </w:r>
          </w:p>
        </w:tc>
        <w:tc>
          <w:tcPr>
            <w:tcW w:w="3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1300" w:type="dxa"/>
            <w:vAlign w:val="bottom"/>
            <w:gridSpan w:val="3"/>
          </w:tcPr>
          <w:p>
            <w:pPr>
              <w:jc w:val="right"/>
              <w:ind w:right="403"/>
              <w:spacing w:after="0"/>
              <w:rPr>
                <w:sz w:val="20"/>
                <w:szCs w:val="20"/>
                <w:color w:val="auto"/>
              </w:rPr>
            </w:pPr>
            <w:r>
              <w:rPr>
                <w:rFonts w:ascii="Times New Roman" w:cs="Times New Roman" w:eastAsia="Times New Roman" w:hAnsi="Times New Roman"/>
                <w:sz w:val="18"/>
                <w:szCs w:val="18"/>
                <w:color w:val="auto"/>
                <w:w w:val="98"/>
              </w:rPr>
              <w:t>$3,910,115</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$2,987,496</w:t>
            </w:r>
          </w:p>
        </w:tc>
        <w:tc>
          <w:tcPr>
            <w:tcW w:w="480" w:type="dxa"/>
            <w:vAlign w:val="bottom"/>
          </w:tcPr>
          <w:p>
            <w:pPr>
              <w:spacing w:after="0"/>
              <w:rPr>
                <w:sz w:val="18"/>
                <w:szCs w:val="18"/>
                <w:color w:val="auto"/>
              </w:rPr>
            </w:pPr>
          </w:p>
        </w:tc>
        <w:tc>
          <w:tcPr>
            <w:tcW w:w="18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$2,136,445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1300" w:type="dxa"/>
            <w:vAlign w:val="bottom"/>
            <w:gridSpan w:val="3"/>
            <w:shd w:val="clear" w:color="auto" w:fill="CCEEFF"/>
          </w:tcPr>
          <w:p>
            <w:pPr>
              <w:jc w:val="right"/>
              <w:ind w:right="403"/>
              <w:spacing w:after="0"/>
              <w:rPr>
                <w:sz w:val="20"/>
                <w:szCs w:val="20"/>
                <w:color w:val="auto"/>
              </w:rPr>
            </w:pPr>
            <w:r>
              <w:rPr>
                <w:rFonts w:ascii="Times New Roman" w:cs="Times New Roman" w:eastAsia="Times New Roman" w:hAnsi="Times New Roman"/>
                <w:sz w:val="18"/>
                <w:szCs w:val="18"/>
                <w:color w:val="auto"/>
              </w:rPr>
              <w:t>764,726</w:t>
            </w:r>
          </w:p>
        </w:tc>
        <w:tc>
          <w:tcPr>
            <w:tcW w:w="196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577,535</w:t>
            </w:r>
          </w:p>
        </w:tc>
        <w:tc>
          <w:tcPr>
            <w:tcW w:w="18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423,050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4,674,841</w:t>
            </w:r>
          </w:p>
        </w:tc>
        <w:tc>
          <w:tcPr>
            <w:tcW w:w="4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3,565,031</w:t>
            </w:r>
          </w:p>
        </w:tc>
        <w:tc>
          <w:tcPr>
            <w:tcW w:w="4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2,559,495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Federal</w:t>
            </w:r>
          </w:p>
        </w:tc>
        <w:tc>
          <w:tcPr>
            <w:tcW w:w="1300" w:type="dxa"/>
            <w:vAlign w:val="bottom"/>
            <w:gridSpan w:val="3"/>
          </w:tcPr>
          <w:p>
            <w:pPr>
              <w:jc w:val="right"/>
              <w:ind w:right="343"/>
              <w:spacing w:after="0"/>
              <w:rPr>
                <w:sz w:val="20"/>
                <w:szCs w:val="20"/>
                <w:color w:val="auto"/>
              </w:rPr>
            </w:pPr>
            <w:r>
              <w:rPr>
                <w:rFonts w:ascii="Times New Roman" w:cs="Times New Roman" w:eastAsia="Times New Roman" w:hAnsi="Times New Roman"/>
                <w:sz w:val="18"/>
                <w:szCs w:val="18"/>
                <w:color w:val="auto"/>
              </w:rPr>
              <w:t>(104,170)</w:t>
            </w:r>
          </w:p>
        </w:tc>
        <w:tc>
          <w:tcPr>
            <w:tcW w:w="19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135,658</w:t>
            </w:r>
          </w:p>
        </w:tc>
        <w:tc>
          <w:tcPr>
            <w:tcW w:w="18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465,423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w:t>
            </w:r>
          </w:p>
        </w:tc>
        <w:tc>
          <w:tcPr>
            <w:tcW w:w="1300" w:type="dxa"/>
            <w:vAlign w:val="bottom"/>
            <w:gridSpan w:val="3"/>
            <w:shd w:val="clear" w:color="auto" w:fill="CCEEFF"/>
          </w:tcPr>
          <w:p>
            <w:pPr>
              <w:jc w:val="right"/>
              <w:ind w:right="343"/>
              <w:spacing w:after="0"/>
              <w:rPr>
                <w:sz w:val="20"/>
                <w:szCs w:val="20"/>
                <w:color w:val="auto"/>
              </w:rPr>
            </w:pPr>
            <w:r>
              <w:rPr>
                <w:rFonts w:ascii="Times New Roman" w:cs="Times New Roman" w:eastAsia="Times New Roman" w:hAnsi="Times New Roman"/>
                <w:sz w:val="18"/>
                <w:szCs w:val="18"/>
                <w:color w:val="auto"/>
              </w:rPr>
              <w:t>(19,671)</w:t>
            </w:r>
          </w:p>
        </w:tc>
        <w:tc>
          <w:tcPr>
            <w:tcW w:w="196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26,225</w:t>
            </w:r>
          </w:p>
        </w:tc>
        <w:tc>
          <w:tcPr>
            <w:tcW w:w="18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76,319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(123,841</w:t>
            </w:r>
          </w:p>
        </w:tc>
        <w:tc>
          <w:tcPr>
            <w:tcW w:w="480" w:type="dxa"/>
            <w:vAlign w:val="bottom"/>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161,883</w:t>
            </w:r>
          </w:p>
        </w:tc>
        <w:tc>
          <w:tcPr>
            <w:tcW w:w="480" w:type="dxa"/>
            <w:vAlign w:val="bottom"/>
          </w:tcPr>
          <w:p>
            <w:pPr>
              <w:spacing w:after="0"/>
              <w:rPr>
                <w:sz w:val="19"/>
                <w:szCs w:val="19"/>
                <w:color w:val="auto"/>
              </w:rPr>
            </w:pPr>
          </w:p>
        </w:tc>
        <w:tc>
          <w:tcPr>
            <w:tcW w:w="78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541,742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3"/>
              <w:spacing w:after="0"/>
              <w:rPr>
                <w:sz w:val="20"/>
                <w:szCs w:val="20"/>
                <w:color w:val="auto"/>
              </w:rPr>
            </w:pPr>
            <w:r>
              <w:rPr>
                <w:rFonts w:ascii="Times New Roman" w:cs="Times New Roman" w:eastAsia="Times New Roman" w:hAnsi="Times New Roman"/>
                <w:sz w:val="18"/>
                <w:szCs w:val="18"/>
                <w:color w:val="auto"/>
                <w:w w:val="98"/>
              </w:rPr>
              <w:t>$4,551,000</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$3,726,914</w:t>
            </w:r>
          </w:p>
        </w:tc>
        <w:tc>
          <w:tcPr>
            <w:tcW w:w="48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$3,101,237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40" w:type="dxa"/>
            <w:vAlign w:val="bottom"/>
            <w:gridSpan w:val="2"/>
            <w:vMerge w:val="restart"/>
          </w:tcPr>
          <w:p>
            <w:pPr>
              <w:ind w:left="5300"/>
              <w:spacing w:after="0"/>
              <w:rPr>
                <w:sz w:val="20"/>
                <w:szCs w:val="20"/>
                <w:color w:val="auto"/>
              </w:rPr>
            </w:pPr>
            <w:r>
              <w:rPr>
                <w:rFonts w:ascii="Times New Roman" w:cs="Times New Roman" w:eastAsia="Times New Roman" w:hAnsi="Times New Roman"/>
                <w:sz w:val="18"/>
                <w:szCs w:val="18"/>
                <w:color w:val="auto"/>
              </w:rPr>
              <w:t>F-13</w:t>
            </w: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computed using the federal statutory rate is reconciled to the reported income tax expense as follows for fiscal 2004, 2003 and 2002: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200" w:type="dxa"/>
            <w:vAlign w:val="bottom"/>
            <w:tcBorders>
              <w:bottom w:val="single" w:sz="8" w:color="auto"/>
            </w:tcBorders>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gridSpan w:val="2"/>
          </w:tcPr>
          <w:p>
            <w:pPr>
              <w:spacing w:after="0"/>
              <w:rPr>
                <w:sz w:val="15"/>
                <w:szCs w:val="15"/>
                <w:color w:val="auto"/>
              </w:rPr>
            </w:pPr>
          </w:p>
        </w:tc>
        <w:tc>
          <w:tcPr>
            <w:tcW w:w="118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2002</w:t>
            </w: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 applied to income before income taxes</w:t>
            </w:r>
          </w:p>
        </w:tc>
        <w:tc>
          <w:tcPr>
            <w:tcW w:w="1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$4,014,803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$3,279,252</w:t>
            </w:r>
          </w:p>
        </w:tc>
        <w:tc>
          <w:tcPr>
            <w:tcW w:w="480" w:type="dxa"/>
            <w:vAlign w:val="bottom"/>
            <w:shd w:val="clear" w:color="auto" w:fill="CCEEFF"/>
          </w:tcPr>
          <w:p>
            <w:pPr>
              <w:spacing w:after="0"/>
              <w:rPr>
                <w:sz w:val="18"/>
                <w:szCs w:val="18"/>
                <w:color w:val="auto"/>
              </w:rPr>
            </w:pPr>
          </w:p>
        </w:tc>
        <w:tc>
          <w:tcPr>
            <w:tcW w:w="1880" w:type="dxa"/>
            <w:vAlign w:val="bottom"/>
            <w:gridSpan w:val="8"/>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$2,763,881</w:t>
            </w: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491,736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385,794</w:t>
            </w:r>
          </w:p>
        </w:tc>
        <w:tc>
          <w:tcPr>
            <w:tcW w:w="1880" w:type="dxa"/>
            <w:vAlign w:val="bottom"/>
            <w:gridSpan w:val="8"/>
          </w:tcPr>
          <w:p>
            <w:pPr>
              <w:jc w:val="right"/>
              <w:ind w:right="380"/>
              <w:spacing w:after="0"/>
              <w:rPr>
                <w:sz w:val="20"/>
                <w:szCs w:val="20"/>
                <w:color w:val="auto"/>
              </w:rPr>
            </w:pPr>
            <w:r>
              <w:rPr>
                <w:rFonts w:ascii="Times New Roman" w:cs="Times New Roman" w:eastAsia="Times New Roman" w:hAnsi="Times New Roman"/>
                <w:sz w:val="18"/>
                <w:szCs w:val="18"/>
                <w:color w:val="auto"/>
              </w:rPr>
              <w:t>329,584</w:t>
            </w: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business credits</w:t>
            </w:r>
          </w:p>
        </w:tc>
        <w:tc>
          <w:tcPr>
            <w:tcW w:w="15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(182,000)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(161,023)</w:t>
            </w:r>
          </w:p>
        </w:tc>
        <w:tc>
          <w:tcPr>
            <w:tcW w:w="1880" w:type="dxa"/>
            <w:vAlign w:val="bottom"/>
            <w:gridSpan w:val="8"/>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(117,004)</w:t>
            </w: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Dividends on preferred stock</w:t>
            </w:r>
          </w:p>
        </w:tc>
        <w:tc>
          <w:tcPr>
            <w:tcW w:w="15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110,313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66,240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116,148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156,651</w:t>
            </w:r>
          </w:p>
        </w:tc>
        <w:tc>
          <w:tcPr>
            <w:tcW w:w="1880" w:type="dxa"/>
            <w:vAlign w:val="bottom"/>
            <w:gridSpan w:val="8"/>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124,776</w:t>
            </w:r>
          </w:p>
        </w:tc>
      </w:tr>
      <w:tr>
        <w:trPr>
          <w:trHeight w:val="218"/>
        </w:trPr>
        <w:tc>
          <w:tcPr>
            <w:tcW w:w="20" w:type="dxa"/>
            <w:vAlign w:val="bottom"/>
          </w:tcPr>
          <w:p>
            <w:pPr>
              <w:spacing w:after="0"/>
              <w:rPr>
                <w:sz w:val="18"/>
                <w:szCs w:val="18"/>
                <w:color w:val="auto"/>
              </w:rPr>
            </w:pPr>
          </w:p>
        </w:tc>
        <w:tc>
          <w:tcPr>
            <w:tcW w:w="58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4,551,000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4"/>
              </w:rPr>
              <w:t>3,726,914</w:t>
            </w:r>
          </w:p>
        </w:tc>
        <w:tc>
          <w:tcPr>
            <w:tcW w:w="48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3,101,237</w:t>
            </w:r>
          </w:p>
        </w:tc>
        <w:tc>
          <w:tcPr>
            <w:tcW w:w="380" w:type="dxa"/>
            <w:vAlign w:val="bottom"/>
          </w:tcPr>
          <w:p>
            <w:pPr>
              <w:spacing w:after="0"/>
              <w:rPr>
                <w:sz w:val="18"/>
                <w:szCs w:val="18"/>
                <w:color w:val="auto"/>
              </w:rPr>
            </w:pPr>
          </w:p>
        </w:tc>
      </w:tr>
      <w:tr>
        <w:trPr>
          <w:trHeight w:val="20"/>
        </w:trPr>
        <w:tc>
          <w:tcPr>
            <w:tcW w:w="6380" w:type="dxa"/>
            <w:vAlign w:val="bottom"/>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23"/>
        </w:trPr>
        <w:tc>
          <w:tcPr>
            <w:tcW w:w="78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components of deferred tax assets and liabilities at January 29, 2005 and January 31, 2004 are as follows: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5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80" w:type="dxa"/>
            <w:vAlign w:val="bottom"/>
            <w:gridSpan w:val="6"/>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rent amortization</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518,531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$ 189,682</w:t>
            </w:r>
          </w:p>
        </w:tc>
        <w:tc>
          <w:tcPr>
            <w:tcW w:w="3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 capitalization</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850,156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572,515</w:t>
            </w:r>
          </w:p>
        </w:tc>
        <w:tc>
          <w:tcPr>
            <w:tcW w:w="3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Vacation liability</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177,333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61,750</w:t>
            </w:r>
          </w:p>
        </w:tc>
        <w:tc>
          <w:tcPr>
            <w:tcW w:w="3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 compensation</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171,477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129,071</w:t>
            </w:r>
          </w:p>
        </w:tc>
        <w:tc>
          <w:tcPr>
            <w:tcW w:w="38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56,000</w:t>
            </w:r>
          </w:p>
        </w:tc>
        <w:tc>
          <w:tcPr>
            <w:tcW w:w="480" w:type="dxa"/>
            <w:vAlign w:val="bottom"/>
          </w:tcPr>
          <w:p>
            <w:pPr>
              <w:spacing w:after="0"/>
              <w:rPr>
                <w:sz w:val="18"/>
                <w:szCs w:val="18"/>
                <w:color w:val="auto"/>
              </w:rPr>
            </w:pPr>
          </w:p>
        </w:tc>
        <w:tc>
          <w:tcPr>
            <w:tcW w:w="15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c>
          <w:tcPr>
            <w:tcW w:w="3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1,773,497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969,018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Book and tax depreciation differences</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(681,945)</w:t>
            </w:r>
          </w:p>
        </w:tc>
        <w:tc>
          <w:tcPr>
            <w:tcW w:w="480" w:type="dxa"/>
            <w:vAlign w:val="bottom"/>
            <w:shd w:val="clear" w:color="auto" w:fill="CCEEFF"/>
          </w:tcPr>
          <w:p>
            <w:pPr>
              <w:spacing w:after="0"/>
              <w:rPr>
                <w:sz w:val="18"/>
                <w:szCs w:val="18"/>
                <w:color w:val="auto"/>
              </w:rPr>
            </w:pPr>
          </w:p>
        </w:tc>
        <w:tc>
          <w:tcPr>
            <w:tcW w:w="1880" w:type="dxa"/>
            <w:vAlign w:val="bottom"/>
            <w:gridSpan w:val="8"/>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(188,881)</w:t>
            </w:r>
          </w:p>
        </w:tc>
      </w:tr>
      <w:tr>
        <w:trPr>
          <w:trHeight w:val="212"/>
        </w:trPr>
        <w:tc>
          <w:tcPr>
            <w:tcW w:w="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(462,832)</w:t>
            </w:r>
          </w:p>
        </w:tc>
        <w:tc>
          <w:tcPr>
            <w:tcW w:w="480" w:type="dxa"/>
            <w:vAlign w:val="bottom"/>
          </w:tcPr>
          <w:p>
            <w:pPr>
              <w:spacing w:after="0"/>
              <w:rPr>
                <w:sz w:val="18"/>
                <w:szCs w:val="18"/>
                <w:color w:val="auto"/>
              </w:rPr>
            </w:pPr>
          </w:p>
        </w:tc>
        <w:tc>
          <w:tcPr>
            <w:tcW w:w="188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color w:val="auto"/>
              </w:rPr>
              <w:t>(309,464)</w:t>
            </w: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(170,652)</w:t>
            </w:r>
          </w:p>
        </w:tc>
        <w:tc>
          <w:tcPr>
            <w:tcW w:w="480" w:type="dxa"/>
            <w:vAlign w:val="bottom"/>
            <w:shd w:val="clear" w:color="auto" w:fill="CCEEFF"/>
          </w:tcPr>
          <w:p>
            <w:pPr>
              <w:spacing w:after="0"/>
              <w:rPr>
                <w:sz w:val="18"/>
                <w:szCs w:val="18"/>
                <w:color w:val="auto"/>
              </w:rPr>
            </w:pPr>
          </w:p>
        </w:tc>
        <w:tc>
          <w:tcPr>
            <w:tcW w:w="1880" w:type="dxa"/>
            <w:vAlign w:val="bottom"/>
            <w:gridSpan w:val="8"/>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(129,612)</w:t>
            </w:r>
          </w:p>
        </w:tc>
      </w:tr>
      <w:tr>
        <w:trPr>
          <w:trHeight w:val="212"/>
        </w:trPr>
        <w:tc>
          <w:tcPr>
            <w:tcW w:w="20" w:type="dxa"/>
            <w:vAlign w:val="bottom"/>
          </w:tcPr>
          <w:p>
            <w:pPr>
              <w:spacing w:after="0"/>
              <w:rPr>
                <w:sz w:val="18"/>
                <w:szCs w:val="18"/>
                <w:color w:val="auto"/>
              </w:rPr>
            </w:pPr>
          </w:p>
        </w:tc>
        <w:tc>
          <w:tcPr>
            <w:tcW w:w="5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(137,068)</w:t>
            </w:r>
          </w:p>
        </w:tc>
        <w:tc>
          <w:tcPr>
            <w:tcW w:w="480" w:type="dxa"/>
            <w:vAlign w:val="bottom"/>
          </w:tcPr>
          <w:p>
            <w:pPr>
              <w:spacing w:after="0"/>
              <w:rPr>
                <w:sz w:val="18"/>
                <w:szCs w:val="18"/>
                <w:color w:val="auto"/>
              </w:rPr>
            </w:pPr>
          </w:p>
        </w:tc>
        <w:tc>
          <w:tcPr>
            <w:tcW w:w="188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color w:val="auto"/>
              </w:rPr>
              <w:t>(143,902)</w:t>
            </w:r>
          </w:p>
        </w:tc>
      </w:tr>
      <w:tr>
        <w:trPr>
          <w:trHeight w:val="26"/>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12"/>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(1,452,497)</w:t>
            </w:r>
          </w:p>
        </w:tc>
        <w:tc>
          <w:tcPr>
            <w:tcW w:w="480" w:type="dxa"/>
            <w:vAlign w:val="bottom"/>
            <w:shd w:val="clear" w:color="auto" w:fill="CCEEFF"/>
          </w:tcPr>
          <w:p>
            <w:pPr>
              <w:spacing w:after="0"/>
              <w:rPr>
                <w:sz w:val="18"/>
                <w:szCs w:val="18"/>
                <w:color w:val="auto"/>
              </w:rPr>
            </w:pPr>
          </w:p>
        </w:tc>
        <w:tc>
          <w:tcPr>
            <w:tcW w:w="1880" w:type="dxa"/>
            <w:vAlign w:val="bottom"/>
            <w:gridSpan w:val="8"/>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(771,859)</w:t>
            </w:r>
          </w:p>
        </w:tc>
      </w:tr>
      <w:tr>
        <w:trPr>
          <w:trHeight w:val="218"/>
        </w:trPr>
        <w:tc>
          <w:tcPr>
            <w:tcW w:w="20" w:type="dxa"/>
            <w:vAlign w:val="bottom"/>
          </w:tcPr>
          <w:p>
            <w:pPr>
              <w:spacing w:after="0"/>
              <w:rPr>
                <w:sz w:val="18"/>
                <w:szCs w:val="18"/>
                <w:color w:val="auto"/>
              </w:rPr>
            </w:pPr>
          </w:p>
        </w:tc>
        <w:tc>
          <w:tcPr>
            <w:tcW w:w="5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deferred tax asset</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197,159</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4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that the Company will realize the benefits of these deductible differences. As such, a valuation allowance for deferred tax assets was not considered necessary at January 29, 2005 and January 29, 2004.</w:t>
      </w:r>
    </w:p>
    <w:p>
      <w:pPr>
        <w:spacing w:after="0" w:line="170" w:lineRule="exact"/>
        <w:rPr>
          <w:sz w:val="20"/>
          <w:szCs w:val="20"/>
          <w:color w:val="auto"/>
        </w:rPr>
      </w:pPr>
    </w:p>
    <w:p>
      <w:pPr>
        <w:ind w:left="580" w:hanging="574"/>
        <w:spacing w:after="0"/>
        <w:tabs>
          <w:tab w:leader="none" w:pos="5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Shares Subject to Mandatory Redemption</w:t>
      </w:r>
    </w:p>
    <w:p>
      <w:pPr>
        <w:spacing w:after="0" w:line="6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Company’s Series A Preferred Stock is nonvoting and has liquidation and dividend preferences over the common stock. All outstanding shares of Series A Preferred Stock can be redeemed by the Company with board of director approval, and must be redeemed by April 2009 or earlier in the event of a change in control or the liquidation of the Company, at a price of $1,000 per share, plus accrued dividends. Dividends on Series A Preferred Stock are cumulative at the rate of 9% of the amount of capital contributed for such shares and are payable upon the earlier of a declaration by the board of directors or a change in control or</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19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liquidation of the Company. At January 29, 2005 and January 31, 2004 the Company had accrued interest and dividends payable of $379,763 and $1,555,313, respectively. During fiscal 2003, the Company’s board of directors adopted a resolution whereby the Company intends to begin repaying its Series A Preferred Stock and all dividends accrued thereon at a rate of $500,000 per quarter, beginning in the second quarter of fiscal 2004. In fiscal 2004 the Company paid dividends and interest of $1.5 million.</w:t>
      </w:r>
    </w:p>
    <w:p>
      <w:pPr>
        <w:spacing w:after="0" w:line="184" w:lineRule="exact"/>
        <w:rPr>
          <w:sz w:val="20"/>
          <w:szCs w:val="20"/>
          <w:color w:val="auto"/>
        </w:rPr>
      </w:pPr>
    </w:p>
    <w:p>
      <w:pPr>
        <w:ind w:left="580" w:hanging="574"/>
        <w:spacing w:after="0"/>
        <w:tabs>
          <w:tab w:leader="none" w:pos="5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0" w:lineRule="exact"/>
        <w:rPr>
          <w:rFonts w:ascii="Times New Roman" w:cs="Times New Roman" w:eastAsia="Times New Roman" w:hAnsi="Times New Roman"/>
          <w:sz w:val="18"/>
          <w:szCs w:val="18"/>
          <w:b w:val="1"/>
          <w:bCs w:val="1"/>
          <w:color w:val="auto"/>
        </w:rPr>
      </w:pPr>
    </w:p>
    <w:p>
      <w:pPr>
        <w:ind w:left="940" w:hanging="714"/>
        <w:spacing w:after="0"/>
        <w:tabs>
          <w:tab w:leader="none" w:pos="940" w:val="left"/>
        </w:tabs>
        <w:numPr>
          <w:ilvl w:val="1"/>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Stockholders Agreement</w:t>
      </w:r>
    </w:p>
    <w:p>
      <w:pPr>
        <w:spacing w:after="0" w:line="11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The Company is party to a Stockholders Agreement dated April 13, 1999 (the “Stockholders Agreement”) with Hampshire Equity Partners II, L.P., George Bellino and certain management stockholders. Pursuant to the Stockholders Agreement, four members of the Company’s board of directors may be designated by the owners of the majority of the voting stock beneficially owned by Hampshire Equity Partners and its affiliates; the Company’s stockholders have agreed generally not to transfer their shares; the Company’s management stockholders have been granted tag-along rights in the event of the sale of more than 50% of our common stock; the Company’s management stockholders have agreed to cooperate in any sale of the company by Hampshire Equity Partners and the Company has agreed to register shares of the Company’s common stock held by the stockholder parties in the event that the Company registers additional shares of the Company’s common stock under the Securities Act, other than on a registration statement on Form S-4 or S-8, or in connection with an exchange offer, merger, acquisition, dividend reinvestment plan, stock option or other employee benefit plan.</w:t>
      </w:r>
    </w:p>
    <w:p>
      <w:pPr>
        <w:spacing w:after="0" w:line="185" w:lineRule="exact"/>
        <w:rPr>
          <w:sz w:val="20"/>
          <w:szCs w:val="20"/>
          <w:color w:val="auto"/>
        </w:rPr>
      </w:pPr>
    </w:p>
    <w:p>
      <w:pPr>
        <w:ind w:left="940" w:hanging="714"/>
        <w:spacing w:after="0"/>
        <w:tabs>
          <w:tab w:leader="none" w:pos="94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Equity Transactions with Officer</w:t>
      </w:r>
    </w:p>
    <w:p>
      <w:pPr>
        <w:spacing w:after="0" w:line="1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2001, the Company issued options to an officer for 436,800 shares of common stock. Since the estimated fair market value of the Company’s common stock issued exceeded the exercise price of these options on the date of grant, the Company recognized charges to earnings during fiscal 2004, 2003 and 2002 of $44,627, $84,441 and $161,882, respectively. Additional charges related to these options of $17,721 will be recognized in fiscal 2005.</w:t>
      </w:r>
    </w:p>
    <w:p>
      <w:pPr>
        <w:spacing w:after="0" w:line="177" w:lineRule="exact"/>
        <w:rPr>
          <w:sz w:val="20"/>
          <w:szCs w:val="20"/>
          <w:color w:val="auto"/>
        </w:rPr>
      </w:pPr>
    </w:p>
    <w:p>
      <w:pPr>
        <w:ind w:left="940" w:hanging="714"/>
        <w:spacing w:after="0"/>
        <w:tabs>
          <w:tab w:leader="none" w:pos="94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Equity Transactions with Majority Stockholder</w:t>
      </w:r>
    </w:p>
    <w:p>
      <w:pPr>
        <w:spacing w:after="0" w:line="11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In August 2003, the Company’s board of directors adopted a plan (the “Anti-Dilution Plan”) whereby stock options are to be issued to the Company’s majority stockholder, as well as certain defined members of management, in amounts necessary to prevent the dilution of their ownership percentage as a result of the issuance of stock options to other employees of the Company. Options granted under this Anti-Dilution Plan are to be issued at the estimated fair market value of the Company’s common stock on the date of grant and vest immediately. This Anti-Dilution Plan was terminated. See Note 12. During fiscal 2004 and 2003, the Company issued stock options for 31,174 and 39,078 shares of common stock, respectively, under this Anti-Dilution Plan, 29,562 and 37,050, respectively, of which were issued to its majority stockholder. Because the majority stockholder does not qualify as an employee, FASB Interpretation No. 44, “Accounting for Certain Transactions Involving Stock Compensation,” required the Company to recognize a charge to earnings during fiscal 2004 and 2003 of $58,672 and $38,832, respectively. The fair value of the vested options was determined using the Black-Scholes option-pricing model.</w:t>
      </w:r>
    </w:p>
    <w:p>
      <w:pPr>
        <w:spacing w:after="0" w:line="176" w:lineRule="exact"/>
        <w:rPr>
          <w:sz w:val="20"/>
          <w:szCs w:val="20"/>
          <w:color w:val="auto"/>
        </w:rPr>
      </w:pPr>
    </w:p>
    <w:p>
      <w:pPr>
        <w:ind w:left="940" w:hanging="714"/>
        <w:spacing w:after="0"/>
        <w:tabs>
          <w:tab w:leader="none" w:pos="94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Options</w:t>
      </w:r>
    </w:p>
    <w:p>
      <w:pPr>
        <w:spacing w:after="0" w:line="113"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color w:val="auto"/>
        </w:rPr>
        <w:t>In 1999, the Company established the 1999 Citi Trends, Inc. Stock Option Plan (the “Plan”). The Plan provides for the grant of incentive and nonqualified options to key employees and directors. The board of</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19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color w:val="auto"/>
        </w:rPr>
        <w:t>directors determines the exercise price of option grants. Option grants generally vest in equal installments over four years from the date of grant and are generally exercisable up to ten years from the date of grant. The Company has authorized up to 1,950,000 shares of common stock for issuance under the Plan.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option activity in the Plan for fiscal 2004, 2003 and 2002 is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2004</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2003</w:t>
            </w: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2002</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Wtd Avg</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3"/>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Wtd Avg</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3"/>
          </w:tcPr>
          <w:p>
            <w:pPr>
              <w:ind w:left="200"/>
              <w:spacing w:after="0" w:line="127" w:lineRule="exact"/>
              <w:rPr>
                <w:sz w:val="20"/>
                <w:szCs w:val="20"/>
                <w:color w:val="auto"/>
              </w:rPr>
            </w:pPr>
            <w:r>
              <w:rPr>
                <w:rFonts w:ascii="Times New Roman" w:cs="Times New Roman" w:eastAsia="Times New Roman" w:hAnsi="Times New Roman"/>
                <w:sz w:val="14"/>
                <w:szCs w:val="14"/>
                <w:b w:val="1"/>
                <w:bCs w:val="1"/>
                <w:color w:val="auto"/>
              </w:rPr>
              <w:t>Wtd Avg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3"/>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1,791,374</w:t>
            </w:r>
          </w:p>
        </w:tc>
        <w:tc>
          <w:tcPr>
            <w:tcW w:w="80" w:type="dxa"/>
            <w:vAlign w:val="bottom"/>
            <w:shd w:val="clear" w:color="auto" w:fill="CCEEFF"/>
          </w:tcPr>
          <w:p>
            <w:pPr>
              <w:spacing w:after="0"/>
              <w:rPr>
                <w:sz w:val="18"/>
                <w:szCs w:val="18"/>
                <w:color w:val="auto"/>
              </w:rPr>
            </w:pPr>
          </w:p>
        </w:tc>
        <w:tc>
          <w:tcPr>
            <w:tcW w:w="150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0.77</w:t>
            </w:r>
          </w:p>
        </w:tc>
        <w:tc>
          <w:tcPr>
            <w:tcW w:w="13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1,728,896</w:t>
            </w:r>
          </w:p>
        </w:tc>
        <w:tc>
          <w:tcPr>
            <w:tcW w:w="15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0.40</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1,718,496</w:t>
            </w:r>
          </w:p>
        </w:tc>
        <w:tc>
          <w:tcPr>
            <w:tcW w:w="8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124,774</w:t>
            </w:r>
          </w:p>
        </w:tc>
        <w:tc>
          <w:tcPr>
            <w:tcW w:w="80" w:type="dxa"/>
            <w:vAlign w:val="bottom"/>
          </w:tcPr>
          <w:p>
            <w:pPr>
              <w:spacing w:after="0"/>
              <w:rPr>
                <w:sz w:val="18"/>
                <w:szCs w:val="18"/>
                <w:color w:val="auto"/>
              </w:rPr>
            </w:pPr>
          </w:p>
        </w:tc>
        <w:tc>
          <w:tcPr>
            <w:tcW w:w="15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6.75</w:t>
            </w:r>
          </w:p>
        </w:tc>
        <w:tc>
          <w:tcPr>
            <w:tcW w:w="13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192,478</w:t>
            </w: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3.79</w:t>
            </w:r>
          </w:p>
        </w:tc>
        <w:tc>
          <w:tcPr>
            <w:tcW w:w="13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46,800</w:t>
            </w:r>
          </w:p>
        </w:tc>
        <w:tc>
          <w:tcPr>
            <w:tcW w:w="14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(15,600)</w:t>
            </w:r>
          </w:p>
        </w:tc>
        <w:tc>
          <w:tcPr>
            <w:tcW w:w="150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4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(39,000)</w:t>
            </w:r>
          </w:p>
        </w:tc>
        <w:tc>
          <w:tcPr>
            <w:tcW w:w="15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u w:val="single" w:color="auto"/>
                <w:color w:val="auto"/>
              </w:rPr>
              <w:t>35</w:t>
            </w: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(130,000)</w:t>
            </w:r>
          </w:p>
        </w:tc>
        <w:tc>
          <w:tcPr>
            <w:tcW w:w="152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65</w:t>
            </w: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(36,400)</w:t>
            </w:r>
          </w:p>
        </w:tc>
        <w:tc>
          <w:tcPr>
            <w:tcW w:w="14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38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period</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1,861,548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5"/>
              </w:rPr>
              <w:t>1.12</w:t>
            </w:r>
          </w:p>
        </w:tc>
        <w:tc>
          <w:tcPr>
            <w:tcW w:w="13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1,791,374</w:t>
            </w:r>
          </w:p>
        </w:tc>
        <w:tc>
          <w:tcPr>
            <w:tcW w:w="15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0.77</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1,728,896</w:t>
            </w:r>
          </w:p>
        </w:tc>
        <w:tc>
          <w:tcPr>
            <w:tcW w:w="80" w:type="dxa"/>
            <w:vAlign w:val="bottom"/>
            <w:shd w:val="clear" w:color="auto" w:fill="CCEEFF"/>
          </w:tcPr>
          <w:p>
            <w:pPr>
              <w:spacing w:after="0"/>
              <w:rPr>
                <w:sz w:val="18"/>
                <w:szCs w:val="18"/>
                <w:color w:val="auto"/>
              </w:rPr>
            </w:pPr>
          </w:p>
        </w:tc>
        <w:tc>
          <w:tcPr>
            <w:tcW w:w="144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exercisable end of period</w:t>
            </w:r>
          </w:p>
        </w:tc>
        <w:tc>
          <w:tcPr>
            <w:tcW w:w="3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1,616,498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0.67</w:t>
            </w:r>
          </w:p>
        </w:tc>
        <w:tc>
          <w:tcPr>
            <w:tcW w:w="3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1,383,096</w:t>
            </w:r>
          </w:p>
        </w:tc>
        <w:tc>
          <w:tcPr>
            <w:tcW w:w="80" w:type="dxa"/>
            <w:vAlign w:val="bottom"/>
          </w:tcPr>
          <w:p>
            <w:pPr>
              <w:spacing w:after="0"/>
              <w:rPr>
                <w:sz w:val="18"/>
                <w:szCs w:val="18"/>
                <w:color w:val="auto"/>
              </w:rPr>
            </w:pPr>
          </w:p>
        </w:tc>
        <w:tc>
          <w:tcPr>
            <w:tcW w:w="900" w:type="dxa"/>
            <w:vAlign w:val="bottom"/>
            <w:gridSpan w:val="3"/>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0.49</w:t>
            </w:r>
          </w:p>
        </w:tc>
        <w:tc>
          <w:tcPr>
            <w:tcW w:w="30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962,910</w:t>
            </w:r>
          </w:p>
        </w:tc>
        <w:tc>
          <w:tcPr>
            <w:tcW w:w="80" w:type="dxa"/>
            <w:vAlign w:val="bottom"/>
          </w:tcPr>
          <w:p>
            <w:pPr>
              <w:spacing w:after="0"/>
              <w:rPr>
                <w:sz w:val="18"/>
                <w:szCs w:val="18"/>
                <w:color w:val="auto"/>
              </w:rPr>
            </w:pPr>
          </w:p>
        </w:tc>
        <w:tc>
          <w:tcPr>
            <w:tcW w:w="8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color w:val="auto"/>
        </w:rPr>
        <w:t>At January 29, 2005 the range of exercise prices and weighted-average remaining contractual life of outstanding options was $0.38 to $6.85 and 6 years, respectively.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status of Company options exercisable at January 29, 2005 by exercise price: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Exercise Price &amp;</w:t>
            </w:r>
          </w:p>
        </w:tc>
        <w:tc>
          <w:tcPr>
            <w:tcW w:w="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Total Intrinsic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9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Value of Options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00" w:type="dxa"/>
            <w:vAlign w:val="bottom"/>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Fair Value of Stock</w:t>
            </w:r>
          </w:p>
        </w:tc>
        <w:tc>
          <w:tcPr>
            <w:tcW w:w="220" w:type="dxa"/>
            <w:vAlign w:val="bottom"/>
          </w:tcPr>
          <w:p>
            <w:pPr>
              <w:spacing w:after="0"/>
              <w:rPr>
                <w:sz w:val="12"/>
                <w:szCs w:val="12"/>
                <w:color w:val="auto"/>
              </w:rPr>
            </w:pPr>
          </w:p>
        </w:tc>
        <w:tc>
          <w:tcPr>
            <w:tcW w:w="22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Quarter of Grant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at Date of</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on Date of Grant</w:t>
            </w:r>
          </w:p>
        </w:tc>
        <w:tc>
          <w:tcPr>
            <w:tcW w:w="220" w:type="dxa"/>
            <w:vAlign w:val="bottom"/>
          </w:tcPr>
          <w:p>
            <w:pPr>
              <w:spacing w:after="0"/>
              <w:rPr>
                <w:sz w:val="15"/>
                <w:szCs w:val="15"/>
                <w:color w:val="auto"/>
              </w:rPr>
            </w:pPr>
          </w:p>
        </w:tc>
        <w:tc>
          <w:tcPr>
            <w:tcW w:w="22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20" w:type="dxa"/>
            <w:vAlign w:val="bottom"/>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8"/>
              </w:rPr>
              <w:t>Exercisable</w:t>
            </w:r>
          </w:p>
        </w:tc>
        <w:tc>
          <w:tcPr>
            <w:tcW w:w="2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$ 0.38*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4th Quarter 2001 and prior</w:t>
            </w: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1,552,096</w:t>
            </w:r>
          </w:p>
        </w:tc>
        <w:tc>
          <w:tcPr>
            <w:tcW w:w="3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8"/>
                <w:szCs w:val="18"/>
                <w:color w:val="auto"/>
              </w:rPr>
              <w:t>5.4</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1,498,146</w:t>
            </w:r>
          </w:p>
        </w:tc>
        <w:tc>
          <w:tcPr>
            <w:tcW w:w="320" w:type="dxa"/>
            <w:vAlign w:val="bottom"/>
            <w:shd w:val="clear" w:color="auto" w:fill="CCEEFF"/>
          </w:tcPr>
          <w:p>
            <w:pPr>
              <w:spacing w:after="0"/>
              <w:rPr>
                <w:sz w:val="18"/>
                <w:szCs w:val="18"/>
                <w:color w:val="auto"/>
              </w:rPr>
            </w:pPr>
          </w:p>
        </w:tc>
        <w:tc>
          <w:tcPr>
            <w:tcW w:w="2160" w:type="dxa"/>
            <w:vAlign w:val="bottom"/>
            <w:gridSpan w:val="4"/>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$336,000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1st Quarter 2002</w:t>
            </w:r>
          </w:p>
        </w:tc>
        <w:tc>
          <w:tcPr>
            <w:tcW w:w="15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20,800</w:t>
            </w:r>
          </w:p>
        </w:tc>
        <w:tc>
          <w:tcPr>
            <w:tcW w:w="1600" w:type="dxa"/>
            <w:vAlign w:val="bottom"/>
            <w:gridSpan w:val="2"/>
          </w:tcPr>
          <w:p>
            <w:pPr>
              <w:jc w:val="right"/>
              <w:ind w:right="429"/>
              <w:spacing w:after="0"/>
              <w:rPr>
                <w:sz w:val="20"/>
                <w:szCs w:val="20"/>
                <w:color w:val="auto"/>
              </w:rPr>
            </w:pPr>
            <w:r>
              <w:rPr>
                <w:rFonts w:ascii="Times New Roman" w:cs="Times New Roman" w:eastAsia="Times New Roman" w:hAnsi="Times New Roman"/>
                <w:sz w:val="18"/>
                <w:szCs w:val="18"/>
                <w:color w:val="auto"/>
              </w:rPr>
              <w:t>7.0</w:t>
            </w:r>
          </w:p>
        </w:tc>
        <w:tc>
          <w:tcPr>
            <w:tcW w:w="15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10,400</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2nd Quarter 2002</w:t>
            </w:r>
          </w:p>
        </w:tc>
        <w:tc>
          <w:tcPr>
            <w:tcW w:w="156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10,400</w:t>
            </w:r>
          </w:p>
        </w:tc>
        <w:tc>
          <w:tcPr>
            <w:tcW w:w="1600" w:type="dxa"/>
            <w:vAlign w:val="bottom"/>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8"/>
                <w:szCs w:val="18"/>
                <w:color w:val="auto"/>
              </w:rPr>
              <w:t>7.5</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$3.62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2nd Quarter 2003</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101,478</w:t>
            </w:r>
          </w:p>
        </w:tc>
        <w:tc>
          <w:tcPr>
            <w:tcW w:w="300" w:type="dxa"/>
            <w:vAlign w:val="bottom"/>
          </w:tcPr>
          <w:p>
            <w:pPr>
              <w:spacing w:after="0"/>
              <w:rPr>
                <w:sz w:val="18"/>
                <w:szCs w:val="18"/>
                <w:color w:val="auto"/>
              </w:rPr>
            </w:pPr>
          </w:p>
        </w:tc>
        <w:tc>
          <w:tcPr>
            <w:tcW w:w="1600" w:type="dxa"/>
            <w:vAlign w:val="bottom"/>
            <w:gridSpan w:val="2"/>
          </w:tcPr>
          <w:p>
            <w:pPr>
              <w:jc w:val="right"/>
              <w:ind w:right="429"/>
              <w:spacing w:after="0"/>
              <w:rPr>
                <w:sz w:val="20"/>
                <w:szCs w:val="20"/>
                <w:color w:val="auto"/>
              </w:rPr>
            </w:pPr>
            <w:r>
              <w:rPr>
                <w:rFonts w:ascii="Times New Roman" w:cs="Times New Roman" w:eastAsia="Times New Roman" w:hAnsi="Times New Roman"/>
                <w:sz w:val="18"/>
                <w:szCs w:val="18"/>
                <w:color w:val="auto"/>
              </w:rPr>
              <w:t>8.4</w:t>
            </w:r>
          </w:p>
        </w:tc>
        <w:tc>
          <w:tcPr>
            <w:tcW w:w="156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58,578</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3rd Quarter 2003</w:t>
            </w:r>
          </w:p>
        </w:tc>
        <w:tc>
          <w:tcPr>
            <w:tcW w:w="156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26,000</w:t>
            </w:r>
          </w:p>
        </w:tc>
        <w:tc>
          <w:tcPr>
            <w:tcW w:w="1600" w:type="dxa"/>
            <w:vAlign w:val="bottom"/>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8"/>
                <w:szCs w:val="18"/>
                <w:color w:val="auto"/>
              </w:rPr>
              <w:t>8.6</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$4.46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4th Quarter 2003</w:t>
            </w:r>
          </w:p>
        </w:tc>
        <w:tc>
          <w:tcPr>
            <w:tcW w:w="15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26,000</w:t>
            </w:r>
          </w:p>
        </w:tc>
        <w:tc>
          <w:tcPr>
            <w:tcW w:w="1600" w:type="dxa"/>
            <w:vAlign w:val="bottom"/>
            <w:gridSpan w:val="2"/>
          </w:tcPr>
          <w:p>
            <w:pPr>
              <w:jc w:val="right"/>
              <w:ind w:right="429"/>
              <w:spacing w:after="0"/>
              <w:rPr>
                <w:sz w:val="20"/>
                <w:szCs w:val="20"/>
                <w:color w:val="auto"/>
              </w:rPr>
            </w:pPr>
            <w:r>
              <w:rPr>
                <w:rFonts w:ascii="Times New Roman" w:cs="Times New Roman" w:eastAsia="Times New Roman" w:hAnsi="Times New Roman"/>
                <w:sz w:val="18"/>
                <w:szCs w:val="18"/>
                <w:color w:val="auto"/>
              </w:rPr>
              <w:t>8.8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1st Quarter 2004</w:t>
            </w:r>
          </w:p>
        </w:tc>
        <w:tc>
          <w:tcPr>
            <w:tcW w:w="156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36,400</w:t>
            </w:r>
          </w:p>
        </w:tc>
        <w:tc>
          <w:tcPr>
            <w:tcW w:w="1600" w:type="dxa"/>
            <w:vAlign w:val="bottom"/>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$6.81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2nd Quarter 2004</w:t>
            </w:r>
          </w:p>
        </w:tc>
        <w:tc>
          <w:tcPr>
            <w:tcW w:w="15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20,800</w:t>
            </w:r>
          </w:p>
        </w:tc>
        <w:tc>
          <w:tcPr>
            <w:tcW w:w="1600" w:type="dxa"/>
            <w:vAlign w:val="bottom"/>
            <w:gridSpan w:val="2"/>
          </w:tcPr>
          <w:p>
            <w:pPr>
              <w:jc w:val="right"/>
              <w:ind w:right="429"/>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3rd Quarter 2004</w:t>
            </w:r>
          </w:p>
        </w:tc>
        <w:tc>
          <w:tcPr>
            <w:tcW w:w="156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67,574</w:t>
            </w:r>
          </w:p>
        </w:tc>
        <w:tc>
          <w:tcPr>
            <w:tcW w:w="1600" w:type="dxa"/>
            <w:vAlign w:val="bottom"/>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8"/>
                <w:szCs w:val="18"/>
                <w:color w:val="auto"/>
              </w:rPr>
              <w:t>9.6</w:t>
            </w:r>
          </w:p>
        </w:tc>
        <w:tc>
          <w:tcPr>
            <w:tcW w:w="156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31,174</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1,861,548</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1,616,498</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336,000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5540" w:right="1940" w:hanging="5534"/>
        <w:spacing w:after="0" w:line="470" w:lineRule="auto"/>
        <w:tabs>
          <w:tab w:leader="none" w:pos="2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436,800 shares were granted during the 4th quarter 2001, the exercise price was $0.38 and the fair value of the options were $1.15. 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29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The fair value of options granted during the years ended January 29, 2005, January 31, 2004 and February 1, 2003 was $2.50, $1.31 and $0.80, respectively, using the Black-Scholes option-pricing model, with the following weighted average assumptions: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Pr>
          <w:p>
            <w:pPr>
              <w:spacing w:after="0"/>
              <w:rPr>
                <w:sz w:val="15"/>
                <w:szCs w:val="15"/>
                <w:color w:val="auto"/>
              </w:rPr>
            </w:pPr>
          </w:p>
        </w:tc>
        <w:tc>
          <w:tcPr>
            <w:tcW w:w="14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5"/>
                <w:szCs w:val="15"/>
                <w:color w:val="auto"/>
              </w:rPr>
            </w:pPr>
          </w:p>
        </w:tc>
        <w:tc>
          <w:tcPr>
            <w:tcW w:w="13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2003</w:t>
            </w: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0.00%</w:t>
            </w:r>
          </w:p>
        </w:tc>
        <w:tc>
          <w:tcPr>
            <w:tcW w:w="17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0.00%</w:t>
            </w:r>
          </w:p>
        </w:tc>
        <w:tc>
          <w:tcPr>
            <w:tcW w:w="16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0.00%</w:t>
            </w: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50.00%</w:t>
            </w:r>
          </w:p>
        </w:tc>
        <w:tc>
          <w:tcPr>
            <w:tcW w:w="17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50.00%</w:t>
            </w:r>
          </w:p>
        </w:tc>
        <w:tc>
          <w:tcPr>
            <w:tcW w:w="16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50.00%</w:t>
            </w: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2.50%</w:t>
            </w:r>
          </w:p>
        </w:tc>
        <w:tc>
          <w:tcPr>
            <w:tcW w:w="17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2.50%</w:t>
            </w:r>
          </w:p>
        </w:tc>
        <w:tc>
          <w:tcPr>
            <w:tcW w:w="16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3.60%</w:t>
            </w:r>
          </w:p>
        </w:tc>
      </w:tr>
      <w:tr>
        <w:trPr>
          <w:trHeight w:val="212"/>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4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10 years</w:t>
            </w:r>
          </w:p>
        </w:tc>
        <w:tc>
          <w:tcPr>
            <w:tcW w:w="300" w:type="dxa"/>
            <w:vAlign w:val="bottom"/>
          </w:tcPr>
          <w:p>
            <w:pPr>
              <w:spacing w:after="0"/>
              <w:rPr>
                <w:sz w:val="18"/>
                <w:szCs w:val="18"/>
                <w:color w:val="auto"/>
              </w:rPr>
            </w:pPr>
          </w:p>
        </w:tc>
        <w:tc>
          <w:tcPr>
            <w:tcW w:w="144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10 years</w:t>
            </w:r>
          </w:p>
        </w:tc>
        <w:tc>
          <w:tcPr>
            <w:tcW w:w="280" w:type="dxa"/>
            <w:vAlign w:val="bottom"/>
          </w:tcPr>
          <w:p>
            <w:pPr>
              <w:spacing w:after="0"/>
              <w:rPr>
                <w:sz w:val="18"/>
                <w:szCs w:val="18"/>
                <w:color w:val="auto"/>
              </w:rPr>
            </w:pPr>
          </w:p>
        </w:tc>
        <w:tc>
          <w:tcPr>
            <w:tcW w:w="1340" w:type="dxa"/>
            <w:vAlign w:val="bottom"/>
          </w:tcPr>
          <w:p>
            <w:pPr>
              <w:jc w:val="right"/>
              <w:ind w:right="201"/>
              <w:spacing w:after="0"/>
              <w:rPr>
                <w:sz w:val="20"/>
                <w:szCs w:val="20"/>
                <w:color w:val="auto"/>
              </w:rPr>
            </w:pPr>
            <w:r>
              <w:rPr>
                <w:rFonts w:ascii="Times New Roman" w:cs="Times New Roman" w:eastAsia="Times New Roman" w:hAnsi="Times New Roman"/>
                <w:sz w:val="18"/>
                <w:szCs w:val="18"/>
                <w:color w:val="auto"/>
              </w:rPr>
              <w:t>10 years</w:t>
            </w:r>
          </w:p>
        </w:tc>
      </w:tr>
      <w:tr>
        <w:trPr>
          <w:trHeight w:val="212"/>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144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91" w:lineRule="exact"/>
        <w:rPr>
          <w:sz w:val="20"/>
          <w:szCs w:val="20"/>
          <w:color w:val="auto"/>
        </w:rPr>
      </w:pPr>
    </w:p>
    <w:p>
      <w:pPr>
        <w:ind w:left="580" w:hanging="574"/>
        <w:spacing w:after="0"/>
        <w:tabs>
          <w:tab w:leader="none" w:pos="58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The Company leases its stores under operating leases, which generally have an initial term of five years with a five-year renewal option. Future minimum rental payments under operating leases having noncancelable lease terms at January 29, 2005 are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53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2005</w:t>
            </w:r>
          </w:p>
        </w:tc>
        <w:tc>
          <w:tcPr>
            <w:tcW w:w="6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8,223,506</w:t>
            </w: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2006</w:t>
            </w:r>
          </w:p>
        </w:tc>
        <w:tc>
          <w:tcPr>
            <w:tcW w:w="5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7,318,638</w:t>
            </w: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2007</w:t>
            </w:r>
          </w:p>
        </w:tc>
        <w:tc>
          <w:tcPr>
            <w:tcW w:w="5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6,032,679</w:t>
            </w: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2008</w:t>
            </w:r>
          </w:p>
        </w:tc>
        <w:tc>
          <w:tcPr>
            <w:tcW w:w="5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4,706,191</w:t>
            </w: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2009</w:t>
            </w:r>
          </w:p>
        </w:tc>
        <w:tc>
          <w:tcPr>
            <w:tcW w:w="5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2,365,894</w:t>
            </w:r>
          </w:p>
        </w:tc>
      </w:tr>
      <w:tr>
        <w:trPr>
          <w:trHeight w:val="218"/>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614,920</w:t>
            </w:r>
          </w:p>
        </w:tc>
        <w:tc>
          <w:tcPr>
            <w:tcW w:w="6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6"/>
              </w:rPr>
              <w:t>29,261,828</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Certain operating leases provide for fixed monthly rentals while others provide for rentals computed as a percentage of net sales. Certain operating leases provide for a combination of both fixed monthly rental and rentals computed as a percentage of net sales. Rental expense was $8,417,799, $6,363,257 and $4,787,768 for the fiscal 2004, 2003 and 2002 (including $723,471, $794,444 and $539,090 of percentage rent), respectively.</w:t>
      </w:r>
    </w:p>
    <w:p>
      <w:pPr>
        <w:spacing w:after="0" w:line="7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The Company from time to time is involved in various legal proceedings incidental to the conduct of its business, including claims by customers, employees or former employees. The Company is currently the defendant in a putative collective action lawsuit commenced by a former employee under the Fair Labor Standards Act. The suit is pending in District Court of the United States for the Middle District of Alabama, Northern Division. The plaintiff is seeking unpaid compensation and benefits, liquidated damages, attorneys fees, costs and injunctive relief. The case is in its early stages, and the Company is in the process of evaluating the claims made. While the Company’s review of the allegations is preliminary, it believes that its business practices are, and were during the relevant periods, in compliance with the law. While the Company is unable to predict the outcome of this matter, it plans to defend this suit vigorously.</w:t>
      </w:r>
    </w:p>
    <w:p>
      <w:pPr>
        <w:spacing w:after="0" w:line="170" w:lineRule="exact"/>
        <w:rPr>
          <w:sz w:val="20"/>
          <w:szCs w:val="20"/>
          <w:color w:val="auto"/>
        </w:rPr>
      </w:pPr>
    </w:p>
    <w:p>
      <w:pPr>
        <w:ind w:left="700" w:hanging="694"/>
        <w:spacing w:after="0"/>
        <w:tabs>
          <w:tab w:leader="none" w:pos="70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is a party to an Amended and Restated Management Consulting Agreement, or the consulting agreement, effective as of February 1, 2004 with Hampshire Management Company LLC, or the consultant, which is an affiliate of the Company’s majority shareholder, pursuant to which it provides the Company with certain consulting services related to, but not limited to, financial affairs, relationships with lenders, stockholders and other third-party associates or affiliates, and the expansion of the Company’s business.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and Termination</w:t>
      </w:r>
    </w:p>
    <w:p>
      <w:pPr>
        <w:spacing w:after="0" w:line="11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consulting agreement has a four year term and is subject to automatic one year renewals each February 1, subject to 60 days prior notice of termination by either party. In addition, either party has the right to terminate the consulting agreement upon 90 days prior notice in the event of (a) a sale of all or substantially all of our common stock or assets, (b) a merger or consolidation in which we are not the surviving corporation or (c) a registered public offering of our common stock, which includes this offering. It is expected that both parties to the consulting agreement will waive any notice requirement for termination upon consummation of this offering.</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Compensation</w:t>
      </w:r>
    </w:p>
    <w:p>
      <w:pPr>
        <w:spacing w:after="0" w:line="113"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Under the consulting agreement, the Company pays the consultant an annual management fee of $240,000, payable in monthly installments. The Company agreed to indemnify the consultant, its affiliates and associates, and each of the respective owners, partners, officers, directors, members, employees and agents of each, from and against any loss, liability, damage, claim or expenses (including the fees and expenses of counsel) relating to their performance under the consulting agreement.</w:t>
      </w:r>
    </w:p>
    <w:p>
      <w:pPr>
        <w:spacing w:after="0" w:line="80"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color w:val="auto"/>
        </w:rPr>
        <w:t>Upon the consummation of the Company’s IPO (see note 12), the Company intends to negotiate a termination of the consulting agreement and has tentatively agreed to pay the consultant a termination fee of $1.2 million before December 31, 2005.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in operating expenses are management fees of $240,000, $240,000 and $190,000 for fiscal 2004, 2003 and 2002,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3"/>
              </w:rPr>
              <w:t>(11)</w:t>
            </w:r>
          </w:p>
        </w:tc>
        <w:tc>
          <w:tcPr>
            <w:tcW w:w="88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17"/>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amounts that have been reserved on the balance sheet.</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2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Inventory</w:t>
            </w:r>
          </w:p>
        </w:tc>
      </w:tr>
      <w:tr>
        <w:trPr>
          <w:trHeight w:val="146"/>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20" w:type="dxa"/>
            <w:vAlign w:val="bottom"/>
            <w:gridSpan w:val="3"/>
          </w:tcPr>
          <w:p>
            <w:pPr>
              <w:jc w:val="center"/>
              <w:ind w:right="740"/>
              <w:spacing w:after="0" w:line="145" w:lineRule="exact"/>
              <w:rPr>
                <w:sz w:val="20"/>
                <w:szCs w:val="20"/>
                <w:color w:val="auto"/>
              </w:rPr>
            </w:pPr>
            <w:r>
              <w:rPr>
                <w:rFonts w:ascii="Times New Roman" w:cs="Times New Roman" w:eastAsia="Times New Roman" w:hAnsi="Times New Roman"/>
                <w:sz w:val="14"/>
                <w:szCs w:val="14"/>
                <w:b w:val="1"/>
                <w:bCs w:val="1"/>
                <w:color w:val="auto"/>
              </w:rPr>
              <w:t>Shrinkage</w:t>
            </w:r>
          </w:p>
        </w:tc>
      </w:tr>
      <w:tr>
        <w:trPr>
          <w:trHeight w:val="177"/>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Reserve</w:t>
            </w:r>
          </w:p>
        </w:tc>
      </w:tr>
      <w:tr>
        <w:trPr>
          <w:trHeight w:val="212"/>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2, 2002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806,367</w:t>
            </w:r>
          </w:p>
        </w:tc>
        <w:tc>
          <w:tcPr>
            <w:tcW w:w="74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7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2,066,634</w:t>
            </w:r>
          </w:p>
        </w:tc>
        <w:tc>
          <w:tcPr>
            <w:tcW w:w="7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7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5"/>
              </w:rPr>
              <w:t>(1,808,188)</w:t>
            </w:r>
          </w:p>
        </w:tc>
      </w:tr>
      <w:tr>
        <w:trPr>
          <w:trHeight w:val="225"/>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February 1, 2003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1,064,813</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2,541,749</w:t>
            </w:r>
          </w:p>
        </w:tc>
        <w:tc>
          <w:tcPr>
            <w:tcW w:w="74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760" w:type="dxa"/>
            <w:vAlign w:val="bottom"/>
          </w:tcPr>
          <w:p>
            <w:pPr>
              <w:spacing w:after="0"/>
              <w:rPr>
                <w:sz w:val="18"/>
                <w:szCs w:val="18"/>
                <w:color w:val="auto"/>
              </w:rPr>
            </w:pPr>
          </w:p>
        </w:tc>
        <w:tc>
          <w:tcPr>
            <w:tcW w:w="15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w w:val="95"/>
              </w:rPr>
              <w:t>(2,672,235)</w:t>
            </w:r>
          </w:p>
        </w:tc>
      </w:tr>
      <w:tr>
        <w:trPr>
          <w:trHeight w:val="212"/>
        </w:trPr>
        <w:tc>
          <w:tcPr>
            <w:tcW w:w="20" w:type="dxa"/>
            <w:vAlign w:val="bottom"/>
          </w:tcPr>
          <w:p>
            <w:pPr>
              <w:spacing w:after="0"/>
              <w:rPr>
                <w:sz w:val="18"/>
                <w:szCs w:val="18"/>
                <w:color w:val="auto"/>
              </w:rPr>
            </w:pPr>
          </w:p>
        </w:tc>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31, 2004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934,327</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charged to costs and expenses</w:t>
            </w: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2,917,053</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w:t>
            </w:r>
          </w:p>
        </w:tc>
        <w:tc>
          <w:tcPr>
            <w:tcW w:w="7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5"/>
              </w:rPr>
              <w:t>(2,629,883)</w:t>
            </w:r>
          </w:p>
        </w:tc>
      </w:tr>
      <w:tr>
        <w:trPr>
          <w:trHeight w:val="218"/>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January 29, 2005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1,221,497</w:t>
            </w:r>
          </w:p>
        </w:tc>
        <w:tc>
          <w:tcPr>
            <w:tcW w:w="20" w:type="dxa"/>
            <w:vAlign w:val="bottom"/>
            <w:tcBorders>
              <w:bottom w:val="single" w:sz="8" w:color="auto"/>
            </w:tcBorders>
          </w:tcPr>
          <w:p>
            <w:pPr>
              <w:spacing w:after="0"/>
              <w:rPr>
                <w:sz w:val="18"/>
                <w:szCs w:val="18"/>
                <w:color w:val="auto"/>
              </w:rPr>
            </w:pPr>
          </w:p>
        </w:tc>
        <w:tc>
          <w:tcPr>
            <w:tcW w:w="7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01"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Additions charged to costs and expenses is the result of anticipated inventory shrinkage. Deductions represent actual inventory shrinkage incurred from physical inventories taken during the fiscal year.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8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Citi Trends, Inc.</w:t>
      </w:r>
    </w:p>
    <w:p>
      <w:pPr>
        <w:spacing w:after="0" w:line="1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Notes to Financial Statements—(Continued)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January 29, 2005, January 31, 2004 and February 1, 2003</w:t>
      </w:r>
    </w:p>
    <w:p>
      <w:pPr>
        <w:spacing w:after="0" w:line="200" w:lineRule="exact"/>
        <w:rPr>
          <w:sz w:val="20"/>
          <w:szCs w:val="20"/>
          <w:color w:val="auto"/>
        </w:rPr>
      </w:pPr>
    </w:p>
    <w:p>
      <w:pPr>
        <w:spacing w:after="0" w:line="203" w:lineRule="exact"/>
        <w:rPr>
          <w:sz w:val="20"/>
          <w:szCs w:val="20"/>
          <w:color w:val="auto"/>
        </w:rPr>
      </w:pPr>
    </w:p>
    <w:p>
      <w:pPr>
        <w:ind w:left="700" w:hanging="694"/>
        <w:spacing w:after="0"/>
        <w:tabs>
          <w:tab w:leader="none" w:pos="70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rFonts w:ascii="Times New Roman" w:cs="Times New Roman" w:eastAsia="Times New Roman" w:hAnsi="Times New Roman"/>
          <w:sz w:val="18"/>
          <w:szCs w:val="18"/>
          <w:b w:val="1"/>
          <w:bCs w:val="1"/>
          <w:color w:val="auto"/>
        </w:rPr>
      </w:pPr>
    </w:p>
    <w:p>
      <w:pPr>
        <w:ind w:left="520" w:hanging="250"/>
        <w:spacing w:after="0"/>
        <w:tabs>
          <w:tab w:leader="none" w:pos="520" w:val="left"/>
        </w:tabs>
        <w:numPr>
          <w:ilvl w:val="1"/>
          <w:numId w:val="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Initial Public Offering</w:t>
      </w:r>
    </w:p>
    <w:p>
      <w:pPr>
        <w:spacing w:after="0" w:line="113"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18"/>
          <w:szCs w:val="18"/>
          <w:color w:val="auto"/>
        </w:rPr>
        <w:t>On February 28, 2005, the Company filed a Registration Statement on Form S-1 with the Securities and Exchange Commission to register shares in an initial public offering (“IPO”). The IPO is expected to be consummated during the second quarter of 2005.</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(b) Long-Term Incentive Plan</w:t>
      </w:r>
    </w:p>
    <w:p>
      <w:pPr>
        <w:spacing w:after="0" w:line="113"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8"/>
          <w:szCs w:val="18"/>
          <w:color w:val="auto"/>
        </w:rPr>
        <w:t>On March 8, 2005 the Company adopted the 2005 Long-Term Incentive Plan which will become effective upon the consummation of the IPO. Under the Incentive Plan, the Company has reserved 910,000 shares of Common Stock for the grant of stock options and other equity incentive awards.</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(c) Termination of Anti-Dilution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28, 2005, the Company terminated the Anti-Dilution Plan discussed in Note 8(c).</w:t>
      </w:r>
    </w:p>
    <w:p>
      <w:pPr>
        <w:spacing w:after="0" w:line="2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color w:val="auto"/>
        </w:rPr>
        <w:t>(d) Stock Split</w:t>
      </w:r>
    </w:p>
    <w:p>
      <w:pPr>
        <w:spacing w:after="0" w:line="1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IPO, on May , 2005, the Board of Directors approved a 26-for-1 stock split of the Company’s common stock to be consummated on the effective date of the IPO. All share and per share amounts related to common stock and stock options included in the accompanying financial statements and footnotes have been restated to reflect the stock split.</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1" w:right="259" w:bottom="1440" w:gutter="0" w:footer="0" w:header="0"/>
        </w:sectPr>
      </w:pPr>
    </w:p>
    <w:bookmarkStart w:id="94" w:name="page95"/>
    <w:bookmarkEnd w:id="94"/>
    <w:p>
      <w:pPr>
        <w:spacing w:after="0"/>
        <w:rPr>
          <w:rFonts w:ascii="Times New Roman" w:cs="Times New Roman" w:eastAsia="Times New Roman" w:hAnsi="Times New Roman"/>
          <w:sz w:val="16"/>
          <w:szCs w:val="16"/>
          <w:b w:val="1"/>
          <w:bCs w:val="1"/>
          <w:u w:val="single" w:color="auto"/>
          <w:color w:val="0000EE"/>
        </w:rPr>
      </w:pPr>
      <w:hyperlink w:anchor="page4">
        <w:r>
          <w:rPr>
            <w:rFonts w:ascii="Times New Roman" w:cs="Times New Roman" w:eastAsia="Times New Roman" w:hAnsi="Times New Roman"/>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6579870</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11" w:right="1440"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3,850,000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231140</wp:posOffset>
            </wp:positionV>
            <wp:extent cx="1251585" cy="2438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51585" cy="24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701675</wp:posOffset>
            </wp:positionV>
            <wp:extent cx="40570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5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17780</wp:posOffset>
            </wp:positionV>
            <wp:extent cx="40570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5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CIBC World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4780" w:val="left"/>
          <w:tab w:leader="none" w:pos="8960" w:val="left"/>
        </w:tabs>
        <w:rPr>
          <w:sz w:val="20"/>
          <w:szCs w:val="20"/>
          <w:color w:val="auto"/>
        </w:rPr>
      </w:pPr>
      <w:r>
        <w:rPr>
          <w:rFonts w:ascii="Times New Roman" w:cs="Times New Roman" w:eastAsia="Times New Roman" w:hAnsi="Times New Roman"/>
          <w:sz w:val="28"/>
          <w:szCs w:val="28"/>
          <w:b w:val="1"/>
          <w:bCs w:val="1"/>
          <w:color w:val="auto"/>
        </w:rPr>
        <w:t>Piper Jaffray</w:t>
      </w:r>
      <w:r>
        <w:rPr>
          <w:sz w:val="20"/>
          <w:szCs w:val="20"/>
          <w:color w:val="auto"/>
        </w:rPr>
        <w:tab/>
      </w:r>
      <w:r>
        <w:rPr>
          <w:rFonts w:ascii="Times New Roman" w:cs="Times New Roman" w:eastAsia="Times New Roman" w:hAnsi="Times New Roman"/>
          <w:sz w:val="28"/>
          <w:szCs w:val="28"/>
          <w:b w:val="1"/>
          <w:bCs w:val="1"/>
          <w:color w:val="auto"/>
        </w:rPr>
        <w:t>SG Cowen &amp; Co.</w:t>
      </w:r>
      <w:r>
        <w:rPr>
          <w:sz w:val="20"/>
          <w:szCs w:val="20"/>
          <w:color w:val="auto"/>
        </w:rPr>
        <w:tab/>
      </w:r>
      <w:r>
        <w:rPr>
          <w:rFonts w:ascii="Times New Roman" w:cs="Times New Roman" w:eastAsia="Times New Roman" w:hAnsi="Times New Roman"/>
          <w:sz w:val="28"/>
          <w:szCs w:val="28"/>
          <w:b w:val="1"/>
          <w:bCs w:val="1"/>
          <w:color w:val="auto"/>
        </w:rPr>
        <w:t>Wachovia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-179705</wp:posOffset>
            </wp:positionV>
            <wp:extent cx="7249160" cy="2266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9160" cy="226695"/>
                    </a:xfrm>
                    <a:prstGeom prst="rect">
                      <a:avLst/>
                    </a:prstGeom>
                    <a:noFill/>
                  </pic:spPr>
                </pic:pic>
              </a:graphicData>
            </a:graphic>
          </wp:anchor>
        </w:drawing>
      </w:r>
    </w:p>
    <w:p>
      <w:pPr>
        <w:spacing w:after="0" w:line="9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information contained in this prospectus. No dealer, salesperson or other person is authorized to give information that is not contained in this prospectus. This prospectus is not an offer to sell nor is it seeking an offer to buy these securities in any jurisdiction where the offer or sale is not permitted. The information contained in this prospectus is correct only as of the date of this prospectus, regardless of the time of delivery of this prospectus or any sale of these securities.</w:t>
      </w:r>
    </w:p>
    <w:p>
      <w:pPr>
        <w:spacing w:after="0" w:line="7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8"/>
          <w:szCs w:val="18"/>
          <w:b w:val="1"/>
          <w:bCs w:val="1"/>
          <w:color w:val="auto"/>
        </w:rPr>
        <w:t>Until , 2005 (25 days after the commencement of the offering), all dealers that buy, sell or trade the common stock may be required to deliver a prospectus, regardless of whether they are participating in the offering.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725360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Information Not Required in Prospectus</w:t>
      </w:r>
    </w:p>
    <w:p>
      <w:pPr>
        <w:spacing w:after="0" w:line="21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Other Expenses of Issuance and Distribution.</w:t>
      </w:r>
    </w:p>
    <w:p>
      <w:pPr>
        <w:spacing w:after="0" w:line="11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sets forth the costs and expenses, other than underwriting discounts and commissions, payable by the registrant in connection with the sale of the securities being registered. All amounts are estimates except the SEC registration fee, the NASD fee and the Nasdaq National Market listing fee.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6,774.52</w:t>
            </w: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NASD filing fee</w:t>
            </w:r>
          </w:p>
        </w:tc>
        <w:tc>
          <w:tcPr>
            <w:tcW w:w="362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6,255.75</w:t>
            </w: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National Market listing fee</w:t>
            </w:r>
          </w:p>
        </w:tc>
        <w:tc>
          <w:tcPr>
            <w:tcW w:w="3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5,000.00</w:t>
            </w: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Printing</w:t>
            </w:r>
          </w:p>
        </w:tc>
        <w:tc>
          <w:tcPr>
            <w:tcW w:w="362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250,000.00</w:t>
            </w: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700,000.00</w:t>
            </w:r>
          </w:p>
        </w:tc>
      </w:tr>
      <w:tr>
        <w:trPr>
          <w:trHeight w:val="212"/>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20" w:type="dxa"/>
            <w:vAlign w:val="bottom"/>
          </w:tcPr>
          <w:p>
            <w:pPr>
              <w:spacing w:after="0"/>
              <w:rPr>
                <w:sz w:val="18"/>
                <w:szCs w:val="18"/>
                <w:color w:val="auto"/>
              </w:rPr>
            </w:pP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450,000.00</w:t>
            </w: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3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15,000.00</w:t>
            </w:r>
          </w:p>
        </w:tc>
      </w:tr>
      <w:tr>
        <w:trPr>
          <w:trHeight w:val="218"/>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116,969.73</w:t>
            </w:r>
          </w:p>
        </w:tc>
        <w:tc>
          <w:tcPr>
            <w:tcW w:w="8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w w:val="97"/>
              </w:rPr>
              <w:t>1,550,000.00</w:t>
            </w:r>
          </w:p>
        </w:tc>
      </w:tr>
    </w:tbl>
    <w:p>
      <w:pPr>
        <w:spacing w:after="0" w:line="18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115" w:lineRule="exact"/>
        <w:rPr>
          <w:sz w:val="20"/>
          <w:szCs w:val="20"/>
          <w:color w:val="auto"/>
        </w:rPr>
      </w:pPr>
    </w:p>
    <w:p>
      <w:pPr>
        <w:ind w:right="420"/>
        <w:spacing w:after="0" w:line="251" w:lineRule="auto"/>
        <w:rPr>
          <w:sz w:val="20"/>
          <w:szCs w:val="20"/>
          <w:color w:val="auto"/>
        </w:rPr>
      </w:pPr>
      <w:r>
        <w:rPr>
          <w:rFonts w:ascii="Times New Roman" w:cs="Times New Roman" w:eastAsia="Times New Roman" w:hAnsi="Times New Roman"/>
          <w:sz w:val="18"/>
          <w:szCs w:val="18"/>
          <w:color w:val="auto"/>
        </w:rPr>
        <w:t>As permitted by Section 102(b)(7) of the Delaware General Corporation Law, we have adopted provisions in our second amended and restated certificate of incorporation and amended and restated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reasonable available to them. Consequently, a director will not be personally liable to us or our stockholders for monetary damages or breach of fiduciary duty as a director except for:</w:t>
      </w:r>
    </w:p>
    <w:p>
      <w:pPr>
        <w:spacing w:after="0" w:line="29" w:lineRule="exact"/>
        <w:rPr>
          <w:sz w:val="20"/>
          <w:szCs w:val="20"/>
          <w:color w:val="auto"/>
        </w:rPr>
      </w:pPr>
    </w:p>
    <w:p>
      <w:pPr>
        <w:ind w:left="340" w:hanging="215"/>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related to unlawful stock repurchases, redemptions or other distributions or payment of dividends; or</w:t>
      </w:r>
    </w:p>
    <w:p>
      <w:pPr>
        <w:spacing w:after="0" w:line="70"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1" w:lineRule="exact"/>
        <w:rPr>
          <w:sz w:val="20"/>
          <w:szCs w:val="20"/>
          <w:color w:val="auto"/>
        </w:rPr>
      </w:pPr>
    </w:p>
    <w:p>
      <w:pPr>
        <w:ind w:right="700"/>
        <w:spacing w:after="0" w:line="301"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second amended and restated certificate of incorporation also authorizes us to indemnify our officers, directors and other agents to the fullest extent permitted under Delaware law.</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by Section 145 of the Delaware General Corporation Law, our amended and restated by-laws provide that:</w:t>
      </w:r>
    </w:p>
    <w:p>
      <w:pPr>
        <w:spacing w:after="0" w:line="58" w:lineRule="exact"/>
        <w:rPr>
          <w:sz w:val="20"/>
          <w:szCs w:val="20"/>
          <w:color w:val="auto"/>
        </w:rPr>
      </w:pPr>
    </w:p>
    <w:p>
      <w:pPr>
        <w:ind w:left="340" w:right="620" w:hanging="215"/>
        <w:spacing w:after="0" w:line="271"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indemnify our directors, officers and employees to the fullest extent permitted by the Delaware General Corporation Law, subject to limited exceptions;</w:t>
      </w:r>
    </w:p>
    <w:p>
      <w:pPr>
        <w:spacing w:after="0" w:line="22" w:lineRule="exact"/>
        <w:rPr>
          <w:rFonts w:ascii="Times New Roman" w:cs="Times New Roman" w:eastAsia="Times New Roman" w:hAnsi="Times New Roman"/>
          <w:sz w:val="18"/>
          <w:szCs w:val="18"/>
          <w:color w:val="auto"/>
        </w:rPr>
      </w:pPr>
    </w:p>
    <w:p>
      <w:pPr>
        <w:ind w:left="340" w:right="360" w:hanging="215"/>
        <w:spacing w:after="0" w:line="271"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22" w:lineRule="exact"/>
        <w:rPr>
          <w:rFonts w:ascii="Times New Roman" w:cs="Times New Roman" w:eastAsia="Times New Roman" w:hAnsi="Times New Roman"/>
          <w:sz w:val="18"/>
          <w:szCs w:val="18"/>
          <w:color w:val="auto"/>
        </w:rPr>
      </w:pPr>
    </w:p>
    <w:p>
      <w:pPr>
        <w:ind w:left="340" w:hanging="215"/>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our amended and restated by-laws are not exclusive.</w:t>
      </w:r>
    </w:p>
    <w:p>
      <w:pPr>
        <w:spacing w:after="0" w:line="111" w:lineRule="exact"/>
        <w:rPr>
          <w:sz w:val="20"/>
          <w:szCs w:val="20"/>
          <w:color w:val="auto"/>
        </w:rPr>
      </w:pPr>
    </w:p>
    <w:p>
      <w:pPr>
        <w:jc w:val="both"/>
        <w:ind w:right="440"/>
        <w:spacing w:after="0" w:line="258"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attached as Exhibit 3.1 hereto, and our amended and restated by-laws, attached as Exhibit 3.2 hereto, provide for the indemnification provisions described above and elsewhere herein. In addition, we have purchased a policy of directors’ and officers’ liability insurance that insures our directors and officers against the cost of defense, settlement or payment of</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8"/>
          <w:szCs w:val="18"/>
          <w:color w:val="auto"/>
        </w:rPr>
        <w:t>a judgment in some circumstances. These indemnification provisions may be sufficiently broad to permit indemnification of our officers and directors for liabilities, including reimbursement of expenses incurred, arising under the Securities Act of 1933, as amended (the “1933 Act”).</w:t>
      </w:r>
    </w:p>
    <w:p>
      <w:pPr>
        <w:spacing w:after="0" w:line="6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The form of Underwriting Agreement, attached as Exhibit 1.1 hereto, provides for indemnification by the underwriters of us and our officers and directors for specified liabilities, including matters arising under the 1933 Act.</w:t>
      </w:r>
    </w:p>
    <w:p>
      <w:pPr>
        <w:spacing w:after="0" w:line="1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Recent Sales of Unregistered Securities.</w:t>
      </w:r>
    </w:p>
    <w:p>
      <w:pPr>
        <w:spacing w:after="0" w:line="11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Set forth below in reverse chronological order is information regarding the number of shares of capital stock and options issued by us since April 2002, without giving effect to our planned 26-to-1 stock split. Also included is the consideration if any received by us for the securities.</w:t>
      </w:r>
    </w:p>
    <w:p>
      <w:pPr>
        <w:spacing w:after="0" w:line="6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There was no public offering in any such transaction and we believe that each transaction was exempt from the registration requirements of the 1933 Act, by reason of Regulation D and Section 4(2) of the 1933 Act, based on the private nature of the transactions and the financial sophistication of the purchasers, all of whom had access to complete information concerning us and acquired the securities for investment and not with a view to the distribution thereof. In addition, we believe that the transactions described below with respect to the issuance of option grants and warrants to our employees and directors were exempt from registration requirements of the 1933 Act by reason of Rule 701 promulgated thereunder.</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In January 2004, a former employee of ours resigned with 15,600 shares of vested stock options. The employee exercised his options in March 2004 pursuant to the provisions of our Amended and Restated 1999 Stock Option Plan and we issued to him shares of our common stock. In September 2004, pursuant to the terms and conditions of our Amended and Restated 1999 Stock Option Plan, we repurchased the 15,600 shares of common stock from him for the then fair market value of the common stock. As consideration we issued him a non-negotiable three year junior subordinated note in the amount of $106,800. The common shares we repurchased are currently held by us in treasury stock.</w:t>
      </w:r>
    </w:p>
    <w:p>
      <w:pPr>
        <w:spacing w:after="0" w:line="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10, 2004, Messrs. Lupo and Noll received options to purchase 2,600 shares of our common stock at an exercise price of $6.54 per share. Also in fiscal 2004, we granted Messrs. Anderson and Bellino options to purchase 312 and 676 shares of our common stock, respectively, at an exercise price of $6.85 per share.</w:t>
      </w:r>
    </w:p>
    <w:p>
      <w:pPr>
        <w:spacing w:after="0" w:line="7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8"/>
          <w:szCs w:val="18"/>
          <w:color w:val="auto"/>
        </w:rPr>
        <w:t>In August 2003, our board of directors adopted an Anti-Dilution Plan whereby stock options are to be issued to Hampshire Equity Partners, as well as other common stockholders, in amounts necessary to prevent the dilution of their ownership percentage as a result of the issuance of stock options to our other employees. Options granted under this Anti-Dilution Plan are to be issued at the estimated fair market value of our common stock on the date of grant and vest immediately. The Anti-Dilution Plan was terminated effective on April 28, 2005. See Note 12 to our consolidated financial statements. During fiscal 2004 and fiscal 2003, we issued stock options for 31,174 and 39,078 shares of common stock, respectively, under this Anti-Dilution Plan, 37,050 of which were issued to Hampshire Equity Partners. Because Hampshire Equity Partners does not qualify as an employee, FIN No. 44 required us to recognize a charge to earnings during fiscal 2004 and fiscal 2003 of $58,672 and $38,832, respectively. The fair value of the vested options was determined using the Black-Scholes option-pricing model.</w:t>
      </w:r>
    </w:p>
    <w:p>
      <w:pPr>
        <w:spacing w:after="0" w:line="1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1" w:right="29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113" w:lineRule="exact"/>
        <w:rPr>
          <w:sz w:val="20"/>
          <w:szCs w:val="20"/>
          <w:color w:val="auto"/>
        </w:rPr>
      </w:pPr>
    </w:p>
    <w:p>
      <w:pPr>
        <w:ind w:left="420" w:hanging="414"/>
        <w:spacing w:after="0"/>
        <w:tabs>
          <w:tab w:leader="none" w:pos="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filed as part of this registration statement: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4"/>
                <w:szCs w:val="14"/>
                <w:color w:val="auto"/>
              </w:rPr>
            </w:pPr>
          </w:p>
        </w:tc>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2"/>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418"/>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Second Amended and Restated Certificate of Incorporation*</w:t>
            </w:r>
          </w:p>
        </w:tc>
      </w:tr>
      <w:tr>
        <w:trPr>
          <w:trHeight w:val="423"/>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By-laws*</w:t>
            </w:r>
          </w:p>
        </w:tc>
      </w:tr>
      <w:tr>
        <w:trPr>
          <w:trHeight w:val="423"/>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Specimen certificate for shares of common stock, $.01 par value**</w:t>
            </w:r>
          </w:p>
        </w:tc>
      </w:tr>
      <w:tr>
        <w:trPr>
          <w:trHeight w:val="423"/>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Opinion of Paul, Hastings, Janofsky &amp; Walker LLP**</w:t>
            </w:r>
          </w:p>
        </w:tc>
      </w:tr>
      <w:tr>
        <w:trPr>
          <w:trHeight w:val="423"/>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Letter Agreement by and between R. Edward Anderson and Citi Trends, Inc., dated November 16, 2001*</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w w:val="99"/>
              </w:rPr>
              <w:t>Employment and Non-Interference Agreement by and between George Bellino and Citi Trends, Inc., dated as of April 13,</w:t>
            </w:r>
          </w:p>
        </w:tc>
      </w:tr>
      <w:tr>
        <w:trPr>
          <w:trHeight w:val="229"/>
        </w:trPr>
        <w:tc>
          <w:tcPr>
            <w:tcW w:w="2320" w:type="dxa"/>
            <w:vAlign w:val="bottom"/>
          </w:tcPr>
          <w:p>
            <w:pPr>
              <w:spacing w:after="0"/>
              <w:rPr>
                <w:sz w:val="19"/>
                <w:szCs w:val="19"/>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1999*</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Employment and Non-Interference Agreement by and between George Bellino and Citi Trends,</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Inc., dated as of December 2001*</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w w:val="98"/>
              </w:rPr>
              <w:t>The Loan and Security Agreement, dated as of April 2, 1999, by and between Congress Financial Corporation (Southwest)</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and Allied Fashion,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Loan and Security Agreement, dated as of June 28, 2000, by and between Congress Financial</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(Southwest) and Allied Fashion,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Second Amendment to Loan and Security Agreement, dated as of November 30, 2000, by and between Congress Financial</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(Southwest) and Allied Fashion,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Loan and Security Agreement, dated as of January 2003, by and between Congress Financial</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(Southwest) and Citi Trends,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Fourth Amendment to Loan and Security Agreement, dated as of February 9, 2005, by and between Congress Financial</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(Southwest) and Citi Trends,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w w:val="99"/>
              </w:rPr>
              <w:t>Lease Agreement, dated as of September 30, 2004, by and between Meyer Warehouse, LLC, as landlord, and Citi Trends,</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Inc., as tenant*</w:t>
            </w:r>
          </w:p>
        </w:tc>
      </w:tr>
      <w:tr>
        <w:trPr>
          <w:trHeight w:val="423"/>
        </w:trPr>
        <w:tc>
          <w:tcPr>
            <w:tcW w:w="23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$3.0 Million Promissory Note of Citi Trends, Inc. payable to Bank of America issued on June 21, 2004*</w:t>
            </w:r>
          </w:p>
        </w:tc>
      </w:tr>
      <w:tr>
        <w:trPr>
          <w:trHeight w:val="423"/>
        </w:trPr>
        <w:tc>
          <w:tcPr>
            <w:tcW w:w="23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2005 Long Term Incentive Plan*</w:t>
            </w:r>
          </w:p>
        </w:tc>
      </w:tr>
      <w:tr>
        <w:trPr>
          <w:trHeight w:val="423"/>
        </w:trPr>
        <w:tc>
          <w:tcPr>
            <w:tcW w:w="23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10.12</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Nominating Agreement by and between Citi Trends, Inc. and Hampshire Equity Partners II, L.P.*</w:t>
            </w:r>
          </w:p>
        </w:tc>
      </w:tr>
      <w:tr>
        <w:trPr>
          <w:trHeight w:val="423"/>
        </w:trPr>
        <w:tc>
          <w:tcPr>
            <w:tcW w:w="23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10.13</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Registration Rights Agreement by and between Citi Trends, Inc. and Hampshire Equity Partners II, L.P.**</w:t>
            </w:r>
          </w:p>
        </w:tc>
      </w:tr>
      <w:tr>
        <w:trPr>
          <w:trHeight w:val="397"/>
        </w:trPr>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6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II-3</w:t>
            </w:r>
          </w:p>
        </w:tc>
      </w:tr>
      <w:tr>
        <w:trPr>
          <w:trHeight w:val="222"/>
        </w:trPr>
        <w:tc>
          <w:tcPr>
            <w:tcW w:w="2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4"/>
                <w:szCs w:val="14"/>
                <w:color w:val="auto"/>
              </w:rPr>
            </w:pPr>
          </w:p>
        </w:tc>
        <w:tc>
          <w:tcPr>
            <w:tcW w:w="8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11"/>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10.14</w:t>
            </w:r>
          </w:p>
        </w:tc>
        <w:tc>
          <w:tcPr>
            <w:tcW w:w="3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Hampshire Management Consulting Agreement, effective as of February 1, 2004 by and between</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 Trends, Inc. and Hampshire Management Company LLC*</w:t>
            </w:r>
          </w:p>
        </w:tc>
      </w:tr>
      <w:tr>
        <w:trPr>
          <w:trHeight w:val="423"/>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10.15</w:t>
            </w:r>
          </w:p>
        </w:tc>
        <w:tc>
          <w:tcPr>
            <w:tcW w:w="3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Termination Agreement by and between Citi Trends, Inc. and Hampshire Management Company LLC**</w:t>
            </w:r>
          </w:p>
        </w:tc>
      </w:tr>
      <w:tr>
        <w:trPr>
          <w:trHeight w:val="423"/>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 Trends, Inc. Code of Business Conduct**</w:t>
            </w:r>
          </w:p>
        </w:tc>
      </w:tr>
      <w:tr>
        <w:trPr>
          <w:trHeight w:val="423"/>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423"/>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Paul Hastings, Janofsky &amp; Walker LLP (included in Exhibit 5.1)**</w:t>
            </w:r>
          </w:p>
        </w:tc>
      </w:tr>
      <w:tr>
        <w:trPr>
          <w:trHeight w:val="424"/>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w:t>
            </w:r>
          </w:p>
        </w:tc>
      </w:tr>
      <w:tr>
        <w:trPr>
          <w:trHeight w:val="20"/>
        </w:trPr>
        <w:tc>
          <w:tcPr>
            <w:tcW w:w="2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i w:val="1"/>
          <w:iCs w:val="1"/>
          <w:color w:val="auto"/>
        </w:rPr>
        <w:t>Undertakings.</w:t>
      </w:r>
    </w:p>
    <w:p>
      <w:pPr>
        <w:spacing w:after="0" w:line="115" w:lineRule="exact"/>
        <w:rPr>
          <w:sz w:val="20"/>
          <w:szCs w:val="20"/>
          <w:color w:val="auto"/>
        </w:rPr>
      </w:pPr>
    </w:p>
    <w:p>
      <w:pPr>
        <w:ind w:right="760"/>
        <w:spacing w:after="0" w:line="271"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6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11" w:lineRule="exact"/>
        <w:rPr>
          <w:sz w:val="20"/>
          <w:szCs w:val="20"/>
          <w:color w:val="auto"/>
        </w:rPr>
      </w:pPr>
    </w:p>
    <w:p>
      <w:pPr>
        <w:ind w:left="340" w:right="80" w:firstLine="274"/>
        <w:spacing w:after="0" w:line="270" w:lineRule="auto"/>
        <w:tabs>
          <w:tab w:leader="none" w:pos="103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as amended, the information omitted from the form of prospectus filed as part of this registration statement in reliance upon Rule 430A and contained in a form of prospectus filed by the registrant pursuant to Rule 424(b)(1) or</w:t>
      </w:r>
    </w:p>
    <w:p>
      <w:pPr>
        <w:ind w:left="600" w:hanging="250"/>
        <w:spacing w:after="0"/>
        <w:tabs>
          <w:tab w:leader="none" w:pos="6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497(h) under the Securities Act of 1933, as amended, shall be deemed to be part of this registration statement as of the time it was declared effective.</w:t>
      </w:r>
    </w:p>
    <w:p>
      <w:pPr>
        <w:spacing w:after="0" w:line="117" w:lineRule="exact"/>
        <w:rPr>
          <w:rFonts w:ascii="Times New Roman" w:cs="Times New Roman" w:eastAsia="Times New Roman" w:hAnsi="Times New Roman"/>
          <w:sz w:val="17"/>
          <w:szCs w:val="17"/>
          <w:color w:val="auto"/>
        </w:rPr>
      </w:pPr>
    </w:p>
    <w:p>
      <w:pPr>
        <w:ind w:left="340" w:right="120" w:firstLine="274"/>
        <w:spacing w:after="0" w:line="258" w:lineRule="auto"/>
        <w:tabs>
          <w:tab w:leader="none" w:pos="103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63"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Amendment No. 2 to the Registration Statement has been signed on its behalf by the undersigned, thereunto duly authorized, in The City of New York, State of New York, on the 29th of April, 2005.</w:t>
      </w:r>
    </w:p>
    <w:p>
      <w:pPr>
        <w:spacing w:after="0" w:line="16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CITI TRENDS,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 /s/ R. E</w:t>
      </w:r>
      <w:r>
        <w:rPr>
          <w:rFonts w:ascii="Times New Roman" w:cs="Times New Roman" w:eastAsia="Times New Roman" w:hAnsi="Times New Roman"/>
          <w:sz w:val="11"/>
          <w:szCs w:val="11"/>
          <w:color w:val="auto"/>
        </w:rPr>
        <w:t>DWARD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1"/>
          <w:szCs w:val="11"/>
          <w:color w:val="auto"/>
        </w:rPr>
        <w:t>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40005</wp:posOffset>
            </wp:positionV>
            <wp:extent cx="43427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 Edward Anderson</w:t>
      </w:r>
    </w:p>
    <w:p>
      <w:pPr>
        <w:spacing w:after="0" w:line="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By: /s/ T</w:t>
      </w:r>
      <w:r>
        <w:rPr>
          <w:rFonts w:ascii="Times New Roman" w:cs="Times New Roman" w:eastAsia="Times New Roman" w:hAnsi="Times New Roman"/>
          <w:sz w:val="11"/>
          <w:szCs w:val="11"/>
          <w:color w:val="auto"/>
        </w:rPr>
        <w:t>HOMAS</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1"/>
          <w:szCs w:val="11"/>
          <w:color w:val="auto"/>
        </w:rPr>
        <w:t>TOLTZ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40005</wp:posOffset>
            </wp:positionV>
            <wp:extent cx="43427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5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Thomas W. Stoltz</w:t>
      </w:r>
    </w:p>
    <w:p>
      <w:pPr>
        <w:spacing w:after="0" w:line="2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and Accounting Officer)</w:t>
      </w:r>
    </w:p>
    <w:p>
      <w:pPr>
        <w:spacing w:after="0" w:line="4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Amendment No. 2 to the Registrant’s Registration Statement has been signed by the following persons in the capacities and on the dates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340" w:type="dxa"/>
            <w:vAlign w:val="bottom"/>
          </w:tcPr>
          <w:p>
            <w:pPr>
              <w:spacing w:after="0"/>
              <w:rPr>
                <w:sz w:val="14"/>
                <w:szCs w:val="14"/>
                <w:color w:val="auto"/>
              </w:rPr>
            </w:pPr>
          </w:p>
        </w:tc>
        <w:tc>
          <w:tcPr>
            <w:tcW w:w="492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 R. E</w:t>
            </w:r>
            <w:r>
              <w:rPr>
                <w:rFonts w:ascii="Times New Roman" w:cs="Times New Roman" w:eastAsia="Times New Roman" w:hAnsi="Times New Roman"/>
                <w:sz w:val="11"/>
                <w:szCs w:val="11"/>
                <w:color w:val="auto"/>
              </w:rPr>
              <w:t>DWARD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1"/>
                <w:szCs w:val="11"/>
                <w:color w:val="auto"/>
              </w:rPr>
              <w:t>NDERSON</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2005</w:t>
            </w:r>
          </w:p>
        </w:tc>
      </w:tr>
      <w:tr>
        <w:trPr>
          <w:trHeight w:val="27"/>
        </w:trPr>
        <w:tc>
          <w:tcPr>
            <w:tcW w:w="4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 Edward Anderson,</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on behalf of himself as well as Attorney-in-Fact</w:t>
            </w:r>
          </w:p>
        </w:tc>
        <w:tc>
          <w:tcPr>
            <w:tcW w:w="3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1"/>
                <w:szCs w:val="11"/>
                <w:color w:val="auto"/>
              </w:rPr>
              <w:t>HOMAS</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1"/>
                <w:szCs w:val="11"/>
                <w:color w:val="auto"/>
              </w:rPr>
              <w:t>TOLTZ</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8"/>
              </w:rPr>
              <w:t>Chief Financial Officer (Principal Financial and Accounting Officer)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2005</w:t>
            </w:r>
          </w:p>
        </w:tc>
      </w:tr>
      <w:tr>
        <w:trPr>
          <w:trHeight w:val="27"/>
        </w:trPr>
        <w:tc>
          <w:tcPr>
            <w:tcW w:w="4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Thomas W. Stoltz,</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on behalf of himself as well as Attorney-in-Fact</w:t>
            </w:r>
          </w:p>
        </w:tc>
        <w:tc>
          <w:tcPr>
            <w:tcW w:w="3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2005</w:t>
            </w:r>
          </w:p>
        </w:tc>
      </w:tr>
      <w:tr>
        <w:trPr>
          <w:trHeight w:val="27"/>
        </w:trPr>
        <w:tc>
          <w:tcPr>
            <w:tcW w:w="4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George A. Bellino</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2005</w:t>
            </w:r>
          </w:p>
        </w:tc>
      </w:tr>
      <w:tr>
        <w:trPr>
          <w:trHeight w:val="27"/>
        </w:trPr>
        <w:tc>
          <w:tcPr>
            <w:tcW w:w="4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Gregory P. Flynn</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2005</w:t>
            </w:r>
          </w:p>
        </w:tc>
      </w:tr>
      <w:tr>
        <w:trPr>
          <w:trHeight w:val="27"/>
        </w:trPr>
        <w:tc>
          <w:tcPr>
            <w:tcW w:w="4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Laurens M. Goff</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2005</w:t>
            </w:r>
          </w:p>
        </w:tc>
      </w:tr>
      <w:tr>
        <w:trPr>
          <w:trHeight w:val="27"/>
        </w:trPr>
        <w:tc>
          <w:tcPr>
            <w:tcW w:w="4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John S. Lupo</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29, 2005</w:t>
            </w:r>
          </w:p>
        </w:tc>
      </w:tr>
      <w:tr>
        <w:trPr>
          <w:trHeight w:val="27"/>
        </w:trPr>
        <w:tc>
          <w:tcPr>
            <w:tcW w:w="4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Tracy L. Noll</w:t>
            </w:r>
          </w:p>
        </w:tc>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*By: /s/ R. E</w:t>
            </w:r>
            <w:r>
              <w:rPr>
                <w:rFonts w:ascii="Times New Roman" w:cs="Times New Roman" w:eastAsia="Times New Roman" w:hAnsi="Times New Roman"/>
                <w:sz w:val="11"/>
                <w:szCs w:val="11"/>
                <w:color w:val="auto"/>
              </w:rPr>
              <w:t>DWARD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1"/>
                <w:szCs w:val="11"/>
                <w:color w:val="auto"/>
              </w:rPr>
              <w:t>NDERSON</w:t>
            </w:r>
          </w:p>
        </w:tc>
        <w:tc>
          <w:tcPr>
            <w:tcW w:w="3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 Edward Anderson</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3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2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*By: /s/ T</w:t>
            </w:r>
            <w:r>
              <w:rPr>
                <w:rFonts w:ascii="Times New Roman" w:cs="Times New Roman" w:eastAsia="Times New Roman" w:hAnsi="Times New Roman"/>
                <w:sz w:val="11"/>
                <w:szCs w:val="11"/>
                <w:color w:val="auto"/>
              </w:rPr>
              <w:t>HOMAS</w:t>
            </w:r>
            <w:r>
              <w:rPr>
                <w:rFonts w:ascii="Times New Roman" w:cs="Times New Roman" w:eastAsia="Times New Roman" w:hAnsi="Times New Roman"/>
                <w:sz w:val="18"/>
                <w:szCs w:val="18"/>
                <w:color w:val="auto"/>
              </w:rPr>
              <w:t xml:space="preserve"> W. S</w:t>
            </w:r>
            <w:r>
              <w:rPr>
                <w:rFonts w:ascii="Times New Roman" w:cs="Times New Roman" w:eastAsia="Times New Roman" w:hAnsi="Times New Roman"/>
                <w:sz w:val="11"/>
                <w:szCs w:val="11"/>
                <w:color w:val="auto"/>
              </w:rPr>
              <w:t>TOLTZ</w:t>
            </w:r>
          </w:p>
        </w:tc>
        <w:tc>
          <w:tcPr>
            <w:tcW w:w="3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Thomas W. Stoltz</w:t>
            </w:r>
          </w:p>
        </w:tc>
        <w:tc>
          <w:tcPr>
            <w:tcW w:w="34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3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84"/>
        </w:trPr>
        <w:tc>
          <w:tcPr>
            <w:tcW w:w="4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II-5</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22"/>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60" w:type="dxa"/>
            <w:vAlign w:val="bottom"/>
          </w:tcPr>
          <w:p>
            <w:pPr>
              <w:ind w:left="2440"/>
              <w:spacing w:after="0"/>
              <w:rPr>
                <w:sz w:val="20"/>
                <w:szCs w:val="20"/>
                <w:color w:val="auto"/>
              </w:rPr>
            </w:pPr>
            <w:r>
              <w:rPr>
                <w:rFonts w:ascii="Times New Roman" w:cs="Times New Roman" w:eastAsia="Times New Roman" w:hAnsi="Times New Roman"/>
                <w:sz w:val="21"/>
                <w:szCs w:val="21"/>
                <w:b w:val="1"/>
                <w:bCs w:val="1"/>
                <w:color w:val="auto"/>
              </w:rPr>
              <w:t>Exhibit Index</w:t>
            </w:r>
          </w:p>
        </w:tc>
      </w:tr>
      <w:tr>
        <w:trPr>
          <w:trHeight w:val="359"/>
        </w:trPr>
        <w:tc>
          <w:tcPr>
            <w:tcW w:w="23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22"/>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418"/>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Second Amended and Restated Certificate of Incorporation*</w:t>
            </w:r>
          </w:p>
        </w:tc>
      </w:tr>
      <w:tr>
        <w:trPr>
          <w:trHeight w:val="423"/>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Amended and Restated By-laws*</w:t>
            </w:r>
          </w:p>
        </w:tc>
      </w:tr>
      <w:tr>
        <w:trPr>
          <w:trHeight w:val="423"/>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Specimen certificate for shares of common stock, $.01 par value**</w:t>
            </w:r>
          </w:p>
        </w:tc>
      </w:tr>
      <w:tr>
        <w:trPr>
          <w:trHeight w:val="423"/>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Opinion of Paul, Hastings, Janofsky &amp; Walker LLP**</w:t>
            </w:r>
          </w:p>
        </w:tc>
      </w:tr>
      <w:tr>
        <w:trPr>
          <w:trHeight w:val="423"/>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Letter Agreement by and between R. Edward Anderson and Citi Trends, Inc., dated November 16, 2001*</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w w:val="99"/>
              </w:rPr>
              <w:t>Employment and Non-Interference Agreement by and between George Bellino and Citi Trends, Inc., dated as of April 13,</w:t>
            </w:r>
          </w:p>
        </w:tc>
      </w:tr>
      <w:tr>
        <w:trPr>
          <w:trHeight w:val="229"/>
        </w:trPr>
        <w:tc>
          <w:tcPr>
            <w:tcW w:w="2320" w:type="dxa"/>
            <w:vAlign w:val="bottom"/>
          </w:tcPr>
          <w:p>
            <w:pPr>
              <w:spacing w:after="0"/>
              <w:rPr>
                <w:sz w:val="19"/>
                <w:szCs w:val="19"/>
                <w:color w:val="auto"/>
              </w:rPr>
            </w:pPr>
          </w:p>
        </w:tc>
        <w:tc>
          <w:tcPr>
            <w:tcW w:w="9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1999*</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Employment and Non-Interference Agreement by and between George Bellino and Citi Trends,</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Inc., dated as of December 2001*</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w w:val="98"/>
              </w:rPr>
              <w:t>The Loan and Security Agreement, dated as of April 2, 1999, by and between Congress Financial Corporation (Southwest)</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and Allied Fashion,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First Amendment to Loan and Security Agreement, dated as of June 28, 2000, by and between Congress Financial</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(Southwest) and Allied Fashion,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Second Amendment to Loan and Security Agreement, dated as of November 30, 2000, by and between Congress Financial</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(Southwest) and Allied Fashion,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Third Amendment to Loan and Security Agreement, dated as of January 2003, by and between Congress Financial</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(Southwest) and Citi Trends,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Fourth Amendment to Loan and Security Agreement, dated as of February 9, 2005, by and between Congress Financial</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Corporation (Southwest) and Citi Trends, Inc.*</w:t>
            </w:r>
          </w:p>
        </w:tc>
      </w:tr>
      <w:tr>
        <w:trPr>
          <w:trHeight w:val="406"/>
        </w:trPr>
        <w:tc>
          <w:tcPr>
            <w:tcW w:w="2320" w:type="dxa"/>
            <w:vAlign w:val="bottom"/>
          </w:tcPr>
          <w:p>
            <w:pPr>
              <w:jc w:val="right"/>
              <w:ind w:right="913"/>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w w:val="99"/>
              </w:rPr>
              <w:t>Lease Agreement, dated as of September 30, 2004, by and between Meyer Warehouse, LLC, as landlord, and Citi Trends,</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Inc., as tenant*</w:t>
            </w:r>
          </w:p>
        </w:tc>
      </w:tr>
      <w:tr>
        <w:trPr>
          <w:trHeight w:val="423"/>
        </w:trPr>
        <w:tc>
          <w:tcPr>
            <w:tcW w:w="23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$3.0 Million Promissory Note of Citi Trends, Inc. payable to Bank of America issued on June 21, 2004*</w:t>
            </w:r>
          </w:p>
        </w:tc>
      </w:tr>
      <w:tr>
        <w:trPr>
          <w:trHeight w:val="423"/>
        </w:trPr>
        <w:tc>
          <w:tcPr>
            <w:tcW w:w="23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2005 Long Term Incentive Plan*</w:t>
            </w:r>
          </w:p>
        </w:tc>
      </w:tr>
      <w:tr>
        <w:trPr>
          <w:trHeight w:val="423"/>
        </w:trPr>
        <w:tc>
          <w:tcPr>
            <w:tcW w:w="23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10.12</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Nominating Agreement by and between Citi Trends, Inc. and Hampshire Equity Partners II, L.P.*</w:t>
            </w:r>
          </w:p>
        </w:tc>
      </w:tr>
      <w:tr>
        <w:trPr>
          <w:trHeight w:val="423"/>
        </w:trPr>
        <w:tc>
          <w:tcPr>
            <w:tcW w:w="23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10.13</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Registration Rights Agreement by and between Citi Trends, Inc. and Hampshire Equity Partners II, L.P.**</w:t>
            </w:r>
          </w:p>
        </w:tc>
      </w:tr>
      <w:tr>
        <w:trPr>
          <w:trHeight w:val="406"/>
        </w:trPr>
        <w:tc>
          <w:tcPr>
            <w:tcW w:w="2320" w:type="dxa"/>
            <w:vAlign w:val="bottom"/>
          </w:tcPr>
          <w:p>
            <w:pPr>
              <w:jc w:val="right"/>
              <w:ind w:right="833"/>
              <w:spacing w:after="0"/>
              <w:rPr>
                <w:sz w:val="20"/>
                <w:szCs w:val="20"/>
                <w:color w:val="auto"/>
              </w:rPr>
            </w:pPr>
            <w:r>
              <w:rPr>
                <w:rFonts w:ascii="Times New Roman" w:cs="Times New Roman" w:eastAsia="Times New Roman" w:hAnsi="Times New Roman"/>
                <w:sz w:val="18"/>
                <w:szCs w:val="18"/>
                <w:color w:val="auto"/>
              </w:rPr>
              <w:t>10.14</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Hampshire Management Consulting Agreement, effective February 1, 2004, by and between Citi</w:t>
            </w:r>
          </w:p>
        </w:tc>
      </w:tr>
      <w:tr>
        <w:trPr>
          <w:trHeight w:val="229"/>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Trends, Inc. and Hampshire Management Company LLC*</w:t>
            </w:r>
          </w:p>
        </w:tc>
      </w:tr>
      <w:tr>
        <w:trPr>
          <w:trHeight w:val="222"/>
        </w:trPr>
        <w:tc>
          <w:tcPr>
            <w:tcW w:w="2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1"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14"/>
                <w:szCs w:val="14"/>
                <w:color w:val="auto"/>
              </w:rPr>
            </w:pPr>
          </w:p>
        </w:tc>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29"/>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10.15</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Form of Termination Agreement, by and between Citi Trends, Inc. and Hampshire Management Company LLC**</w:t>
            </w:r>
          </w:p>
        </w:tc>
      </w:tr>
      <w:tr>
        <w:trPr>
          <w:trHeight w:val="423"/>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Citi Trends, Inc. Code of Business Conduct**</w:t>
            </w:r>
          </w:p>
        </w:tc>
      </w:tr>
      <w:tr>
        <w:trPr>
          <w:trHeight w:val="423"/>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Consent of KPMG LLP**</w:t>
            </w:r>
          </w:p>
        </w:tc>
      </w:tr>
      <w:tr>
        <w:trPr>
          <w:trHeight w:val="423"/>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23.2</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Consent of Paul Hastings, Janofsky &amp; Walker LLP (included in Exhibit 5.1)**</w:t>
            </w:r>
          </w:p>
        </w:tc>
      </w:tr>
      <w:tr>
        <w:trPr>
          <w:trHeight w:val="423"/>
        </w:trPr>
        <w:tc>
          <w:tcPr>
            <w:tcW w:w="23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tcPr>
          <w:p>
            <w:pPr>
              <w:spacing w:after="0"/>
              <w:rPr>
                <w:sz w:val="24"/>
                <w:szCs w:val="24"/>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 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13017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ectPr>
          <w:pgSz w:w="11900" w:h="16838" w:orient="portrait"/>
          <w:cols w:equalWidth="0" w:num="1">
            <w:col w:w="11420"/>
          </w:cols>
          <w:pgMar w:left="240" w:top="411" w:right="239" w:bottom="1440" w:gutter="0" w:footer="0" w:header="0"/>
        </w:sectPr>
      </w:pPr>
    </w:p>
    <w:bookmarkStart w:id="103" w:name="page104"/>
    <w:bookmarkEnd w:id="103"/>
    <w:p>
      <w:pPr>
        <w:ind w:left="7120"/>
        <w:spacing w:after="0"/>
        <w:rPr>
          <w:sz w:val="20"/>
          <w:szCs w:val="20"/>
          <w:color w:val="auto"/>
        </w:rPr>
      </w:pPr>
      <w:r>
        <w:rPr>
          <w:rFonts w:ascii="Courier New" w:cs="Courier New" w:eastAsia="Courier New" w:hAnsi="Courier New"/>
          <w:sz w:val="17"/>
          <w:szCs w:val="17"/>
          <w:color w:val="auto"/>
        </w:rPr>
        <w:t>EXHIBIT 4.1</w:t>
      </w:r>
    </w:p>
    <w:p>
      <w:pPr>
        <w:spacing w:after="0" w:line="204"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(CITI TRENDS LOGO)</w:t>
      </w:r>
    </w:p>
    <w:p>
      <w:pPr>
        <w:sectPr>
          <w:pgSz w:w="11900" w:h="16838" w:orient="portrait"/>
          <w:cols w:equalWidth="0" w:num="1">
            <w:col w:w="10219"/>
          </w:cols>
          <w:pgMar w:left="240" w:top="506" w:right="1440" w:bottom="1440" w:gutter="0" w:footer="0" w:header="0"/>
        </w:sectPr>
      </w:pPr>
    </w:p>
    <w:p>
      <w:pPr>
        <w:spacing w:after="0" w:line="20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COMMON STOCK</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200" w:lineRule="exact"/>
        <w:rPr>
          <w:sz w:val="20"/>
          <w:szCs w:val="20"/>
          <w:color w:val="auto"/>
        </w:rPr>
      </w:pPr>
    </w:p>
    <w:p>
      <w:pPr>
        <w:sectPr>
          <w:pgSz w:w="11900" w:h="16838" w:orient="portrait"/>
          <w:cols w:equalWidth="0" w:num="2">
            <w:col w:w="5480" w:space="720"/>
            <w:col w:w="4019"/>
          </w:cols>
          <w:pgMar w:left="240" w:top="506" w:right="1440" w:bottom="1440" w:gutter="0" w:footer="0" w:header="0"/>
          <w:type w:val="continuous"/>
        </w:sectPr>
      </w:pP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(NUMBER GRAPHIC)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(SHARES GRAPHIC)</w:t>
      </w:r>
    </w:p>
    <w:p>
      <w:pPr>
        <w:spacing w:after="0" w:line="200" w:lineRule="exact"/>
        <w:rPr>
          <w:sz w:val="20"/>
          <w:szCs w:val="20"/>
          <w:color w:val="auto"/>
        </w:rPr>
      </w:pPr>
    </w:p>
    <w:p>
      <w:pPr>
        <w:sectPr>
          <w:pgSz w:w="11900" w:h="16838" w:orient="portrait"/>
          <w:cols w:equalWidth="0" w:num="2">
            <w:col w:w="5280" w:space="720"/>
            <w:col w:w="4219"/>
          </w:cols>
          <w:pgMar w:left="240" w:top="506"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INCORPORATED UNDER THE LAWS</w:t>
      </w:r>
    </w:p>
    <w:p>
      <w:pPr>
        <w:spacing w:after="0" w:line="3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 THE STATE OF DELAWARE</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7"/>
          <w:szCs w:val="17"/>
          <w:color w:val="auto"/>
        </w:rPr>
        <w:t>SEE REVERSE FOR</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DEFINITIONS</w:t>
      </w:r>
    </w:p>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CUSIP 17306X 102</w:t>
      </w:r>
    </w:p>
    <w:p>
      <w:pPr>
        <w:spacing w:after="0" w:line="172" w:lineRule="exact"/>
        <w:rPr>
          <w:sz w:val="20"/>
          <w:szCs w:val="20"/>
          <w:color w:val="auto"/>
        </w:rPr>
      </w:pPr>
    </w:p>
    <w:p>
      <w:pPr>
        <w:sectPr>
          <w:pgSz w:w="11900" w:h="16838" w:orient="portrait"/>
          <w:cols w:equalWidth="0" w:num="2">
            <w:col w:w="5160" w:space="720"/>
            <w:col w:w="4339"/>
          </w:cols>
          <w:pgMar w:left="240" w:top="506"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THIS CERTIFIES THAT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the owner of</w:t>
      </w:r>
    </w:p>
    <w:p>
      <w:pPr>
        <w:spacing w:after="0" w:line="38" w:lineRule="exact"/>
        <w:rPr>
          <w:sz w:val="20"/>
          <w:szCs w:val="20"/>
          <w:color w:val="auto"/>
        </w:rPr>
      </w:pPr>
    </w:p>
    <w:p>
      <w:pPr>
        <w:ind w:right="1959"/>
        <w:spacing w:after="0" w:line="259" w:lineRule="auto"/>
        <w:rPr>
          <w:sz w:val="20"/>
          <w:szCs w:val="20"/>
          <w:color w:val="auto"/>
        </w:rPr>
      </w:pPr>
      <w:r>
        <w:rPr>
          <w:rFonts w:ascii="Courier New" w:cs="Courier New" w:eastAsia="Courier New" w:hAnsi="Courier New"/>
          <w:sz w:val="17"/>
          <w:szCs w:val="17"/>
          <w:color w:val="auto"/>
        </w:rPr>
        <w:t>FULLY PAID AND NON-ASSESSABLE SHARES OF COMMON STOCK, PAR VALUE $0.01 OF CITI TRENDS, INC. (hereinafter, the "Corporation") transferable on the books of the Corporation in person or by duly authorized attorney upon surrender of this Certificate properly endorsed or assigned. This Certificate and the shares represented hereby are issued and shall be held subject to all of the provisions of the Corporation's Certificate of Incorporation, as amended, and By-laws, as amended. This Certificate is not valid until countersigned and registered by the Transfer Agent and Registrar.</w:t>
      </w:r>
    </w:p>
    <w:p>
      <w:pPr>
        <w:spacing w:after="0" w:line="91" w:lineRule="exact"/>
        <w:rPr>
          <w:sz w:val="20"/>
          <w:szCs w:val="20"/>
          <w:color w:val="auto"/>
        </w:rPr>
      </w:pPr>
    </w:p>
    <w:p>
      <w:pPr>
        <w:ind w:right="2779" w:firstLine="929"/>
        <w:spacing w:after="0" w:line="331" w:lineRule="auto"/>
        <w:rPr>
          <w:sz w:val="20"/>
          <w:szCs w:val="20"/>
          <w:color w:val="auto"/>
        </w:rPr>
      </w:pPr>
      <w:r>
        <w:rPr>
          <w:rFonts w:ascii="Courier New" w:cs="Courier New" w:eastAsia="Courier New" w:hAnsi="Courier New"/>
          <w:sz w:val="17"/>
          <w:szCs w:val="17"/>
          <w:color w:val="auto"/>
        </w:rPr>
        <w:t>Witness the facsimile seal of the Corporation and the facsimile signatures of its duly authorized officers. Dated</w:t>
      </w:r>
    </w:p>
    <w:p>
      <w:pPr>
        <w:spacing w:after="0" w:line="263"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(SEAL GRAPHIC)</w:t>
      </w:r>
    </w:p>
    <w:p>
      <w:pPr>
        <w:sectPr>
          <w:pgSz w:w="11900" w:h="16838" w:orient="portrait"/>
          <w:cols w:equalWidth="0" w:num="1">
            <w:col w:w="10219"/>
          </w:cols>
          <w:pgMar w:left="240" w:top="506"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Thomas W. Stoltz</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 Edward Anderson</w:t>
      </w:r>
    </w:p>
    <w:p>
      <w:pPr>
        <w:spacing w:after="0" w:line="200" w:lineRule="exact"/>
        <w:rPr>
          <w:sz w:val="20"/>
          <w:szCs w:val="20"/>
          <w:color w:val="auto"/>
        </w:rPr>
      </w:pPr>
    </w:p>
    <w:p>
      <w:pPr>
        <w:sectPr>
          <w:pgSz w:w="11900" w:h="16838" w:orient="portrait"/>
          <w:cols w:equalWidth="0" w:num="2">
            <w:col w:w="4960" w:space="720"/>
            <w:col w:w="4539"/>
          </w:cols>
          <w:pgMar w:left="240" w:top="506"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2">
            <w:col w:w="4960" w:space="720"/>
            <w:col w:w="4539"/>
          </w:cols>
          <w:pgMar w:left="240" w:top="506"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COUNTERSIGNED AND REGISTERED: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American Stock Transfer &amp; Trust Company</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Transfer Agent and Registrar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3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Authorized Signature</w:t>
      </w:r>
    </w:p>
    <w:p>
      <w:pPr>
        <w:sectPr>
          <w:pgSz w:w="11900" w:h="16838" w:orient="portrait"/>
          <w:cols w:equalWidth="0" w:num="1">
            <w:col w:w="10219"/>
          </w:cols>
          <w:pgMar w:left="240" w:top="506" w:right="1440" w:bottom="1440" w:gutter="0" w:footer="0" w:header="0"/>
          <w:type w:val="continuous"/>
        </w:sectPr>
      </w:pPr>
    </w:p>
    <w:bookmarkStart w:id="104" w:name="page105"/>
    <w:bookmarkEnd w:id="104"/>
    <w:p>
      <w:pPr>
        <w:ind w:left="3300"/>
        <w:spacing w:after="0"/>
        <w:rPr>
          <w:sz w:val="20"/>
          <w:szCs w:val="20"/>
          <w:color w:val="auto"/>
        </w:rPr>
      </w:pPr>
      <w:r>
        <w:rPr>
          <w:rFonts w:ascii="Courier New" w:cs="Courier New" w:eastAsia="Courier New" w:hAnsi="Courier New"/>
          <w:sz w:val="17"/>
          <w:szCs w:val="17"/>
          <w:color w:val="auto"/>
        </w:rPr>
        <w:t>CITI TRENDS, INC.</w:t>
      </w:r>
    </w:p>
    <w:p>
      <w:pPr>
        <w:spacing w:after="0" w:line="204" w:lineRule="exact"/>
        <w:rPr>
          <w:sz w:val="20"/>
          <w:szCs w:val="20"/>
          <w:color w:val="auto"/>
        </w:rPr>
      </w:pPr>
    </w:p>
    <w:p>
      <w:pPr>
        <w:ind w:right="1959" w:firstLine="929"/>
        <w:spacing w:after="0" w:line="262" w:lineRule="auto"/>
        <w:rPr>
          <w:sz w:val="20"/>
          <w:szCs w:val="20"/>
          <w:color w:val="auto"/>
        </w:rPr>
      </w:pPr>
      <w:r>
        <w:rPr>
          <w:rFonts w:ascii="Courier New" w:cs="Courier New" w:eastAsia="Courier New" w:hAnsi="Courier New"/>
          <w:sz w:val="17"/>
          <w:szCs w:val="17"/>
          <w:color w:val="auto"/>
        </w:rPr>
        <w:t>THE CORPORATION WILL FURNISH, WITHOUT CHARGE TO EACH SHAREHOLDER WHO SO REQUESTS IN WRITING, A FULL STATEMENT OF THE DESIGNATION, RELATIVE RIGHTS, PREFERENCES AND LIMITATIONS OF EACH CLASS AUTHORIZED TO BE ISSUED, AND A FULL STATEMENT OF THE DESIGNATION, RELATIVE RIGHTS, PREFERENCES AND LIMITATIONS OF EACH SERIES OF ANY CLASS OF PREFERRED SHARES AUTHORIZED TO BE ISSUED SO FAR AS THE SAME MAY HAVE BEEN FIXED AND THE AUTHORITY OF THE BOARD TO DESIGNATE AND FIX THE RELATIVE RIGHTS, PREFERENCES AND LIMITATIONS OF OTHER SERIES. ANY SUCH REQUEST SHOULD BE ADDRESSED TO THE SECRETARY OF THE COMPANY, OR TO THE TRANSFER AGENT AND REGISTRAR NAMED ON THE FACE OF THIS CERTIFICATE.</w:t>
      </w:r>
    </w:p>
    <w:p>
      <w:pPr>
        <w:spacing w:after="0" w:line="92" w:lineRule="exact"/>
        <w:rPr>
          <w:sz w:val="20"/>
          <w:szCs w:val="20"/>
          <w:color w:val="auto"/>
        </w:rPr>
      </w:pPr>
    </w:p>
    <w:p>
      <w:pPr>
        <w:ind w:right="2059" w:firstLine="929"/>
        <w:spacing w:after="0" w:line="308" w:lineRule="auto"/>
        <w:rPr>
          <w:sz w:val="20"/>
          <w:szCs w:val="20"/>
          <w:color w:val="auto"/>
        </w:rPr>
      </w:pPr>
      <w:r>
        <w:rPr>
          <w:rFonts w:ascii="Courier New" w:cs="Courier New" w:eastAsia="Courier New" w:hAnsi="Courier New"/>
          <w:sz w:val="17"/>
          <w:szCs w:val="17"/>
          <w:color w:val="auto"/>
        </w:rPr>
        <w:t>The following abbreviations, when used in the inscription on the face of this certificate, shall be construed as though they were written out in full according to applicable laws or regulations: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40" w:type="dxa"/>
            <w:vAlign w:val="bottom"/>
          </w:tcPr>
          <w:p>
            <w:pPr>
              <w:spacing w:after="0"/>
              <w:rPr>
                <w:sz w:val="20"/>
                <w:szCs w:val="20"/>
                <w:color w:val="auto"/>
              </w:rPr>
            </w:pPr>
            <w:r>
              <w:rPr>
                <w:rFonts w:ascii="Courier New" w:cs="Courier New" w:eastAsia="Courier New" w:hAnsi="Courier New"/>
                <w:sz w:val="17"/>
                <w:szCs w:val="17"/>
                <w:color w:val="auto"/>
              </w:rPr>
              <w:t>TEN COM</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as tenants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common</w:t>
            </w:r>
          </w:p>
        </w:tc>
      </w:tr>
      <w:tr>
        <w:trPr>
          <w:trHeight w:val="198"/>
        </w:trPr>
        <w:tc>
          <w:tcPr>
            <w:tcW w:w="840" w:type="dxa"/>
            <w:vAlign w:val="bottom"/>
          </w:tcPr>
          <w:p>
            <w:pPr>
              <w:spacing w:after="0"/>
              <w:rPr>
                <w:sz w:val="20"/>
                <w:szCs w:val="20"/>
                <w:color w:val="auto"/>
              </w:rPr>
            </w:pPr>
            <w:r>
              <w:rPr>
                <w:rFonts w:ascii="Courier New" w:cs="Courier New" w:eastAsia="Courier New" w:hAnsi="Courier New"/>
                <w:sz w:val="17"/>
                <w:szCs w:val="17"/>
                <w:color w:val="auto"/>
              </w:rPr>
              <w:t>TEN ENT</w:t>
            </w:r>
          </w:p>
        </w:tc>
        <w:tc>
          <w:tcPr>
            <w:tcW w:w="7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  as</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tenants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by</w:t>
            </w:r>
          </w:p>
        </w:tc>
        <w:tc>
          <w:tcPr>
            <w:tcW w:w="1700" w:type="dxa"/>
            <w:vAlign w:val="bottom"/>
          </w:tcPr>
          <w:p>
            <w:pPr>
              <w:ind w:left="60"/>
              <w:spacing w:after="0"/>
              <w:rPr>
                <w:sz w:val="20"/>
                <w:szCs w:val="20"/>
                <w:color w:val="auto"/>
              </w:rPr>
            </w:pPr>
            <w:r>
              <w:rPr>
                <w:rFonts w:ascii="Courier New" w:cs="Courier New" w:eastAsia="Courier New" w:hAnsi="Courier New"/>
                <w:sz w:val="17"/>
                <w:szCs w:val="17"/>
                <w:color w:val="auto"/>
              </w:rPr>
              <w:t>the entireties</w:t>
            </w:r>
          </w:p>
        </w:tc>
      </w:tr>
      <w:tr>
        <w:trPr>
          <w:trHeight w:val="230"/>
        </w:trPr>
        <w:tc>
          <w:tcPr>
            <w:tcW w:w="840" w:type="dxa"/>
            <w:vAlign w:val="bottom"/>
          </w:tcPr>
          <w:p>
            <w:pPr>
              <w:spacing w:after="0"/>
              <w:rPr>
                <w:sz w:val="20"/>
                <w:szCs w:val="20"/>
                <w:color w:val="auto"/>
              </w:rPr>
            </w:pPr>
            <w:r>
              <w:rPr>
                <w:rFonts w:ascii="Courier New" w:cs="Courier New" w:eastAsia="Courier New" w:hAnsi="Courier New"/>
                <w:sz w:val="17"/>
                <w:szCs w:val="17"/>
                <w:color w:val="auto"/>
              </w:rPr>
              <w:t>JT TEN</w:t>
            </w:r>
          </w:p>
        </w:tc>
        <w:tc>
          <w:tcPr>
            <w:tcW w:w="4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as</w:t>
            </w:r>
          </w:p>
        </w:tc>
        <w:tc>
          <w:tcPr>
            <w:tcW w:w="28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joint tenants with right of</w:t>
            </w:r>
          </w:p>
        </w:tc>
      </w:tr>
    </w:tbl>
    <w:p>
      <w:pPr>
        <w:ind w:left="1340"/>
        <w:spacing w:after="0"/>
        <w:rPr>
          <w:sz w:val="20"/>
          <w:szCs w:val="20"/>
          <w:color w:val="auto"/>
        </w:rPr>
      </w:pPr>
      <w:r>
        <w:rPr>
          <w:rFonts w:ascii="Courier New" w:cs="Courier New" w:eastAsia="Courier New" w:hAnsi="Courier New"/>
          <w:sz w:val="17"/>
          <w:szCs w:val="17"/>
          <w:color w:val="auto"/>
        </w:rPr>
        <w:t>survivorship and not as tenants</w:t>
      </w:r>
    </w:p>
    <w:p>
      <w:pPr>
        <w:spacing w:after="0" w:line="6" w:lineRule="exact"/>
        <w:rPr>
          <w:sz w:val="20"/>
          <w:szCs w:val="20"/>
          <w:color w:val="auto"/>
        </w:rPr>
      </w:pPr>
    </w:p>
    <w:p>
      <w:pPr>
        <w:ind w:left="1340"/>
        <w:spacing w:after="0"/>
        <w:rPr>
          <w:sz w:val="20"/>
          <w:szCs w:val="20"/>
          <w:color w:val="auto"/>
        </w:rPr>
      </w:pPr>
      <w:r>
        <w:rPr>
          <w:rFonts w:ascii="Courier New" w:cs="Courier New" w:eastAsia="Courier New" w:hAnsi="Courier New"/>
          <w:sz w:val="17"/>
          <w:szCs w:val="17"/>
          <w:color w:val="auto"/>
        </w:rPr>
        <w:t>in common</w:t>
      </w:r>
    </w:p>
    <w:p>
      <w:pPr>
        <w:sectPr>
          <w:pgSz w:w="11900" w:h="16838" w:orient="portrait"/>
          <w:cols w:equalWidth="0" w:num="1">
            <w:col w:w="10219"/>
          </w:cols>
          <w:pgMar w:left="240" w:top="480" w:right="1440" w:bottom="1440" w:gutter="0" w:footer="0" w:header="0"/>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UNIF GIFT MIN ACT--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 Custodian __________</w:t>
      </w:r>
    </w:p>
    <w:p>
      <w:pPr>
        <w:spacing w:after="0" w:line="38" w:lineRule="exact"/>
        <w:rPr>
          <w:sz w:val="20"/>
          <w:szCs w:val="20"/>
          <w:color w:val="auto"/>
        </w:rPr>
      </w:pPr>
    </w:p>
    <w:p>
      <w:pPr>
        <w:ind w:left="200"/>
        <w:spacing w:after="0"/>
        <w:tabs>
          <w:tab w:leader="none" w:pos="2240" w:val="left"/>
        </w:tabs>
        <w:rPr>
          <w:sz w:val="20"/>
          <w:szCs w:val="20"/>
          <w:color w:val="auto"/>
        </w:rPr>
      </w:pPr>
      <w:r>
        <w:rPr>
          <w:rFonts w:ascii="Courier New" w:cs="Courier New" w:eastAsia="Courier New" w:hAnsi="Courier New"/>
          <w:sz w:val="17"/>
          <w:szCs w:val="17"/>
          <w:color w:val="auto"/>
        </w:rPr>
        <w:t>(Cust)</w:t>
      </w:r>
      <w:r>
        <w:rPr>
          <w:sz w:val="20"/>
          <w:szCs w:val="20"/>
          <w:color w:val="auto"/>
        </w:rPr>
        <w:tab/>
      </w:r>
      <w:r>
        <w:rPr>
          <w:rFonts w:ascii="Courier New" w:cs="Courier New" w:eastAsia="Courier New" w:hAnsi="Courier New"/>
          <w:sz w:val="17"/>
          <w:szCs w:val="17"/>
          <w:color w:val="auto"/>
        </w:rPr>
        <w:t>(Minor)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Uniform Gifts to Minors</w:t>
      </w:r>
    </w:p>
    <w:p>
      <w:pPr>
        <w:spacing w:after="0" w:line="12" w:lineRule="exact"/>
        <w:rPr>
          <w:sz w:val="20"/>
          <w:szCs w:val="20"/>
          <w:color w:val="auto"/>
        </w:rPr>
      </w:pPr>
    </w:p>
    <w:p>
      <w:pPr>
        <w:sectPr>
          <w:pgSz w:w="11900" w:h="16838" w:orient="portrait"/>
          <w:cols w:equalWidth="0" w:num="2">
            <w:col w:w="1960" w:space="220"/>
            <w:col w:w="8039"/>
          </w:cols>
          <w:pgMar w:left="240" w:top="480" w:right="1440" w:bottom="1440" w:gutter="0" w:footer="0" w:header="0"/>
          <w:type w:val="continuous"/>
        </w:sectPr>
      </w:pPr>
    </w:p>
    <w:p>
      <w:pPr>
        <w:ind w:left="2180"/>
        <w:spacing w:after="0"/>
        <w:rPr>
          <w:sz w:val="20"/>
          <w:szCs w:val="20"/>
          <w:color w:val="auto"/>
        </w:rPr>
      </w:pPr>
      <w:r>
        <w:rPr>
          <w:rFonts w:ascii="Courier New" w:cs="Courier New" w:eastAsia="Courier New" w:hAnsi="Courier New"/>
          <w:sz w:val="17"/>
          <w:szCs w:val="17"/>
          <w:color w:val="auto"/>
        </w:rPr>
        <w:t>Act __________________________</w:t>
      </w:r>
    </w:p>
    <w:p>
      <w:pPr>
        <w:ind w:left="3620"/>
        <w:spacing w:after="0"/>
        <w:rPr>
          <w:sz w:val="20"/>
          <w:szCs w:val="20"/>
          <w:color w:val="auto"/>
        </w:rPr>
      </w:pPr>
      <w:r>
        <w:rPr>
          <w:rFonts w:ascii="Courier New" w:cs="Courier New" w:eastAsia="Courier New" w:hAnsi="Courier New"/>
          <w:sz w:val="17"/>
          <w:szCs w:val="17"/>
          <w:color w:val="auto"/>
        </w:rPr>
        <w:t>(State)</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Additional abbreviations may also be used though not in the above list.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value received, ______________________hereby sell, assign and transfer unto</w:t>
      </w: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PLEASE INSERT SOCIAL SECURITY OR OTHER</w:t>
      </w:r>
    </w:p>
    <w:p>
      <w:pPr>
        <w:spacing w:after="0" w:line="3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IDENTIFYING NUMBER OF ASSIGNEE</w:t>
      </w:r>
    </w:p>
    <w:p>
      <w:pPr>
        <w:spacing w:after="0" w:line="6" w:lineRule="exact"/>
        <w:rPr>
          <w:sz w:val="20"/>
          <w:szCs w:val="20"/>
          <w:color w:val="auto"/>
        </w:rPr>
      </w:pPr>
    </w:p>
    <w:p>
      <w:pPr>
        <w:ind w:left="220" w:hanging="214"/>
        <w:spacing w:after="0"/>
        <w:tabs>
          <w:tab w:leader="none" w:pos="22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72"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PLEASE PRINT OR TYPEWRITE NAME AND ADDRESS INCLUDING ZIP CODE</w:t>
      </w:r>
    </w:p>
    <w:p>
      <w:pPr>
        <w:spacing w:after="0" w:line="6"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OF ASSIGNEE.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__________________________________________________________________________Shares</w:t>
      </w:r>
    </w:p>
    <w:p>
      <w:pPr>
        <w:spacing w:after="0" w:line="38" w:lineRule="exact"/>
        <w:rPr>
          <w:sz w:val="20"/>
          <w:szCs w:val="20"/>
          <w:color w:val="auto"/>
        </w:rPr>
      </w:pPr>
    </w:p>
    <w:p>
      <w:pPr>
        <w:ind w:right="1959"/>
        <w:spacing w:after="0" w:line="330" w:lineRule="auto"/>
        <w:rPr>
          <w:sz w:val="20"/>
          <w:szCs w:val="20"/>
          <w:color w:val="auto"/>
        </w:rPr>
      </w:pPr>
      <w:r>
        <w:rPr>
          <w:rFonts w:ascii="Courier New" w:cs="Courier New" w:eastAsia="Courier New" w:hAnsi="Courier New"/>
          <w:sz w:val="17"/>
          <w:szCs w:val="17"/>
          <w:color w:val="auto"/>
        </w:rPr>
        <w:t>of the Stock represented by the within Certificate, and do hereby irrevocably constitute and appoint _________________________________________________________</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________________________________________________________________________________</w:t>
      </w:r>
    </w:p>
    <w:p>
      <w:pPr>
        <w:spacing w:after="0" w:line="38" w:lineRule="exact"/>
        <w:rPr>
          <w:sz w:val="20"/>
          <w:szCs w:val="20"/>
          <w:color w:val="auto"/>
        </w:rPr>
      </w:pPr>
    </w:p>
    <w:p>
      <w:pPr>
        <w:ind w:right="3199"/>
        <w:spacing w:after="0" w:line="247" w:lineRule="auto"/>
        <w:rPr>
          <w:sz w:val="20"/>
          <w:szCs w:val="20"/>
          <w:color w:val="auto"/>
        </w:rPr>
      </w:pPr>
      <w:r>
        <w:rPr>
          <w:rFonts w:ascii="Courier New" w:cs="Courier New" w:eastAsia="Courier New" w:hAnsi="Courier New"/>
          <w:sz w:val="17"/>
          <w:szCs w:val="17"/>
          <w:color w:val="auto"/>
        </w:rPr>
        <w:t>Attorney to transfer the said stock on the books of the within-named Corporation with full power of substitution in the premises.</w:t>
      </w:r>
    </w:p>
    <w:p>
      <w:pPr>
        <w:spacing w:after="0"/>
        <w:rPr>
          <w:sz w:val="20"/>
          <w:szCs w:val="20"/>
          <w:color w:val="auto"/>
        </w:rPr>
      </w:pPr>
      <w:r>
        <w:rPr>
          <w:rFonts w:ascii="Courier New" w:cs="Courier New" w:eastAsia="Courier New" w:hAnsi="Courier New"/>
          <w:sz w:val="17"/>
          <w:szCs w:val="17"/>
          <w:color w:val="auto"/>
        </w:rPr>
        <w:t>Dated, _______________________________</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____________________________________________</w:t>
      </w:r>
    </w:p>
    <w:p>
      <w:pPr>
        <w:spacing w:after="0" w:line="38"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NOTICE: THE SIGNATURE TO THIS ASSIGNMENT</w:t>
      </w:r>
    </w:p>
    <w:p>
      <w:pPr>
        <w:spacing w:after="0" w:line="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MUST CORRESPOND WITH THE NAME AS WRITTEN</w:t>
      </w:r>
    </w:p>
    <w:p>
      <w:pPr>
        <w:spacing w:after="0" w:line="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UPON THE FACE OF THE CERTIFICATE IN EVERY</w:t>
      </w:r>
    </w:p>
    <w:p>
      <w:pPr>
        <w:spacing w:after="0" w:line="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PARTICULAR, WITH WITHOUT ALTERATION OR</w:t>
      </w:r>
    </w:p>
    <w:p>
      <w:pPr>
        <w:spacing w:after="0" w:line="6"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ENLARGEMENT, OR ANY CHANGE WHATEVER.</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SIGNATURE(S) GUARANTEED: _______________________________________________________</w:t>
      </w:r>
    </w:p>
    <w:p>
      <w:pPr>
        <w:spacing w:after="0" w:line="38" w:lineRule="exact"/>
        <w:rPr>
          <w:sz w:val="20"/>
          <w:szCs w:val="20"/>
          <w:color w:val="auto"/>
        </w:rPr>
      </w:pPr>
    </w:p>
    <w:p>
      <w:pPr>
        <w:ind w:left="2800" w:right="2059"/>
        <w:spacing w:after="0" w:line="268" w:lineRule="auto"/>
        <w:rPr>
          <w:sz w:val="20"/>
          <w:szCs w:val="20"/>
          <w:color w:val="auto"/>
        </w:rPr>
      </w:pPr>
      <w:r>
        <w:rPr>
          <w:rFonts w:ascii="Courier New" w:cs="Courier New" w:eastAsia="Courier New" w:hAnsi="Courier New"/>
          <w:sz w:val="17"/>
          <w:szCs w:val="17"/>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83" w:lineRule="exact"/>
        <w:rPr>
          <w:sz w:val="20"/>
          <w:szCs w:val="20"/>
          <w:color w:val="auto"/>
        </w:rPr>
      </w:pPr>
    </w:p>
    <w:p>
      <w:pPr>
        <w:ind w:right="1959"/>
        <w:spacing w:after="0" w:line="308" w:lineRule="auto"/>
        <w:rPr>
          <w:sz w:val="20"/>
          <w:szCs w:val="20"/>
          <w:color w:val="auto"/>
        </w:rPr>
      </w:pPr>
      <w:r>
        <w:rPr>
          <w:rFonts w:ascii="Courier New" w:cs="Courier New" w:eastAsia="Courier New" w:hAnsi="Courier New"/>
          <w:sz w:val="17"/>
          <w:szCs w:val="17"/>
          <w:color w:val="auto"/>
        </w:rPr>
        <w:t>KEEP THIS CERTIFICATE IN A SAFE PLACE. IF IT IS LOST, STOLEN, MUTILATED OR DESTROYED, THE CORPORATION MAY REQUIRE A BOND OF INDEMNITY AS A CONDITION TO THE ISSUANCE OF A REPLACEMENT CERTIFICATE.</w:t>
      </w:r>
    </w:p>
    <w:p>
      <w:pPr>
        <w:sectPr>
          <w:pgSz w:w="11900" w:h="16838" w:orient="portrait"/>
          <w:cols w:equalWidth="0" w:num="1">
            <w:col w:w="10219"/>
          </w:cols>
          <w:pgMar w:left="240" w:top="480" w:right="1440" w:bottom="1440" w:gutter="0" w:footer="0" w:header="0"/>
          <w:type w:val="continuous"/>
        </w:sectPr>
      </w:pPr>
    </w:p>
    <w:bookmarkStart w:id="105" w:name="page106"/>
    <w:bookmarkEnd w:id="105"/>
    <w:p>
      <w:pPr>
        <w:jc w:val="right"/>
        <w:ind w:right="1959"/>
        <w:spacing w:after="0"/>
        <w:rPr>
          <w:sz w:val="20"/>
          <w:szCs w:val="20"/>
          <w:color w:val="auto"/>
        </w:rPr>
      </w:pPr>
      <w:r>
        <w:rPr>
          <w:rFonts w:ascii="Courier New" w:cs="Courier New" w:eastAsia="Courier New" w:hAnsi="Courier New"/>
          <w:sz w:val="17"/>
          <w:szCs w:val="17"/>
          <w:color w:val="auto"/>
        </w:rPr>
        <w:t>Exhibit 5.1</w:t>
      </w:r>
    </w:p>
    <w:p>
      <w:pPr>
        <w:spacing w:after="0" w:line="204" w:lineRule="exact"/>
        <w:rPr>
          <w:sz w:val="20"/>
          <w:szCs w:val="20"/>
          <w:color w:val="auto"/>
        </w:rPr>
      </w:pPr>
    </w:p>
    <w:p>
      <w:pPr>
        <w:ind w:left="1460"/>
        <w:spacing w:after="0"/>
        <w:rPr>
          <w:sz w:val="20"/>
          <w:szCs w:val="20"/>
          <w:color w:val="auto"/>
        </w:rPr>
      </w:pPr>
      <w:r>
        <w:rPr>
          <w:rFonts w:ascii="Courier New" w:cs="Courier New" w:eastAsia="Courier New" w:hAnsi="Courier New"/>
          <w:sz w:val="17"/>
          <w:szCs w:val="17"/>
          <w:color w:val="auto"/>
        </w:rPr>
        <w:t>[Letterhead of Paul, Hastings, Janofsky &amp; Walker LLP]</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28, 2005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Citi Trends, Inc.</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102 Fahm Street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Savannah, GA 31401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 Citi Trends, Inc. Registration Statement on Form S-1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04" w:lineRule="exact"/>
        <w:rPr>
          <w:sz w:val="20"/>
          <w:szCs w:val="20"/>
          <w:color w:val="auto"/>
        </w:rPr>
      </w:pPr>
    </w:p>
    <w:p>
      <w:pPr>
        <w:ind w:right="1959" w:firstLine="929"/>
        <w:spacing w:after="0" w:line="254" w:lineRule="auto"/>
        <w:rPr>
          <w:sz w:val="20"/>
          <w:szCs w:val="20"/>
          <w:color w:val="auto"/>
        </w:rPr>
      </w:pPr>
      <w:r>
        <w:rPr>
          <w:rFonts w:ascii="Courier New" w:cs="Courier New" w:eastAsia="Courier New" w:hAnsi="Courier New"/>
          <w:sz w:val="17"/>
          <w:szCs w:val="17"/>
          <w:color w:val="auto"/>
        </w:rPr>
        <w:t>We have acted as counsel to Citi Trends, Inc., a Delaware corporation (the "Company"), in connection with the preparation and filing with the Securities and Exchange Commission (the "Commission") pursuant to the Securities Act of 1933, as amended (the "Securities Act"), of the Registration Statement on Form S-1 (File No. 333-123028) of the Company (the "Registration Statement") relating to the proposed offer and sale (the "Offering") of up to an aggregate of 3,850,000 shares of the Company's common stock, par value $.01 per share, by the Company and certain stockholders of the Company (the "Selling Stockholders", and such shares of Common Stock, including up to 577,500 shares that may be sold by the Company upon exercise of the underwriters' over-allotment option and any additional shares that may be registered in accordance with Rule 462(b) under the Securities Act, the "Shares") pursuant to an underwriting agreement (the "Underwriting Agreement") to be entered into among the Company, the Selling Stockholders and the several underwriters named therein. We refer to the Shares to be issued and sold by the Company pursuant to the Underwriting Agreement as the "Company Shares" and to the Shares to be sold by the Selling Stockholders pursuant to the Underwriting Agreement as the "Stockholder Shares".</w:t>
      </w:r>
    </w:p>
    <w:p>
      <w:pPr>
        <w:spacing w:after="0" w:line="107" w:lineRule="exact"/>
        <w:rPr>
          <w:sz w:val="20"/>
          <w:szCs w:val="20"/>
          <w:color w:val="auto"/>
        </w:rPr>
      </w:pPr>
    </w:p>
    <w:p>
      <w:pPr>
        <w:ind w:right="1959" w:firstLine="929"/>
        <w:spacing w:after="0" w:line="259" w:lineRule="auto"/>
        <w:rPr>
          <w:sz w:val="20"/>
          <w:szCs w:val="20"/>
          <w:color w:val="auto"/>
        </w:rPr>
      </w:pPr>
      <w:r>
        <w:rPr>
          <w:rFonts w:ascii="Courier New" w:cs="Courier New" w:eastAsia="Courier New" w:hAnsi="Courier New"/>
          <w:sz w:val="17"/>
          <w:szCs w:val="17"/>
          <w:color w:val="auto"/>
        </w:rPr>
        <w:t>In connection with this opinion, we have examined originals or copies of such documents, resolutions, certificates and instruments of the Company as we have deemed necessary to form a basis for the opinions hereinafter expressed. In addition, we have reviewed certificates of public officials, statutes, records and such other instruments and documents and have made such investigations of law as we have deemed necessary to form a basis for the opinion hereinafter expressed. In our examination of the foregoing, we have assumed, without independent investigation, (i) the genuineness of all signatures and the authority of all persons or entities signing all documents examined by us, (ii) the authenticity of all documents submitted to us as originals and the conformity to authentic original documents of</w:t>
      </w:r>
    </w:p>
    <w:p>
      <w:pPr>
        <w:sectPr>
          <w:pgSz w:w="11900" w:h="16838" w:orient="portrait"/>
          <w:cols w:equalWidth="0" w:num="1">
            <w:col w:w="10219"/>
          </w:cols>
          <w:pgMar w:left="240" w:top="506"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7"/>
          <w:szCs w:val="17"/>
          <w:color w:val="auto"/>
        </w:rPr>
        <w:t>Citi Trends, Inc.</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28, 2005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all documents submitted to us as certified, conformed or photostatic copies and</w:t>
      </w:r>
    </w:p>
    <w:p>
      <w:pPr>
        <w:spacing w:after="0" w:line="38" w:lineRule="exact"/>
        <w:rPr>
          <w:sz w:val="20"/>
          <w:szCs w:val="20"/>
          <w:color w:val="auto"/>
        </w:rPr>
      </w:pPr>
    </w:p>
    <w:p>
      <w:pPr>
        <w:ind w:right="1959" w:firstLine="6"/>
        <w:spacing w:after="0" w:line="261" w:lineRule="auto"/>
        <w:tabs>
          <w:tab w:leader="none" w:pos="61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authenticity of the originals of such latter documents. With regard to certain factual matters, we have relied, without independent investigation or verification, upon, and assumed the accuracy and completeness of, statements and representations of representatives of the Company. We have also assumed that the Company Shares will be sold for a price per share not less than the par value per share of the Common Stock, and that the Shares will be issued and sold as described in the Registration Statement and the Underwriting Agreement.</w:t>
      </w:r>
    </w:p>
    <w:p>
      <w:pPr>
        <w:spacing w:after="0" w:line="89"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Based upon and subject to the foregoing, we are of the opinion that:</w:t>
      </w:r>
    </w:p>
    <w:p>
      <w:pPr>
        <w:spacing w:after="0" w:line="204" w:lineRule="exact"/>
        <w:rPr>
          <w:sz w:val="20"/>
          <w:szCs w:val="20"/>
          <w:color w:val="auto"/>
        </w:rPr>
      </w:pPr>
    </w:p>
    <w:p>
      <w:pPr>
        <w:ind w:right="2259" w:firstLine="1863"/>
        <w:spacing w:after="0" w:line="288" w:lineRule="auto"/>
        <w:tabs>
          <w:tab w:leader="none" w:pos="2167"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Shares have been duly authorized, and when issued, delivered and paid for in the manner set forth in the Registration Statement and pursuant to the Underwriting Agreement, will be validly issued, fully paid and nonassessable.</w:t>
      </w:r>
    </w:p>
    <w:p>
      <w:pPr>
        <w:spacing w:after="0" w:line="67" w:lineRule="exact"/>
        <w:rPr>
          <w:rFonts w:ascii="Courier New" w:cs="Courier New" w:eastAsia="Courier New" w:hAnsi="Courier New"/>
          <w:sz w:val="17"/>
          <w:szCs w:val="17"/>
          <w:color w:val="auto"/>
        </w:rPr>
      </w:pPr>
    </w:p>
    <w:p>
      <w:pPr>
        <w:ind w:right="2259" w:firstLine="1863"/>
        <w:spacing w:after="0" w:line="370" w:lineRule="auto"/>
        <w:tabs>
          <w:tab w:leader="none" w:pos="2167"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Stockholder Shares have been duly authorized and are validly issued, fully paid and nonassessable.</w:t>
      </w:r>
    </w:p>
    <w:p>
      <w:pPr>
        <w:spacing w:after="0" w:line="2" w:lineRule="exact"/>
        <w:rPr>
          <w:sz w:val="20"/>
          <w:szCs w:val="20"/>
          <w:color w:val="auto"/>
        </w:rPr>
      </w:pPr>
    </w:p>
    <w:p>
      <w:pPr>
        <w:ind w:right="1959" w:firstLine="929"/>
        <w:spacing w:after="0" w:line="271" w:lineRule="auto"/>
        <w:rPr>
          <w:sz w:val="20"/>
          <w:szCs w:val="20"/>
          <w:color w:val="auto"/>
        </w:rPr>
      </w:pPr>
      <w:r>
        <w:rPr>
          <w:rFonts w:ascii="Courier New" w:cs="Courier New" w:eastAsia="Courier New" w:hAnsi="Courier New"/>
          <w:sz w:val="17"/>
          <w:szCs w:val="17"/>
          <w:color w:val="auto"/>
        </w:rPr>
        <w:t>We are members of the Bar of the State of New York, and accordingly, do not purport to be experts on or to be qualified to express any opinion herein concerning the laws of any jurisdiction other than laws of the State of New York and the Delaware General Corporation Law, including the applicable provisions of the Delaware Constitution and the reported cases interpreting those laws, as currently in effect.</w:t>
      </w:r>
    </w:p>
    <w:p>
      <w:pPr>
        <w:spacing w:after="0" w:line="84" w:lineRule="exact"/>
        <w:rPr>
          <w:sz w:val="20"/>
          <w:szCs w:val="20"/>
          <w:color w:val="auto"/>
        </w:rPr>
      </w:pPr>
    </w:p>
    <w:p>
      <w:pPr>
        <w:ind w:right="2379" w:firstLine="929"/>
        <w:spacing w:after="0" w:line="308" w:lineRule="auto"/>
        <w:rPr>
          <w:sz w:val="20"/>
          <w:szCs w:val="20"/>
          <w:color w:val="auto"/>
        </w:rPr>
      </w:pPr>
      <w:r>
        <w:rPr>
          <w:rFonts w:ascii="Courier New" w:cs="Courier New" w:eastAsia="Courier New" w:hAnsi="Courier New"/>
          <w:sz w:val="17"/>
          <w:szCs w:val="17"/>
          <w:color w:val="auto"/>
        </w:rPr>
        <w:t>This opinion letter deals only with the specified legal issues expressly addressed herein, and you should not infer any opinion that is not explicitly addressed herein from any matter stated in this letter.</w:t>
      </w:r>
    </w:p>
    <w:p>
      <w:pPr>
        <w:spacing w:after="0" w:line="52" w:lineRule="exact"/>
        <w:rPr>
          <w:sz w:val="20"/>
          <w:szCs w:val="20"/>
          <w:color w:val="auto"/>
        </w:rPr>
      </w:pPr>
    </w:p>
    <w:p>
      <w:pPr>
        <w:ind w:right="1959" w:firstLine="929"/>
        <w:spacing w:after="0" w:line="259" w:lineRule="auto"/>
        <w:rPr>
          <w:sz w:val="20"/>
          <w:szCs w:val="20"/>
          <w:color w:val="auto"/>
        </w:rPr>
      </w:pPr>
      <w:r>
        <w:rPr>
          <w:rFonts w:ascii="Courier New" w:cs="Courier New" w:eastAsia="Courier New" w:hAnsi="Courier New"/>
          <w:sz w:val="17"/>
          <w:szCs w:val="17"/>
          <w:color w:val="auto"/>
        </w:rPr>
        <w:t>We consent to the use of this opinion as an exhibit to the Registration Statement, to the reference to our firm under the caption "Legal Matters" in the Prospectus which is a part of the Registration Statement and to the incorporation by reference of this opinion and consent as exhibits to any registration statement filed in accordance with Rule 462(b) under the Securities Act relating to the Offering. In giving such consent, we do not hereby admit that we are within the category of persons whose consent is required under Section 7 of the Securities Act and the rules and regulations thereunder. This opinion is rendered to you as of the date hereof and we assume no obligation to advise you or any other person hereafter with regard to any change after the date hereof in the circumstances or the law that may bear on the</w:t>
      </w:r>
    </w:p>
    <w:p>
      <w:pPr>
        <w:sectPr>
          <w:pgSz w:w="11900" w:h="16838" w:orient="portrait"/>
          <w:cols w:equalWidth="0" w:num="1">
            <w:col w:w="10219"/>
          </w:cols>
          <w:pgMar w:left="240" w:top="480"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7"/>
          <w:szCs w:val="17"/>
          <w:color w:val="auto"/>
        </w:rPr>
        <w:t>Citi Trends, Inc.</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28, 2005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172" w:lineRule="exact"/>
        <w:rPr>
          <w:sz w:val="20"/>
          <w:szCs w:val="20"/>
          <w:color w:val="auto"/>
        </w:rPr>
      </w:pPr>
    </w:p>
    <w:p>
      <w:pPr>
        <w:ind w:right="1959"/>
        <w:spacing w:after="0" w:line="370" w:lineRule="auto"/>
        <w:rPr>
          <w:sz w:val="20"/>
          <w:szCs w:val="20"/>
          <w:color w:val="auto"/>
        </w:rPr>
      </w:pPr>
      <w:r>
        <w:rPr>
          <w:rFonts w:ascii="Courier New" w:cs="Courier New" w:eastAsia="Courier New" w:hAnsi="Courier New"/>
          <w:sz w:val="17"/>
          <w:szCs w:val="17"/>
          <w:color w:val="auto"/>
        </w:rPr>
        <w:t>matters set forth herein even though the change may affect the legal analysis or a legal conclusion or other matters in this letter.</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Very truly yours,</w:t>
      </w:r>
    </w:p>
    <w:p>
      <w:pPr>
        <w:spacing w:after="0" w:line="204" w:lineRule="exact"/>
        <w:rPr>
          <w:sz w:val="20"/>
          <w:szCs w:val="20"/>
          <w:color w:val="auto"/>
        </w:rPr>
      </w:pPr>
    </w:p>
    <w:p>
      <w:pPr>
        <w:jc w:val="right"/>
        <w:ind w:right="1959"/>
        <w:spacing w:after="0"/>
        <w:rPr>
          <w:sz w:val="20"/>
          <w:szCs w:val="20"/>
          <w:color w:val="auto"/>
        </w:rPr>
      </w:pPr>
      <w:r>
        <w:rPr>
          <w:rFonts w:ascii="Courier New" w:cs="Courier New" w:eastAsia="Courier New" w:hAnsi="Courier New"/>
          <w:sz w:val="17"/>
          <w:szCs w:val="17"/>
          <w:color w:val="auto"/>
        </w:rPr>
        <w:t>/s/ Paul, Hastings, Janofsky &amp; Walker LLP</w:t>
      </w:r>
    </w:p>
    <w:p>
      <w:pPr>
        <w:sectPr>
          <w:pgSz w:w="11900" w:h="16838" w:orient="portrait"/>
          <w:cols w:equalWidth="0" w:num="1">
            <w:col w:w="10219"/>
          </w:cols>
          <w:pgMar w:left="240" w:top="480" w:right="1440" w:bottom="1440" w:gutter="0" w:footer="0" w:header="0"/>
        </w:sectPr>
      </w:pPr>
    </w:p>
    <w:bookmarkStart w:id="108" w:name="page109"/>
    <w:bookmarkEnd w:id="108"/>
    <w:p>
      <w:pPr>
        <w:jc w:val="right"/>
        <w:ind w:right="1959"/>
        <w:spacing w:after="0"/>
        <w:rPr>
          <w:sz w:val="20"/>
          <w:szCs w:val="20"/>
          <w:color w:val="auto"/>
        </w:rPr>
      </w:pPr>
      <w:r>
        <w:rPr>
          <w:rFonts w:ascii="Courier New" w:cs="Courier New" w:eastAsia="Courier New" w:hAnsi="Courier New"/>
          <w:sz w:val="17"/>
          <w:szCs w:val="17"/>
          <w:color w:val="auto"/>
        </w:rPr>
        <w:t>Exhibit 10.13</w:t>
      </w:r>
    </w:p>
    <w:p>
      <w:pPr>
        <w:spacing w:after="0" w:line="204"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FORM OF REGISTRATION RIGHTS AGREEMENT</w:t>
      </w:r>
    </w:p>
    <w:p>
      <w:pPr>
        <w:spacing w:after="0" w:line="204" w:lineRule="exact"/>
        <w:rPr>
          <w:sz w:val="20"/>
          <w:szCs w:val="20"/>
          <w:color w:val="auto"/>
        </w:rPr>
      </w:pPr>
    </w:p>
    <w:p>
      <w:pPr>
        <w:ind w:right="1959" w:firstLine="929"/>
        <w:spacing w:after="0" w:line="267" w:lineRule="auto"/>
        <w:rPr>
          <w:sz w:val="20"/>
          <w:szCs w:val="20"/>
          <w:color w:val="auto"/>
        </w:rPr>
      </w:pPr>
      <w:r>
        <w:rPr>
          <w:rFonts w:ascii="Courier New" w:cs="Courier New" w:eastAsia="Courier New" w:hAnsi="Courier New"/>
          <w:sz w:val="17"/>
          <w:szCs w:val="17"/>
          <w:color w:val="auto"/>
        </w:rPr>
        <w:t>This Registration Rights Agreement (this "Agreement") is made and entered into as of this ____ day of May, 2005, by and between Citi Trends, Inc.,</w:t>
      </w:r>
    </w:p>
    <w:p>
      <w:pPr>
        <w:ind w:right="1959"/>
        <w:spacing w:after="0" w:line="330" w:lineRule="auto"/>
        <w:rPr>
          <w:sz w:val="20"/>
          <w:szCs w:val="20"/>
          <w:color w:val="auto"/>
        </w:rPr>
      </w:pPr>
      <w:r>
        <w:rPr>
          <w:rFonts w:ascii="Courier New" w:cs="Courier New" w:eastAsia="Courier New" w:hAnsi="Courier New"/>
          <w:sz w:val="17"/>
          <w:szCs w:val="17"/>
          <w:color w:val="auto"/>
        </w:rPr>
        <w:t>a Delaware corporation (the "Company") and Hampshire Equity Partners II, L.P., a Delaware limited partnership ("Hampshire").</w:t>
      </w:r>
    </w:p>
    <w:p>
      <w:pPr>
        <w:spacing w:after="0" w:line="34" w:lineRule="exact"/>
        <w:rPr>
          <w:sz w:val="20"/>
          <w:szCs w:val="20"/>
          <w:color w:val="auto"/>
        </w:rPr>
      </w:pPr>
    </w:p>
    <w:p>
      <w:pPr>
        <w:ind w:right="1959" w:firstLine="929"/>
        <w:spacing w:after="0" w:line="288" w:lineRule="auto"/>
        <w:rPr>
          <w:sz w:val="20"/>
          <w:szCs w:val="20"/>
          <w:color w:val="auto"/>
        </w:rPr>
      </w:pPr>
      <w:r>
        <w:rPr>
          <w:rFonts w:ascii="Courier New" w:cs="Courier New" w:eastAsia="Courier New" w:hAnsi="Courier New"/>
          <w:sz w:val="17"/>
          <w:szCs w:val="17"/>
          <w:color w:val="auto"/>
        </w:rPr>
        <w:t>WHEREAS, as set forth in this Agreement, the Company has agreed to grant to Hampshire certain registration rights with respect to the shares of the Company's common stock, par value $0.01 per share (the "Common Stock"), owned by Hampshire as of the date hereof, as more fully set forth herein.</w:t>
      </w:r>
    </w:p>
    <w:p>
      <w:pPr>
        <w:spacing w:after="0" w:line="68" w:lineRule="exact"/>
        <w:rPr>
          <w:sz w:val="20"/>
          <w:szCs w:val="20"/>
          <w:color w:val="auto"/>
        </w:rPr>
      </w:pPr>
    </w:p>
    <w:p>
      <w:pPr>
        <w:ind w:right="2259" w:firstLine="929"/>
        <w:spacing w:after="0" w:line="308" w:lineRule="auto"/>
        <w:rPr>
          <w:sz w:val="20"/>
          <w:szCs w:val="20"/>
          <w:color w:val="auto"/>
        </w:rPr>
      </w:pPr>
      <w:r>
        <w:rPr>
          <w:rFonts w:ascii="Courier New" w:cs="Courier New" w:eastAsia="Courier New" w:hAnsi="Courier New"/>
          <w:sz w:val="17"/>
          <w:szCs w:val="17"/>
          <w:color w:val="auto"/>
        </w:rPr>
        <w:t>NOW, THEREFORE, in consideration of the premises and the mutual covenants and considerations herein set forth, the receipt and sufficiency of which are hereby acknowledged, the parties hereto hereby agree as follows:</w:t>
      </w:r>
    </w:p>
    <w:p>
      <w:pPr>
        <w:spacing w:after="0" w:line="52" w:lineRule="exact"/>
        <w:rPr>
          <w:sz w:val="20"/>
          <w:szCs w:val="20"/>
          <w:color w:val="auto"/>
        </w:rPr>
      </w:pPr>
    </w:p>
    <w:p>
      <w:pPr>
        <w:ind w:right="2679" w:firstLine="934"/>
        <w:spacing w:after="0" w:line="370" w:lineRule="auto"/>
        <w:tabs>
          <w:tab w:leader="none" w:pos="1238"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Definitions. As used in this Agreement, the following terms shall have the following meanings:</w:t>
      </w:r>
    </w:p>
    <w:p>
      <w:pPr>
        <w:spacing w:after="0" w:line="2" w:lineRule="exact"/>
        <w:rPr>
          <w:sz w:val="20"/>
          <w:szCs w:val="20"/>
          <w:color w:val="auto"/>
        </w:rPr>
      </w:pPr>
    </w:p>
    <w:p>
      <w:pPr>
        <w:ind w:right="2059" w:firstLine="929"/>
        <w:spacing w:after="0" w:line="259" w:lineRule="auto"/>
        <w:rPr>
          <w:sz w:val="20"/>
          <w:szCs w:val="20"/>
          <w:color w:val="auto"/>
        </w:rPr>
      </w:pPr>
      <w:r>
        <w:rPr>
          <w:rFonts w:ascii="Courier New" w:cs="Courier New" w:eastAsia="Courier New" w:hAnsi="Courier New"/>
          <w:sz w:val="17"/>
          <w:szCs w:val="17"/>
          <w:color w:val="auto"/>
        </w:rPr>
        <w:t>"Affiliate" as applied to any Person, shall mean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 and, in addition to the foregoing, a Person shall be deemed to control another Person if the controlling Person owns 15% or more of any class of voting securities (or other ownership interest) of the controlled Person.</w:t>
      </w:r>
    </w:p>
    <w:p>
      <w:pPr>
        <w:spacing w:after="0" w:line="9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"Agreement" shall have the meaning set forth in the Preamble.</w:t>
      </w:r>
    </w:p>
    <w:p>
      <w:pPr>
        <w:spacing w:after="0" w:line="204" w:lineRule="exact"/>
        <w:rPr>
          <w:sz w:val="20"/>
          <w:szCs w:val="20"/>
          <w:color w:val="auto"/>
        </w:rPr>
      </w:pPr>
    </w:p>
    <w:p>
      <w:pPr>
        <w:ind w:right="2159" w:firstLine="929"/>
        <w:spacing w:after="0" w:line="370" w:lineRule="auto"/>
        <w:rPr>
          <w:sz w:val="20"/>
          <w:szCs w:val="20"/>
          <w:color w:val="auto"/>
        </w:rPr>
      </w:pPr>
      <w:r>
        <w:rPr>
          <w:rFonts w:ascii="Courier New" w:cs="Courier New" w:eastAsia="Courier New" w:hAnsi="Courier New"/>
          <w:sz w:val="17"/>
          <w:szCs w:val="17"/>
          <w:color w:val="auto"/>
        </w:rPr>
        <w:t>"Business Day" shall mean a day, other than a Saturday or Sunday, on which banks in New York City are open for the general transaction of business.</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"Common Stock" shall have the meaning set forth in the Preamble.</w:t>
      </w:r>
    </w:p>
    <w:p>
      <w:pPr>
        <w:spacing w:after="0" w:line="204"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"Company" shall have the meaning set forth in the Preamble.</w:t>
      </w:r>
    </w:p>
    <w:p>
      <w:pPr>
        <w:spacing w:after="0" w:line="204" w:lineRule="exact"/>
        <w:rPr>
          <w:sz w:val="20"/>
          <w:szCs w:val="20"/>
          <w:color w:val="auto"/>
        </w:rPr>
      </w:pPr>
    </w:p>
    <w:p>
      <w:pPr>
        <w:ind w:right="1959" w:firstLine="929"/>
        <w:spacing w:after="0" w:line="308" w:lineRule="auto"/>
        <w:rPr>
          <w:sz w:val="20"/>
          <w:szCs w:val="20"/>
          <w:color w:val="auto"/>
        </w:rPr>
      </w:pPr>
      <w:r>
        <w:rPr>
          <w:rFonts w:ascii="Courier New" w:cs="Courier New" w:eastAsia="Courier New" w:hAnsi="Courier New"/>
          <w:sz w:val="17"/>
          <w:szCs w:val="17"/>
          <w:color w:val="auto"/>
        </w:rPr>
        <w:t>"Form S-1" means such form under the Securities Act as in effect on the date hereof or any registration form under the Securities Act subsequently adopted by the SEC used for the initial public offering of securities.</w:t>
      </w:r>
    </w:p>
    <w:p>
      <w:pPr>
        <w:spacing w:after="0" w:line="52" w:lineRule="exact"/>
        <w:rPr>
          <w:sz w:val="20"/>
          <w:szCs w:val="20"/>
          <w:color w:val="auto"/>
        </w:rPr>
      </w:pPr>
    </w:p>
    <w:p>
      <w:pPr>
        <w:ind w:right="1959" w:firstLine="929"/>
        <w:spacing w:after="0" w:line="288" w:lineRule="auto"/>
        <w:rPr>
          <w:sz w:val="20"/>
          <w:szCs w:val="20"/>
          <w:color w:val="auto"/>
        </w:rPr>
      </w:pPr>
      <w:r>
        <w:rPr>
          <w:rFonts w:ascii="Courier New" w:cs="Courier New" w:eastAsia="Courier New" w:hAnsi="Courier New"/>
          <w:sz w:val="17"/>
          <w:szCs w:val="17"/>
          <w:color w:val="auto"/>
        </w:rPr>
        <w:t>"Form S-3" means such form under the Securities Act as in effect on the date hereof or any registration form under the Securities Act subsequently adopted by the SEC which permits inclusion or incorporation of substantial information by reference to other documents filed by the Company with the SEC.</w:t>
      </w:r>
    </w:p>
    <w:p>
      <w:pPr>
        <w:spacing w:after="0" w:line="68" w:lineRule="exact"/>
        <w:rPr>
          <w:sz w:val="20"/>
          <w:szCs w:val="20"/>
          <w:color w:val="auto"/>
        </w:rPr>
      </w:pPr>
    </w:p>
    <w:p>
      <w:pPr>
        <w:ind w:right="2059" w:firstLine="929"/>
        <w:spacing w:after="0" w:line="308" w:lineRule="auto"/>
        <w:rPr>
          <w:sz w:val="20"/>
          <w:szCs w:val="20"/>
          <w:color w:val="auto"/>
        </w:rPr>
      </w:pPr>
      <w:r>
        <w:rPr>
          <w:rFonts w:ascii="Courier New" w:cs="Courier New" w:eastAsia="Courier New" w:hAnsi="Courier New"/>
          <w:sz w:val="17"/>
          <w:szCs w:val="17"/>
          <w:color w:val="auto"/>
        </w:rPr>
        <w:t>"Hampshire" shall have the meaning set forth in the Preamble and shall include any permitted transferee thereof who is a subsequent holder of the Registrable Securities pursuant to the terms hereof.</w:t>
      </w:r>
    </w:p>
    <w:p>
      <w:pPr>
        <w:spacing w:after="0" w:line="52" w:lineRule="exact"/>
        <w:rPr>
          <w:sz w:val="20"/>
          <w:szCs w:val="20"/>
          <w:color w:val="auto"/>
        </w:rPr>
      </w:pPr>
    </w:p>
    <w:p>
      <w:pPr>
        <w:ind w:right="2259" w:firstLine="929"/>
        <w:spacing w:after="0" w:line="308" w:lineRule="auto"/>
        <w:rPr>
          <w:sz w:val="20"/>
          <w:szCs w:val="20"/>
          <w:color w:val="auto"/>
        </w:rPr>
      </w:pPr>
      <w:r>
        <w:rPr>
          <w:rFonts w:ascii="Courier New" w:cs="Courier New" w:eastAsia="Courier New" w:hAnsi="Courier New"/>
          <w:sz w:val="17"/>
          <w:szCs w:val="17"/>
          <w:color w:val="auto"/>
        </w:rPr>
        <w:t>"Holder" shall mean any Person owning or having the right to acquire Registrable Securities, or any assignee thereof in accordance with the terms hereof. If the Company receives</w:t>
      </w:r>
    </w:p>
    <w:p>
      <w:pPr>
        <w:spacing w:after="0" w:line="25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507" w:right="1440" w:bottom="1440" w:gutter="0" w:footer="0" w:header="0"/>
        </w:sectPr>
      </w:pPr>
    </w:p>
    <w:bookmarkStart w:id="109" w:name="page110"/>
    <w:bookmarkEnd w:id="109"/>
    <w:p>
      <w:pPr>
        <w:ind w:right="2159"/>
        <w:spacing w:after="0" w:line="288" w:lineRule="auto"/>
        <w:rPr>
          <w:sz w:val="20"/>
          <w:szCs w:val="20"/>
          <w:color w:val="auto"/>
        </w:rPr>
      </w:pPr>
      <w:r>
        <w:rPr>
          <w:rFonts w:ascii="Courier New" w:cs="Courier New" w:eastAsia="Courier New" w:hAnsi="Courier New"/>
          <w:sz w:val="17"/>
          <w:szCs w:val="17"/>
          <w:color w:val="auto"/>
        </w:rPr>
        <w:t>conflicting instructions, notices or elections from two or more Persons with respect to the same Registrable Securities, the Company may act upon the basis of the instructions, notice or election received from the registered owner of such Registrable Securities.</w:t>
      </w:r>
    </w:p>
    <w:p>
      <w:pPr>
        <w:spacing w:after="0" w:line="6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"NASD" shall mean the National Association of Securities Dealers.</w:t>
      </w:r>
    </w:p>
    <w:p>
      <w:pPr>
        <w:spacing w:after="0" w:line="204" w:lineRule="exact"/>
        <w:rPr>
          <w:sz w:val="20"/>
          <w:szCs w:val="20"/>
          <w:color w:val="auto"/>
        </w:rPr>
      </w:pPr>
    </w:p>
    <w:p>
      <w:pPr>
        <w:ind w:right="2059" w:firstLine="929"/>
        <w:spacing w:after="0" w:line="308" w:lineRule="auto"/>
        <w:rPr>
          <w:sz w:val="20"/>
          <w:szCs w:val="20"/>
          <w:color w:val="auto"/>
        </w:rPr>
      </w:pPr>
      <w:r>
        <w:rPr>
          <w:rFonts w:ascii="Courier New" w:cs="Courier New" w:eastAsia="Courier New" w:hAnsi="Courier New"/>
          <w:sz w:val="17"/>
          <w:szCs w:val="17"/>
          <w:color w:val="auto"/>
        </w:rPr>
        <w:t>"1934 Act" shall mean the Securities Exchange Act of 1934, as amended, and the rules and regulations promulgated thereunder, all as the same shall be in effect at the time.</w:t>
      </w:r>
    </w:p>
    <w:p>
      <w:pPr>
        <w:spacing w:after="0" w:line="52" w:lineRule="exact"/>
        <w:rPr>
          <w:sz w:val="20"/>
          <w:szCs w:val="20"/>
          <w:color w:val="auto"/>
        </w:rPr>
      </w:pPr>
    </w:p>
    <w:p>
      <w:pPr>
        <w:ind w:right="2259" w:firstLine="929"/>
        <w:spacing w:after="0" w:line="288" w:lineRule="auto"/>
        <w:rPr>
          <w:sz w:val="20"/>
          <w:szCs w:val="20"/>
          <w:color w:val="auto"/>
        </w:rPr>
      </w:pPr>
      <w:r>
        <w:rPr>
          <w:rFonts w:ascii="Courier New" w:cs="Courier New" w:eastAsia="Courier New" w:hAnsi="Courier New"/>
          <w:sz w:val="17"/>
          <w:szCs w:val="17"/>
          <w:color w:val="auto"/>
        </w:rPr>
        <w:t>"Person" shall mean any individual, partnership, corporation, joint venture, limited liability company, association, trust, unincorporated organization, or government or agency or political subdivision thereof or any other entity of whatever nature.</w:t>
      </w:r>
    </w:p>
    <w:p>
      <w:pPr>
        <w:spacing w:after="0" w:line="68" w:lineRule="exact"/>
        <w:rPr>
          <w:sz w:val="20"/>
          <w:szCs w:val="20"/>
          <w:color w:val="auto"/>
        </w:rPr>
      </w:pPr>
    </w:p>
    <w:p>
      <w:pPr>
        <w:ind w:right="1959" w:firstLine="929"/>
        <w:spacing w:after="0" w:line="271" w:lineRule="auto"/>
        <w:rPr>
          <w:sz w:val="20"/>
          <w:szCs w:val="20"/>
          <w:color w:val="auto"/>
        </w:rPr>
      </w:pPr>
      <w:r>
        <w:rPr>
          <w:rFonts w:ascii="Courier New" w:cs="Courier New" w:eastAsia="Courier New" w:hAnsi="Courier New"/>
          <w:sz w:val="17"/>
          <w:szCs w:val="17"/>
          <w:color w:val="auto"/>
        </w:rPr>
        <w:t>"Prospectus" shall mean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w:t>
      </w:r>
    </w:p>
    <w:p>
      <w:pPr>
        <w:spacing w:after="0" w:line="84" w:lineRule="exact"/>
        <w:rPr>
          <w:sz w:val="20"/>
          <w:szCs w:val="20"/>
          <w:color w:val="auto"/>
        </w:rPr>
      </w:pPr>
    </w:p>
    <w:p>
      <w:pPr>
        <w:ind w:right="2379" w:firstLine="929"/>
        <w:spacing w:after="0" w:line="288" w:lineRule="auto"/>
        <w:rPr>
          <w:sz w:val="20"/>
          <w:szCs w:val="20"/>
          <w:color w:val="auto"/>
        </w:rPr>
      </w:pPr>
      <w:r>
        <w:rPr>
          <w:rFonts w:ascii="Courier New" w:cs="Courier New" w:eastAsia="Courier New" w:hAnsi="Courier New"/>
          <w:sz w:val="17"/>
          <w:szCs w:val="17"/>
          <w:color w:val="auto"/>
        </w:rPr>
        <w:t>"Register," "registered" and "registration" refer to a registration made by preparing and filing a Registration Statement or similar document in compliance with the Securities Act, and the declaration or ordering of effectiveness of such Registration Statement or document by the SEC.</w:t>
      </w:r>
    </w:p>
    <w:p>
      <w:pPr>
        <w:spacing w:after="0" w:line="68" w:lineRule="exact"/>
        <w:rPr>
          <w:sz w:val="20"/>
          <w:szCs w:val="20"/>
          <w:color w:val="auto"/>
        </w:rPr>
      </w:pPr>
    </w:p>
    <w:p>
      <w:pPr>
        <w:ind w:right="1959" w:firstLine="929"/>
        <w:spacing w:after="0" w:line="252" w:lineRule="auto"/>
        <w:rPr>
          <w:sz w:val="20"/>
          <w:szCs w:val="20"/>
          <w:color w:val="auto"/>
        </w:rPr>
      </w:pPr>
      <w:r>
        <w:rPr>
          <w:rFonts w:ascii="Courier New" w:cs="Courier New" w:eastAsia="Courier New" w:hAnsi="Courier New"/>
          <w:sz w:val="17"/>
          <w:szCs w:val="17"/>
          <w:color w:val="auto"/>
        </w:rPr>
        <w:t>"Registrable Securities" means (a) the shares of Common Stock held by Hampshire as of the date hereof; (b) any shares of Common Stock hereafter distributed by the Company as a result of a stock dividend, stock split, reclassification, recapitalization or otherwise by virtue of the ownership of shares of Common Stock; and (c) any other security issued as a dividend or other distribution with respect to, in exchange for, in replacement or redemption of, or in reduction of the liquidation value of, any of the securities referred to in the preceding clauses; provided, however, that any such securities shall cease to be Registrable Securities when (A) such securities shall have been registered under the Securities Act, the registration statement with respect to the sale of such securities shall have become effective under the Securities Act and such securities shall have been disposed of pursuant to such effective registration statement; (B) such securities shall have been otherwise transferred, if new certificates or other evidences of ownership for them not bearing a legend restricting further transfer and not subject to any stop transfer order or other restrictions on transfer shall have been delivered by the Company and subsequent disposition of such securities shall not require registration or qualification of such securities under the Securities Act or any state securities law then in force; (C) such securities shall cease to be outstanding; (D) the holding period that would be applicable under Rule 144(k) of the Securities Act expires, such securities are freely tradable by Hampshire thereof under Rule 144(k) without regard to volume limitations or other restrictions and the Company shall have removed any restrictive legends and stop transfer restrictions with respect to such securities; or (E) such securities are sold to the public pursuant to Rule 144 (or any similar provision then in force, but not Rule 144A) under the Securities Act.</w:t>
      </w:r>
    </w:p>
    <w:p>
      <w:pPr>
        <w:spacing w:after="0" w:line="100" w:lineRule="exact"/>
        <w:rPr>
          <w:sz w:val="20"/>
          <w:szCs w:val="20"/>
          <w:color w:val="auto"/>
        </w:rPr>
      </w:pPr>
    </w:p>
    <w:p>
      <w:pPr>
        <w:ind w:right="2059" w:firstLine="929"/>
        <w:spacing w:after="0" w:line="288" w:lineRule="auto"/>
        <w:rPr>
          <w:sz w:val="20"/>
          <w:szCs w:val="20"/>
          <w:color w:val="auto"/>
        </w:rPr>
      </w:pPr>
      <w:r>
        <w:rPr>
          <w:rFonts w:ascii="Courier New" w:cs="Courier New" w:eastAsia="Courier New" w:hAnsi="Courier New"/>
          <w:sz w:val="17"/>
          <w:szCs w:val="17"/>
          <w:color w:val="auto"/>
        </w:rPr>
        <w:t>"Registration Statement" shall mean any registration statement of the Company filed under the Securities Act that covers the resale of any of the Registrable Securities pursuant to the provisions of this Agreement, amendments and supplements to such Registration Statement,</w:t>
      </w:r>
    </w:p>
    <w:p>
      <w:pPr>
        <w:spacing w:after="0" w:line="26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79" w:right="1440" w:bottom="1440" w:gutter="0" w:footer="0" w:header="0"/>
        </w:sectPr>
      </w:pPr>
    </w:p>
    <w:bookmarkStart w:id="110" w:name="page111"/>
    <w:bookmarkEnd w:id="110"/>
    <w:p>
      <w:pPr>
        <w:ind w:right="2999"/>
        <w:spacing w:after="0" w:line="370" w:lineRule="auto"/>
        <w:rPr>
          <w:sz w:val="20"/>
          <w:szCs w:val="20"/>
          <w:color w:val="auto"/>
        </w:rPr>
      </w:pPr>
      <w:r>
        <w:rPr>
          <w:rFonts w:ascii="Courier New" w:cs="Courier New" w:eastAsia="Courier New" w:hAnsi="Courier New"/>
          <w:sz w:val="17"/>
          <w:szCs w:val="17"/>
          <w:color w:val="auto"/>
        </w:rPr>
        <w:t>including post-effective amendments, and all exhibits and all material incorporated by reference in such Registration Statement.</w:t>
      </w:r>
    </w:p>
    <w:p>
      <w:pPr>
        <w:spacing w:after="0" w:line="2" w:lineRule="exact"/>
        <w:rPr>
          <w:sz w:val="20"/>
          <w:szCs w:val="20"/>
          <w:color w:val="auto"/>
        </w:rPr>
      </w:pPr>
    </w:p>
    <w:p>
      <w:pPr>
        <w:ind w:right="1959" w:firstLine="929"/>
        <w:spacing w:after="0" w:line="308" w:lineRule="auto"/>
        <w:rPr>
          <w:sz w:val="20"/>
          <w:szCs w:val="20"/>
          <w:color w:val="auto"/>
        </w:rPr>
      </w:pPr>
      <w:r>
        <w:rPr>
          <w:rFonts w:ascii="Courier New" w:cs="Courier New" w:eastAsia="Courier New" w:hAnsi="Courier New"/>
          <w:sz w:val="17"/>
          <w:szCs w:val="17"/>
          <w:color w:val="auto"/>
        </w:rPr>
        <w:t>"Rule 144" means Rule 144 under the Securities Act, as such rule may be amended from time to time, or any similar rule or regulation hereafter adopted by the SEC.</w:t>
      </w:r>
    </w:p>
    <w:p>
      <w:pPr>
        <w:spacing w:after="0" w:line="52" w:lineRule="exact"/>
        <w:rPr>
          <w:sz w:val="20"/>
          <w:szCs w:val="20"/>
          <w:color w:val="auto"/>
        </w:rPr>
      </w:pPr>
    </w:p>
    <w:p>
      <w:pPr>
        <w:ind w:right="2059" w:firstLine="929"/>
        <w:spacing w:after="0" w:line="308" w:lineRule="auto"/>
        <w:rPr>
          <w:sz w:val="20"/>
          <w:szCs w:val="20"/>
          <w:color w:val="auto"/>
        </w:rPr>
      </w:pPr>
      <w:r>
        <w:rPr>
          <w:rFonts w:ascii="Courier New" w:cs="Courier New" w:eastAsia="Courier New" w:hAnsi="Courier New"/>
          <w:sz w:val="17"/>
          <w:szCs w:val="17"/>
          <w:color w:val="auto"/>
        </w:rPr>
        <w:t>"Rule 144A" means Rule 144A under the Securities Act, as such rule may be amended from time to time, or any similar rule or regulation hereafter adopted by the SEC.</w:t>
      </w:r>
    </w:p>
    <w:p>
      <w:pPr>
        <w:spacing w:after="0" w:line="52" w:lineRule="exact"/>
        <w:rPr>
          <w:sz w:val="20"/>
          <w:szCs w:val="20"/>
          <w:color w:val="auto"/>
        </w:rPr>
      </w:pPr>
    </w:p>
    <w:p>
      <w:pPr>
        <w:ind w:right="2379" w:firstLine="929"/>
        <w:spacing w:after="0" w:line="370" w:lineRule="auto"/>
        <w:rPr>
          <w:sz w:val="20"/>
          <w:szCs w:val="20"/>
          <w:color w:val="auto"/>
        </w:rPr>
      </w:pPr>
      <w:r>
        <w:rPr>
          <w:rFonts w:ascii="Courier New" w:cs="Courier New" w:eastAsia="Courier New" w:hAnsi="Courier New"/>
          <w:sz w:val="17"/>
          <w:szCs w:val="17"/>
          <w:color w:val="auto"/>
        </w:rPr>
        <w:t>"SEC" shall mean the U.S. Securities and Exchange Commission or any other Federal agency at the time administering the Securities Act.</w:t>
      </w:r>
    </w:p>
    <w:p>
      <w:pPr>
        <w:spacing w:after="0" w:line="2" w:lineRule="exact"/>
        <w:rPr>
          <w:sz w:val="20"/>
          <w:szCs w:val="20"/>
          <w:color w:val="auto"/>
        </w:rPr>
      </w:pPr>
    </w:p>
    <w:p>
      <w:pPr>
        <w:ind w:right="2159" w:firstLine="929"/>
        <w:spacing w:after="0" w:line="308" w:lineRule="auto"/>
        <w:rPr>
          <w:sz w:val="20"/>
          <w:szCs w:val="20"/>
          <w:color w:val="auto"/>
        </w:rPr>
      </w:pPr>
      <w:r>
        <w:rPr>
          <w:rFonts w:ascii="Courier New" w:cs="Courier New" w:eastAsia="Courier New" w:hAnsi="Courier New"/>
          <w:sz w:val="17"/>
          <w:szCs w:val="17"/>
          <w:color w:val="auto"/>
        </w:rPr>
        <w:t>"Securities Act" shall mean the Securities Act of 1933 as amended, or any similar federal statute and the rules and regulations promulgated thereunder, all as the same shall be in effect at the time.</w:t>
      </w:r>
    </w:p>
    <w:p>
      <w:pPr>
        <w:spacing w:after="0" w:line="52" w:lineRule="exact"/>
        <w:rPr>
          <w:sz w:val="20"/>
          <w:szCs w:val="20"/>
          <w:color w:val="auto"/>
        </w:rPr>
      </w:pPr>
    </w:p>
    <w:p>
      <w:pPr>
        <w:ind w:left="1860" w:hanging="926"/>
        <w:spacing w:after="0"/>
        <w:tabs>
          <w:tab w:leader="none" w:pos="186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w:t>
      </w:r>
    </w:p>
    <w:p>
      <w:pPr>
        <w:spacing w:after="0" w:line="204" w:lineRule="exact"/>
        <w:rPr>
          <w:rFonts w:ascii="Courier New" w:cs="Courier New" w:eastAsia="Courier New" w:hAnsi="Courier New"/>
          <w:sz w:val="17"/>
          <w:szCs w:val="17"/>
          <w:color w:val="auto"/>
        </w:rPr>
      </w:pPr>
    </w:p>
    <w:p>
      <w:pPr>
        <w:ind w:right="1959" w:firstLine="1863"/>
        <w:spacing w:after="0" w:line="251" w:lineRule="auto"/>
        <w:tabs>
          <w:tab w:leader="none" w:pos="2270"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Piggy-Back Registrations. If (but without any obligation to do so) the Company proposes to register (including for this purpose a registration effected by the Company for stockholders other than Hampshire) any of its stock or other securities under the Securities Act in connection with the public offering of such securities solely for cash (other than a registration on Form S-8 (or similar or successor form) relating solely to the sale of securities to participants in a Company stock option, stock purchase or other stock-based compensation arrangement to the extent includable on Form S-8 (or similar or successor form), or a registration relating solely to a transaction under Rule 145 of the Securities Act on Form S-4 (or similar or successor form) or a registration in which the only Common Stock being registered is Common Stock issuable upon conversion of debt securities or Common Stock comprising part of a unit or otherwise sold in connection with the issuance or sale of debt securities which are also being registered) (each such registration not withdrawn or abandoned prior to the effective date thereof being herein called a "Piggy-back Registration"), the Company shall, at such time, promptly give Hampshire written notice of such registration not later than forty-five (45) days prior to the anticipated filing date of such Piggy-back Registration. Upon the written request of Hampshire given within twenty (20) days after the delivery of such notice by the Company in accordance with Section 8(c), the Company shall use commercially reasonable efforts to cause to be registered under the Securities Act all of the Registrable Securities that Hampshire has requested to be registered. The Company shall have no obligation under this Section 2(a) to make any offering of its securities, or to complete an offering of its securities that it proposes to make. Hampshire shall be permitted to withdraw all or any part of its Registrable Securities from any Piggy-back Registration at any time prior to the effective date of such Piggy-back Registration.</w:t>
      </w:r>
    </w:p>
    <w:p>
      <w:pPr>
        <w:spacing w:after="0" w:line="115" w:lineRule="exact"/>
        <w:rPr>
          <w:rFonts w:ascii="Courier New" w:cs="Courier New" w:eastAsia="Courier New" w:hAnsi="Courier New"/>
          <w:sz w:val="17"/>
          <w:szCs w:val="17"/>
          <w:color w:val="auto"/>
        </w:rPr>
      </w:pPr>
    </w:p>
    <w:p>
      <w:pPr>
        <w:ind w:left="2800" w:hanging="937"/>
        <w:spacing w:after="0"/>
        <w:tabs>
          <w:tab w:leader="none" w:pos="2800"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Registration.</w:t>
      </w:r>
    </w:p>
    <w:p>
      <w:pPr>
        <w:spacing w:after="0" w:line="204" w:lineRule="exact"/>
        <w:rPr>
          <w:rFonts w:ascii="Courier New" w:cs="Courier New" w:eastAsia="Courier New" w:hAnsi="Courier New"/>
          <w:sz w:val="17"/>
          <w:szCs w:val="17"/>
          <w:color w:val="auto"/>
        </w:rPr>
      </w:pPr>
    </w:p>
    <w:p>
      <w:pPr>
        <w:ind w:left="3200" w:hanging="408"/>
        <w:spacing w:after="0"/>
        <w:tabs>
          <w:tab w:leader="none" w:pos="3200" w:val="left"/>
        </w:tabs>
        <w:numPr>
          <w:ilvl w:val="2"/>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Request by Hampshire.  If, at any time following</w:t>
      </w:r>
    </w:p>
    <w:p>
      <w:pPr>
        <w:spacing w:after="0" w:line="37" w:lineRule="exact"/>
        <w:rPr>
          <w:rFonts w:ascii="Courier New" w:cs="Courier New" w:eastAsia="Courier New" w:hAnsi="Courier New"/>
          <w:sz w:val="17"/>
          <w:szCs w:val="17"/>
          <w:color w:val="auto"/>
        </w:rPr>
      </w:pPr>
    </w:p>
    <w:p>
      <w:pPr>
        <w:ind w:right="1959"/>
        <w:spacing w:after="0" w:line="26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initial public offering of securities of the Company, the Company receives a written request from Hampshire to file a Registration Statement under the Securities Act on Form S-1 or such other form as Hampshire may reasonably request covering the registration of Registrable Securities, then the Company shall, within ten (10) business days of the receipt of such written request, give written</w:t>
      </w:r>
    </w:p>
    <w:p>
      <w:pPr>
        <w:spacing w:after="0" w:line="28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678" w:right="1440" w:bottom="1440" w:gutter="0" w:footer="0" w:header="0"/>
        </w:sectPr>
      </w:pPr>
    </w:p>
    <w:bookmarkStart w:id="111" w:name="page112"/>
    <w:bookmarkEnd w:id="111"/>
    <w:p>
      <w:pPr>
        <w:ind w:right="1959"/>
        <w:spacing w:after="0" w:line="262" w:lineRule="auto"/>
        <w:rPr>
          <w:sz w:val="20"/>
          <w:szCs w:val="20"/>
          <w:color w:val="auto"/>
        </w:rPr>
      </w:pPr>
      <w:r>
        <w:rPr>
          <w:rFonts w:ascii="Courier New" w:cs="Courier New" w:eastAsia="Courier New" w:hAnsi="Courier New"/>
          <w:sz w:val="17"/>
          <w:szCs w:val="17"/>
          <w:color w:val="auto"/>
        </w:rPr>
        <w:t>notice of such request ("Request Notice") to Hampshire, and use commercially reasonable efforts to effect, as soon as practicable, the registration under the Securities Act of all Registrable Securities that Hampshire requests to be registered and included in such registration by written notice given by Hampshire to the Company within twenty (20) days after receipt of the Request Notice; provided, that Hampshire shall no longer have such right once its beneficial ownership of the Common Stock is less than 10% on a fully-diluted basis. If requested by Hampshire, the Company shall register such Registrable Securities on Form S-1 or any successor registration form.</w:t>
      </w:r>
    </w:p>
    <w:p>
      <w:pPr>
        <w:spacing w:after="0" w:line="92" w:lineRule="exact"/>
        <w:rPr>
          <w:sz w:val="20"/>
          <w:szCs w:val="20"/>
          <w:color w:val="auto"/>
        </w:rPr>
      </w:pPr>
    </w:p>
    <w:p>
      <w:pPr>
        <w:ind w:left="3300" w:hanging="508"/>
        <w:spacing w:after="0"/>
        <w:tabs>
          <w:tab w:leader="none" w:pos="33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Underwriting.  If Hampshire intends to</w:t>
      </w:r>
    </w:p>
    <w:p>
      <w:pPr>
        <w:spacing w:after="0" w:line="37" w:lineRule="exact"/>
        <w:rPr>
          <w:rFonts w:ascii="Courier New" w:cs="Courier New" w:eastAsia="Courier New" w:hAnsi="Courier New"/>
          <w:sz w:val="17"/>
          <w:szCs w:val="17"/>
          <w:color w:val="auto"/>
        </w:rPr>
      </w:pPr>
    </w:p>
    <w:p>
      <w:pPr>
        <w:ind w:right="195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distribute the Registrable Securities covered by its request pursuant to Section 2(b) by means of an underwriting, then it shall so advise the Company as a part of its request, and the Company shall include such information in the written notice referred to in Section 2(b)(i). In such event, the right of any Holder to include its Registrable Securities in such registration shall be conditioned upon such Holder's participation in such underwriting and the inclusion of such Holder's Registrable Securities in the underwriting. All Holders proposing to distribute their securities through such underwriting shall enter into an underwriting agreement in customary form with the managing underwriter or underwriters selected for such underwriting by the Holders of a majority of the Registrable Securities being registered and reasonably acceptable to the Company (including a market stand-off agreement of up to ninety (90) days if required by such underwriters). Notwithstanding any other provision of this Section 2(b), if the underwriter(s) advise(s) the Company in writing that marketing factors require a limitation of the number of securities to be underwritten then the Company shall so advise all Holders of Registrable Securities that would otherwise be registered and underwritten pursuant hereto, and the number of Registrable Securities that may be included in the underwriting shall be reduced as required by the underwriter(s) and allocated among the Holders of Registrable Securities on a pro rata basis according to the number of Registrable Securities then outstanding held by each Holder requesting registration; provided, however, that the number of shares of Registrable Securities to be included in such underwriting and registration shall not be reduced unless all other securities of the Company and any selling securityholder other than the Holders are first entirely excluded from the underwriting and registration. Any Registrable Securities excluded and withdrawn from such underwriting shall be withdrawn from the registration.</w:t>
      </w:r>
    </w:p>
    <w:p>
      <w:pPr>
        <w:spacing w:after="0" w:line="107" w:lineRule="exact"/>
        <w:rPr>
          <w:rFonts w:ascii="Courier New" w:cs="Courier New" w:eastAsia="Courier New" w:hAnsi="Courier New"/>
          <w:sz w:val="17"/>
          <w:szCs w:val="17"/>
          <w:color w:val="auto"/>
        </w:rPr>
      </w:pPr>
    </w:p>
    <w:p>
      <w:pPr>
        <w:ind w:left="3420" w:hanging="628"/>
        <w:spacing w:after="0"/>
        <w:tabs>
          <w:tab w:leader="none" w:pos="342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Maximum Number of Demand Registrations.  The</w:t>
      </w:r>
    </w:p>
    <w:p>
      <w:pPr>
        <w:spacing w:after="0" w:line="37" w:lineRule="exact"/>
        <w:rPr>
          <w:rFonts w:ascii="Courier New" w:cs="Courier New" w:eastAsia="Courier New" w:hAnsi="Courier New"/>
          <w:sz w:val="17"/>
          <w:szCs w:val="17"/>
          <w:color w:val="auto"/>
        </w:rPr>
      </w:pPr>
    </w:p>
    <w:p>
      <w:pPr>
        <w:ind w:right="1959"/>
        <w:spacing w:after="0" w:line="25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shall not be obligated to effect in the case of a demand request in accordance with the provisions of Section 2(b), more than two (2) registrations, provided, however, that once the Company has satisfied the requirements to file a Form S-3 there shall be no limit on the number of demand requests made by Hampshire; provided, that Hampshire shall no longer have such right once its beneficial ownership of the Common Stock is less than 10% on a fully-diluted basis. In order to count as one of the demand registrations pursuant to Section 2(b), the Registration Statement in respect thereof must have not been withdrawn and all Registrable Securities which Hampshire requested to be registered pursuant to it must have been so included and sold pursuant to an effective Registration Statement.</w:t>
      </w:r>
    </w:p>
    <w:p>
      <w:pPr>
        <w:spacing w:after="0" w:line="98" w:lineRule="exact"/>
        <w:rPr>
          <w:rFonts w:ascii="Courier New" w:cs="Courier New" w:eastAsia="Courier New" w:hAnsi="Courier New"/>
          <w:sz w:val="17"/>
          <w:szCs w:val="17"/>
          <w:color w:val="auto"/>
        </w:rPr>
      </w:pPr>
    </w:p>
    <w:p>
      <w:pPr>
        <w:ind w:left="3300" w:hanging="508"/>
        <w:spacing w:after="0"/>
        <w:tabs>
          <w:tab w:leader="none" w:pos="3300"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Deferral.  Notwithstanding the foregoing, if the</w:t>
      </w:r>
    </w:p>
    <w:p>
      <w:pPr>
        <w:spacing w:after="0" w:line="37" w:lineRule="exact"/>
        <w:rPr>
          <w:rFonts w:ascii="Courier New" w:cs="Courier New" w:eastAsia="Courier New" w:hAnsi="Courier New"/>
          <w:sz w:val="17"/>
          <w:szCs w:val="17"/>
          <w:color w:val="auto"/>
        </w:rPr>
      </w:pPr>
    </w:p>
    <w:p>
      <w:pPr>
        <w:ind w:right="2059"/>
        <w:spacing w:after="0" w:line="33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shall furnish to Hampshire, a certificate signed by the Chief Executive Officer of the Company stating</w:t>
      </w:r>
    </w:p>
    <w:p>
      <w:pPr>
        <w:spacing w:after="0" w:line="23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79" w:right="1440" w:bottom="1440" w:gutter="0" w:footer="0" w:header="0"/>
        </w:sectPr>
      </w:pPr>
    </w:p>
    <w:bookmarkStart w:id="112" w:name="page113"/>
    <w:bookmarkEnd w:id="112"/>
    <w:p>
      <w:pPr>
        <w:ind w:right="1959"/>
        <w:spacing w:after="0" w:line="271" w:lineRule="auto"/>
        <w:rPr>
          <w:sz w:val="20"/>
          <w:szCs w:val="20"/>
          <w:color w:val="auto"/>
        </w:rPr>
      </w:pPr>
      <w:r>
        <w:rPr>
          <w:rFonts w:ascii="Courier New" w:cs="Courier New" w:eastAsia="Courier New" w:hAnsi="Courier New"/>
          <w:sz w:val="17"/>
          <w:szCs w:val="17"/>
          <w:color w:val="auto"/>
        </w:rPr>
        <w:t>that in the good faith judgment of the Board of Directors, it would be materially detrimental to the Company and its stockholders for such Registration Statement to be filed, then the Company shall have the right to defer such filing for a period of not more than sixty (60) days after receipt of the request of Hampshire; provided, however, that the Company may not utilize this right more than once in any twelve (12) month period.</w:t>
      </w:r>
    </w:p>
    <w:p>
      <w:pPr>
        <w:spacing w:after="0" w:line="84" w:lineRule="exact"/>
        <w:rPr>
          <w:sz w:val="20"/>
          <w:szCs w:val="20"/>
          <w:color w:val="auto"/>
        </w:rPr>
      </w:pPr>
    </w:p>
    <w:p>
      <w:pPr>
        <w:ind w:right="1959" w:firstLine="1863"/>
        <w:spacing w:after="0" w:line="253" w:lineRule="auto"/>
        <w:tabs>
          <w:tab w:leader="none" w:pos="227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All expenses incurred in connection with any registration pursuant to this Section 2(b), including all federal and Blue Sky registration, filing and qualification fees, printer's and accounting fees, and fees and disbursements of counsel for the Company (but excluding underwriters' discounts and commissions relating to shares sold by Hampshire and any fees and disbursements of counsel to Hampshire), shall be borne by the Company. Hampshire shall bear its proportionate share (based on the total number of shares sold in such registration other than for the account of the Company) of all discounts, commissions or other amounts payable to underwriters or brokers in connection with such offering by Hampshire. Notwithstanding the foregoing, the Company shall not be required to pay for any expenses of any registration proceeding begun pursuant to this Section 2(b) if the registration request is subsequently withdrawn at the request of Hampshire, unless Hampshire agrees that such registration constitutes the use by Hampshire of one (1) demand registration pursuant to this Section 2(b); provided further, however, that if at the time of such withdrawal, Hampshire has learned of a material adverse change relating to the business or operations of the Company not known to Hampshire at the time of its request for such registration and has withdrawn its request for registration after learning of such material adverse change, then Hampshire shall not be required to pay any of such expenses and such registration shall not constitute the use of a demand registration pursuant to this Section 2(b).</w:t>
      </w:r>
    </w:p>
    <w:p>
      <w:pPr>
        <w:spacing w:after="0" w:line="102" w:lineRule="exact"/>
        <w:rPr>
          <w:sz w:val="20"/>
          <w:szCs w:val="20"/>
          <w:color w:val="auto"/>
        </w:rPr>
      </w:pPr>
    </w:p>
    <w:p>
      <w:pPr>
        <w:ind w:right="1959" w:firstLine="1863"/>
        <w:spacing w:after="0" w:line="252" w:lineRule="auto"/>
        <w:tabs>
          <w:tab w:leader="none" w:pos="227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Failure to File Registration Statement and Other Events. The Company and Hampshire agree that Hampshire will suffer damages if the Registration Statement is not filed and maintained in the manner contemplated herein during the Effectiveness Period (as defined below). The Company and Hampshire further agree that it would not be feasible to ascertain the extent of such damages with precision. Accordingly, if (i) the Company fails to file with the SEC a request for acceleration in accordance with Rule 461 promulgated under the Securities Act within five (5) Business Days of the date that the Company is notified (orally or in writing, whichever is earlier) by the SEC that a Registration Statement will not be "reviewed," or not subject to further review, or (ii) the Registration Statement is filed with and declared effective by the SEC but thereafter ceases to be effective as to all Registrable Securities at any time prior to the expiration of the Effectiveness Period, without being succeeded immediately by a subsequent Registration Statement filed with the SEC, except as otherwise permitted by this Agreement (any such failure or breach being referred to as an "Event"), the Company will make payments to Hampshire in an amount equal to 1.0% of the aggregate amount invested by Hampshire for each twenty (20)-day period or pro rata for any portion thereof following the date on which the Event occurred. Such payments shall be in partial compensation to Hampshire and shall not constitute Hampshire's exclusive remedy for such Events. Such payments shall be made to Hampshire in cash. The amounts payable pursuant to this paragraph shall be payable in lawful money of the United States within two (2) Business Days of the last day of each such twenty (20)-day period during which the Registration Statement should have been filed for which no Registration Statement was filed with respect to the Registrable Securities.</w:t>
      </w:r>
    </w:p>
    <w:p>
      <w:pPr>
        <w:spacing w:after="0" w:line="30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78" w:right="1440" w:bottom="1440" w:gutter="0" w:footer="0" w:header="0"/>
        </w:sectPr>
      </w:pPr>
    </w:p>
    <w:bookmarkStart w:id="113" w:name="page114"/>
    <w:bookmarkEnd w:id="113"/>
    <w:p>
      <w:pPr>
        <w:ind w:right="1959"/>
        <w:spacing w:after="0" w:line="308" w:lineRule="auto"/>
        <w:rPr>
          <w:sz w:val="20"/>
          <w:szCs w:val="20"/>
          <w:color w:val="auto"/>
        </w:rPr>
      </w:pPr>
      <w:r>
        <w:rPr>
          <w:rFonts w:ascii="Courier New" w:cs="Courier New" w:eastAsia="Courier New" w:hAnsi="Courier New"/>
          <w:sz w:val="17"/>
          <w:szCs w:val="17"/>
          <w:color w:val="auto"/>
        </w:rPr>
        <w:t>Notwithstanding the foregoing, the Company shall remain obligated to cure the breach or correct the condition that caused such Event, and Hampshire shall have the right to take any action necessary or desirable to enforce such obligation.</w:t>
      </w:r>
    </w:p>
    <w:p>
      <w:pPr>
        <w:spacing w:after="0" w:line="52" w:lineRule="exact"/>
        <w:rPr>
          <w:sz w:val="20"/>
          <w:szCs w:val="20"/>
          <w:color w:val="auto"/>
        </w:rPr>
      </w:pPr>
    </w:p>
    <w:p>
      <w:pPr>
        <w:ind w:right="1959" w:firstLine="1863"/>
        <w:spacing w:after="0" w:line="251" w:lineRule="auto"/>
        <w:tabs>
          <w:tab w:leader="none" w:pos="227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All fees and expenses incident to the performance of or compliance with this Agreement by the Company shall be borne by the Company whether or not the Registration Statement is filed or becomes effective and whether or not any Registrable Securities are sold pursuant to the Registration Statement. The fees and expenses referred to in the foregoing sentence shall include, without limitation, (i) all registration and filing fees (including, without limitation, fees and expenses (A) with respect to filings required to be made with each securities exchange, quotation system, market or over-the-counter bulletin board on which Registrable Securities are required hereunder to be listed, (B) with respect to filings required to be made with the SEC, and (C) in compliance with state securities or Blue Sky laws, (ii) printing expenses (including, without limitation, expenses of printing certificates for Registrable Securities and of printing or photocopying Prospectuses), (iii) messenger, telephone and delivery expenses, (iv) Securities Act liability insurance, if the Company so desires such insurance and (v) fees and expenses of all other Persons retained by the Company in connection with the consummation of the transactions contemplated by this Agreement, including, without limitation, the Company's independent public accountants (including, in the case of an underwritten offering, the expenses of any comfort letters or costs associated with the delivery by independent public accountants of a comfort letter or comfort letters) and legal counsel. In addition, each of Hampshire and the Company shall be responsible for all of their respective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Notwithstanding the preceding, the Company shall have no obligation to pay any underwriting discounts or selling commission attributable to the Registrable Securities being sold by Hampshire and any fees and disbursement of counsel to Hampshire, which such amounts shall be borne by Hampshire.</w:t>
      </w:r>
    </w:p>
    <w:p>
      <w:pPr>
        <w:spacing w:after="0" w:line="106" w:lineRule="exact"/>
        <w:rPr>
          <w:rFonts w:ascii="Courier New" w:cs="Courier New" w:eastAsia="Courier New" w:hAnsi="Courier New"/>
          <w:sz w:val="17"/>
          <w:szCs w:val="17"/>
          <w:color w:val="auto"/>
        </w:rPr>
      </w:pPr>
    </w:p>
    <w:p>
      <w:pPr>
        <w:ind w:left="2800" w:hanging="937"/>
        <w:spacing w:after="0"/>
        <w:tabs>
          <w:tab w:leader="none" w:pos="2800" w:val="left"/>
        </w:tabs>
        <w:numPr>
          <w:ilvl w:val="0"/>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Effectiveness.</w:t>
      </w:r>
    </w:p>
    <w:p>
      <w:pPr>
        <w:spacing w:after="0" w:line="204" w:lineRule="exact"/>
        <w:rPr>
          <w:rFonts w:ascii="Courier New" w:cs="Courier New" w:eastAsia="Courier New" w:hAnsi="Courier New"/>
          <w:sz w:val="17"/>
          <w:szCs w:val="17"/>
          <w:color w:val="auto"/>
        </w:rPr>
      </w:pPr>
    </w:p>
    <w:p>
      <w:pPr>
        <w:ind w:left="3200" w:hanging="408"/>
        <w:spacing w:after="0"/>
        <w:tabs>
          <w:tab w:leader="none" w:pos="3200"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shall use reasonable best efforts to</w:t>
      </w:r>
    </w:p>
    <w:p>
      <w:pPr>
        <w:spacing w:after="0" w:line="37" w:lineRule="exact"/>
        <w:rPr>
          <w:rFonts w:ascii="Courier New" w:cs="Courier New" w:eastAsia="Courier New" w:hAnsi="Courier New"/>
          <w:sz w:val="17"/>
          <w:szCs w:val="17"/>
          <w:color w:val="auto"/>
        </w:rPr>
      </w:pPr>
    </w:p>
    <w:p>
      <w:pPr>
        <w:ind w:right="19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have the Registration Statement declared effective not later than the earlier to occur of (y) sixty (60) days after the date of filing of such Registration Statement, or (z) five (5) Business Days following the Company's receipt of oral or written (whichever is first) notice from the SEC that the Registration Statement will not be "reviewed" or not be subject to further review; provided, however, if the Registration Statement is not declared effective within the time period set forth above, the Company shall continue to use its reasonable best efforts to have the Registration Statement declared effective as soon as possible thereafter.</w:t>
      </w:r>
    </w:p>
    <w:p>
      <w:pPr>
        <w:spacing w:after="0" w:line="96" w:lineRule="exact"/>
        <w:rPr>
          <w:rFonts w:ascii="Courier New" w:cs="Courier New" w:eastAsia="Courier New" w:hAnsi="Courier New"/>
          <w:sz w:val="17"/>
          <w:szCs w:val="17"/>
          <w:color w:val="auto"/>
        </w:rPr>
      </w:pPr>
    </w:p>
    <w:p>
      <w:pPr>
        <w:ind w:left="3300" w:hanging="508"/>
        <w:spacing w:after="0"/>
        <w:tabs>
          <w:tab w:leader="none" w:pos="3300"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not more than thirty (30) consecutive days</w:t>
      </w:r>
    </w:p>
    <w:p>
      <w:pPr>
        <w:spacing w:after="0" w:line="37" w:lineRule="exact"/>
        <w:rPr>
          <w:rFonts w:ascii="Courier New" w:cs="Courier New" w:eastAsia="Courier New" w:hAnsi="Courier New"/>
          <w:sz w:val="17"/>
          <w:szCs w:val="17"/>
          <w:color w:val="auto"/>
        </w:rPr>
      </w:pPr>
    </w:p>
    <w:p>
      <w:pPr>
        <w:ind w:right="1959"/>
        <w:spacing w:after="0" w:line="26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for a total of not more than sixty (60) days in any twelve (12) month period, the Company may delay the disclosure of material non-public information concerning the Company, which the Company is not otherwise required to disclose, by terminating or suspending effectiveness of any registration contemplated by this Section 2, if the disclosure of such material non-public information would</w:t>
      </w:r>
    </w:p>
    <w:p>
      <w:pPr>
        <w:spacing w:after="0" w:line="28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78" w:right="1440" w:bottom="1440" w:gutter="0" w:footer="0" w:header="0"/>
        </w:sectPr>
      </w:pPr>
    </w:p>
    <w:bookmarkStart w:id="114" w:name="page115"/>
    <w:bookmarkEnd w:id="114"/>
    <w:p>
      <w:pPr>
        <w:ind w:right="2059"/>
        <w:spacing w:after="0" w:line="253" w:lineRule="auto"/>
        <w:rPr>
          <w:sz w:val="20"/>
          <w:szCs w:val="20"/>
          <w:color w:val="auto"/>
        </w:rPr>
      </w:pPr>
      <w:r>
        <w:rPr>
          <w:rFonts w:ascii="Courier New" w:cs="Courier New" w:eastAsia="Courier New" w:hAnsi="Courier New"/>
          <w:sz w:val="17"/>
          <w:szCs w:val="17"/>
          <w:color w:val="auto"/>
        </w:rPr>
        <w:t>be required by such registration and at the time is not, in the reasonable determination of the Company's Board of Directors, in the best interests of the Company (an "Allowed Delay"); provided, that the Company shall promptly (a) notify Hampshire in writing of the existence of (but in no event shall the Company be required to disclose to Hampshire any of the facts or circumstances regarding) material non-public information giving rise to an Allowed Delay, and</w:t>
      </w:r>
    </w:p>
    <w:p>
      <w:pPr>
        <w:spacing w:after="0" w:line="5" w:lineRule="exact"/>
        <w:rPr>
          <w:sz w:val="20"/>
          <w:szCs w:val="20"/>
          <w:color w:val="auto"/>
        </w:rPr>
      </w:pPr>
    </w:p>
    <w:p>
      <w:pPr>
        <w:ind w:right="2679" w:firstLine="6"/>
        <w:spacing w:after="0" w:line="330" w:lineRule="auto"/>
        <w:tabs>
          <w:tab w:leader="none" w:pos="413"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advise Hampshire in writing to cease all sales under the Registration Statement until the end of the Allowed Delay.</w:t>
      </w:r>
    </w:p>
    <w:p>
      <w:pPr>
        <w:spacing w:after="0" w:line="33" w:lineRule="exact"/>
        <w:rPr>
          <w:rFonts w:ascii="Courier New" w:cs="Courier New" w:eastAsia="Courier New" w:hAnsi="Courier New"/>
          <w:sz w:val="17"/>
          <w:szCs w:val="17"/>
          <w:color w:val="auto"/>
        </w:rPr>
      </w:pPr>
    </w:p>
    <w:p>
      <w:pPr>
        <w:ind w:left="100" w:right="2059" w:firstLine="1763"/>
        <w:spacing w:after="0" w:line="271" w:lineRule="auto"/>
        <w:tabs>
          <w:tab w:leader="none" w:pos="2267" w:val="left"/>
        </w:tabs>
        <w:numPr>
          <w:ilvl w:val="2"/>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Effectiveness. Within three (3) Business Days after the Registration Statement which includes the Registrable Securities is ordered effective by the SEC, the Company shall deliver, and shall cause legal counsel for the Company to deliver, to the transfer agent for such Registrable Securities (with copies to Hampshire) confirmation that the Registration Statement has been declared effective by the SEC.</w:t>
      </w:r>
    </w:p>
    <w:p>
      <w:pPr>
        <w:spacing w:after="0" w:line="84" w:lineRule="exact"/>
        <w:rPr>
          <w:rFonts w:ascii="Courier New" w:cs="Courier New" w:eastAsia="Courier New" w:hAnsi="Courier New"/>
          <w:sz w:val="17"/>
          <w:szCs w:val="17"/>
          <w:color w:val="auto"/>
        </w:rPr>
      </w:pPr>
    </w:p>
    <w:p>
      <w:pPr>
        <w:ind w:left="100" w:right="2159" w:firstLine="1763"/>
        <w:spacing w:after="0" w:line="278" w:lineRule="auto"/>
        <w:tabs>
          <w:tab w:leader="none" w:pos="2267" w:val="left"/>
        </w:tabs>
        <w:numPr>
          <w:ilvl w:val="2"/>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Underwritten Offering. If any offering pursuant to a Registration Statement involves an underwritten offering, the Company shall have the right to select an investment banker and manager to administer the offering, which investment banker or manager shall be reasonably satisfactory to Hampshire.</w:t>
      </w:r>
    </w:p>
    <w:p>
      <w:pPr>
        <w:spacing w:after="0" w:line="75" w:lineRule="exact"/>
        <w:rPr>
          <w:rFonts w:ascii="Courier New" w:cs="Courier New" w:eastAsia="Courier New" w:hAnsi="Courier New"/>
          <w:sz w:val="17"/>
          <w:szCs w:val="17"/>
          <w:color w:val="auto"/>
        </w:rPr>
      </w:pPr>
    </w:p>
    <w:p>
      <w:pPr>
        <w:ind w:right="2159" w:firstLine="934"/>
        <w:spacing w:after="0" w:line="288" w:lineRule="auto"/>
        <w:tabs>
          <w:tab w:leader="none" w:pos="1238" w:val="left"/>
        </w:tabs>
        <w:numPr>
          <w:ilvl w:val="1"/>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Obligations. The Company will use its reasonable best efforts to effect the registration of the Registrable Securities in accordance with the terms hereof, and pursuant thereto the Company will, as expeditiously as possible:</w:t>
      </w:r>
    </w:p>
    <w:p>
      <w:pPr>
        <w:spacing w:after="0" w:line="67" w:lineRule="exact"/>
        <w:rPr>
          <w:rFonts w:ascii="Courier New" w:cs="Courier New" w:eastAsia="Courier New" w:hAnsi="Courier New"/>
          <w:sz w:val="17"/>
          <w:szCs w:val="17"/>
          <w:color w:val="auto"/>
        </w:rPr>
      </w:pPr>
    </w:p>
    <w:p>
      <w:pPr>
        <w:ind w:left="100" w:right="1959" w:firstLine="1763"/>
        <w:spacing w:after="0" w:line="267" w:lineRule="auto"/>
        <w:tabs>
          <w:tab w:leader="none" w:pos="2267" w:val="left"/>
        </w:tabs>
        <w:numPr>
          <w:ilvl w:val="2"/>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its reasonable best efforts to cause such Registration Statement to become effective and to remain continuously effective for a period that will terminate upon the earlier of (x) the date when all Registrable Securities covered by such Registration Statement have been sold, or (y) with respect to Hampshire, such time as all Registrable Securities held by Hampshire may be sold without any restriction pursuant to Rule 144(k) (the "Effectiveness Period");</w:t>
      </w:r>
    </w:p>
    <w:p>
      <w:pPr>
        <w:spacing w:after="0" w:line="87" w:lineRule="exact"/>
        <w:rPr>
          <w:rFonts w:ascii="Courier New" w:cs="Courier New" w:eastAsia="Courier New" w:hAnsi="Courier New"/>
          <w:sz w:val="17"/>
          <w:szCs w:val="17"/>
          <w:color w:val="auto"/>
        </w:rPr>
      </w:pPr>
    </w:p>
    <w:p>
      <w:pPr>
        <w:ind w:right="1959" w:firstLine="1863"/>
        <w:spacing w:after="0" w:line="254" w:lineRule="auto"/>
        <w:tabs>
          <w:tab w:leader="none" w:pos="2270" w:val="left"/>
        </w:tabs>
        <w:numPr>
          <w:ilvl w:val="2"/>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prepare and file with the SEC such amendments and post-effective supplements to the Registration Statement as may be necessary to keep the Registration Statement effective with respect to all Registrable Securities for the Effectiveness Period; (ii) cause the related Prospectus to be amended or supplemented by any required Prospectus supplement, and as so supplemented or amended to be filed pursuant to Rule 424 (or any similar provisions then in force) promulgated under the Securities Act; (iii) respond as promptly as possible, and in no event later than fifteen (15) Business Days to the first set of comments and ten (10) Business Days to each set of comments thereafter received from the SEC with respect to the Registration Statement or any amendment thereto and as promptly as reasonably possible provide Hampshire true and complete copies of all correspondence from and to the SEC relating to the Registration Statement; and (iv) comply in all material respects with the provisions of the Securities Act and the 1934 Act with respect to the disposition of all Registrable Securities covered by the Registration Statement during the applicable period in accordance with the intended methods of disposition by Hampshire thereof set forth in the Registration Statement as so amended or in such Prospectus as so supplemented;</w:t>
      </w:r>
    </w:p>
    <w:p>
      <w:pPr>
        <w:spacing w:after="0" w:line="3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78" w:right="1440" w:bottom="1440" w:gutter="0" w:footer="0" w:header="0"/>
        </w:sectPr>
      </w:pPr>
    </w:p>
    <w:bookmarkStart w:id="115" w:name="page116"/>
    <w:bookmarkEnd w:id="115"/>
    <w:p>
      <w:pPr>
        <w:ind w:left="100" w:right="1959" w:firstLine="1763"/>
        <w:spacing w:after="0" w:line="251" w:lineRule="auto"/>
        <w:tabs>
          <w:tab w:leader="none" w:pos="2267" w:val="left"/>
        </w:tabs>
        <w:numPr>
          <w:ilvl w:val="1"/>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notify Hampshire of Registrable Securities to be sold as promptly as possible (i) when a Prospectus or any Prospectus supplement or post-effective amendment to the Registration Statement is proposed to be filed (but in no event in the case of this subparagraph (i), less than five (5) Business Days prior to date of such filing); (ii) when the SEC notifies the Company whether there will be a "review" of such Registration Statement and whenever the SEC comments in writing on such Registration Statement; and (iii) with respect to the Registration Statement or any post-effective amendment, when the same has become effective, and after the effectiveness thereof: (A) of any request by the SEC or any other Federal or state governmental authority for amendments or supplements to the Registration Statement or Prospectus or for additional information; (B) of the issuance by the SEC of any stop order suspending the effectiveness of the Registration Statement covering any or all of the Registrable Securities or the initiation of any suit, action or proceeding for that purpose; (C) of the receipt by the Company of any notification with respect to the suspension of the qualification or exemption from qualification of any of the Registrable Securities for sale in any jurisdiction, or the initiation or threatening of any suit, action or proceeding for such purpose; and (D) if the financial statements included in the Registration Statement become ineligible for inclusion therein or of the occurrence of any event that makes any statement made in the Registration Statement or Prospectus or any document incorporated or deemed to be incorporated therein by reference untrue in any material respect or that requires any revisions to the Registration Statement, Prospectus or other documents so that, in the case of the Registration Statement or the Prospectus, as the case may be, it will not contain any untrue statement of a material fact or omit to state any material fact required to be stated therein or necessary to make the statements therein, in the light of the circumstances under which they were made, not misleading. Without limitation to any remedies to which Hampshire may be entitled under this Agreement, if any of the events described in Section 3(c)(iii)(A), 3(c)(iii)(B) and 3(c)(iii)(C) occur, the Company shall use its best efforts to respond to and correct the event;</w:t>
      </w:r>
    </w:p>
    <w:p>
      <w:pPr>
        <w:spacing w:after="0" w:line="103" w:lineRule="exact"/>
        <w:rPr>
          <w:rFonts w:ascii="Courier New" w:cs="Courier New" w:eastAsia="Courier New" w:hAnsi="Courier New"/>
          <w:sz w:val="17"/>
          <w:szCs w:val="17"/>
          <w:color w:val="auto"/>
        </w:rPr>
      </w:pPr>
    </w:p>
    <w:p>
      <w:pPr>
        <w:ind w:left="100" w:right="2259" w:firstLine="1763"/>
        <w:spacing w:after="0" w:line="278" w:lineRule="auto"/>
        <w:tabs>
          <w:tab w:leader="none" w:pos="2267" w:val="left"/>
        </w:tabs>
        <w:numPr>
          <w:ilvl w:val="1"/>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furnish to Hampshire such number of copies of a Prospectus, including a preliminary prospectus, and all amendments and supplements thereto and such other documents as Hampshire may reasonably request in order to facilitate the disposition of the Registrable Securities owned by Hampshire;</w:t>
      </w:r>
    </w:p>
    <w:p>
      <w:pPr>
        <w:spacing w:after="0" w:line="75" w:lineRule="exact"/>
        <w:rPr>
          <w:rFonts w:ascii="Courier New" w:cs="Courier New" w:eastAsia="Courier New" w:hAnsi="Courier New"/>
          <w:sz w:val="17"/>
          <w:szCs w:val="17"/>
          <w:color w:val="auto"/>
        </w:rPr>
      </w:pPr>
    </w:p>
    <w:p>
      <w:pPr>
        <w:ind w:right="1959" w:firstLine="1863"/>
        <w:spacing w:after="0" w:line="260" w:lineRule="auto"/>
        <w:tabs>
          <w:tab w:leader="none" w:pos="2270" w:val="left"/>
        </w:tabs>
        <w:numPr>
          <w:ilvl w:val="1"/>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requested by Hampshire, (i) promptly incorporate in a Prospectus supplement or post-effective amendment to the Registration Statement such information as the Company reasonably agrees should be included therein and</w:t>
      </w:r>
    </w:p>
    <w:p>
      <w:pPr>
        <w:spacing w:after="0" w:line="1"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all required filings of such Prospectus supplement or such</w:t>
      </w:r>
    </w:p>
    <w:p>
      <w:pPr>
        <w:spacing w:after="0" w:line="6" w:lineRule="exact"/>
        <w:rPr>
          <w:sz w:val="20"/>
          <w:szCs w:val="20"/>
          <w:color w:val="auto"/>
        </w:rPr>
      </w:pPr>
    </w:p>
    <w:p>
      <w:pPr>
        <w:ind w:right="2059"/>
        <w:spacing w:after="0" w:line="288" w:lineRule="auto"/>
        <w:rPr>
          <w:sz w:val="20"/>
          <w:szCs w:val="20"/>
          <w:color w:val="auto"/>
        </w:rPr>
      </w:pPr>
      <w:r>
        <w:rPr>
          <w:rFonts w:ascii="Courier New" w:cs="Courier New" w:eastAsia="Courier New" w:hAnsi="Courier New"/>
          <w:sz w:val="17"/>
          <w:szCs w:val="17"/>
          <w:color w:val="auto"/>
        </w:rPr>
        <w:t>post-effective amendment as soon as practicable after the Company has received notification of the matters to be incorporated in such Prospectus supplement or post-effective amendment;</w:t>
      </w:r>
    </w:p>
    <w:p>
      <w:pPr>
        <w:spacing w:after="0" w:line="68" w:lineRule="exact"/>
        <w:rPr>
          <w:sz w:val="20"/>
          <w:szCs w:val="20"/>
          <w:color w:val="auto"/>
        </w:rPr>
      </w:pPr>
    </w:p>
    <w:p>
      <w:pPr>
        <w:ind w:right="2259" w:firstLine="1863"/>
        <w:spacing w:after="0" w:line="278" w:lineRule="auto"/>
        <w:tabs>
          <w:tab w:leader="none" w:pos="227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Company selects an underwriter for the public offering, the Company shall enter into and perform its reasonable obligations under an underwriting agreement, in usual and customary form, including, without limitation, customary indemnification and contribution obligations, with the underwriter of such offering;</w:t>
      </w:r>
    </w:p>
    <w:p>
      <w:pPr>
        <w:spacing w:after="0" w:line="75" w:lineRule="exact"/>
        <w:rPr>
          <w:rFonts w:ascii="Courier New" w:cs="Courier New" w:eastAsia="Courier New" w:hAnsi="Courier New"/>
          <w:sz w:val="17"/>
          <w:szCs w:val="17"/>
          <w:color w:val="auto"/>
        </w:rPr>
      </w:pPr>
    </w:p>
    <w:p>
      <w:pPr>
        <w:ind w:right="1959" w:firstLine="1863"/>
        <w:spacing w:after="0" w:line="288" w:lineRule="auto"/>
        <w:tabs>
          <w:tab w:leader="none" w:pos="227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required by the underwriter, the Company shall furnish, on the effective date of the Registration Statement (i) an opinion, dated as of such date, from independent legal counsel representing the Company for purposes of such Registration Statement, in form, scope</w:t>
      </w:r>
    </w:p>
    <w:p>
      <w:pPr>
        <w:spacing w:after="0" w:line="26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678" w:right="1440" w:bottom="1440" w:gutter="0" w:footer="0" w:header="0"/>
        </w:sectPr>
      </w:pPr>
    </w:p>
    <w:bookmarkStart w:id="116" w:name="page117"/>
    <w:bookmarkEnd w:id="116"/>
    <w:p>
      <w:pPr>
        <w:ind w:right="1959"/>
        <w:spacing w:after="0" w:line="278" w:lineRule="auto"/>
        <w:rPr>
          <w:sz w:val="20"/>
          <w:szCs w:val="20"/>
          <w:color w:val="auto"/>
        </w:rPr>
      </w:pPr>
      <w:r>
        <w:rPr>
          <w:rFonts w:ascii="Courier New" w:cs="Courier New" w:eastAsia="Courier New" w:hAnsi="Courier New"/>
          <w:sz w:val="17"/>
          <w:szCs w:val="17"/>
          <w:color w:val="auto"/>
        </w:rPr>
        <w:t>and substance as is customarily given in an underwritten public offering, addressed to the underwriter and (ii) a letter, dated such date, from the Company's independent certified public accountants in form and substance as is customarily given by independent certified public accountants to underwriters in an underwritten public offering, addressed to the underwriter;</w:t>
      </w:r>
    </w:p>
    <w:p>
      <w:pPr>
        <w:spacing w:after="0" w:line="75" w:lineRule="exact"/>
        <w:rPr>
          <w:sz w:val="20"/>
          <w:szCs w:val="20"/>
          <w:color w:val="auto"/>
        </w:rPr>
      </w:pPr>
    </w:p>
    <w:p>
      <w:pPr>
        <w:ind w:right="2159" w:firstLine="1863"/>
        <w:spacing w:after="0" w:line="271" w:lineRule="auto"/>
        <w:tabs>
          <w:tab w:leader="none" w:pos="227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its reasonable best efforts to (i) prevent the issuance of any stop order or other suspension of effectiveness and, if such order is issued, obtain the withdrawal of any such order at the earliest possible moment or (ii) any suspension of the qualification (or exemption from qualification) of any of the Registrable Securities for sale in any jurisdiction, at the earliest practicable time;</w:t>
      </w:r>
    </w:p>
    <w:p>
      <w:pPr>
        <w:spacing w:after="0" w:line="84" w:lineRule="exact"/>
        <w:rPr>
          <w:rFonts w:ascii="Courier New" w:cs="Courier New" w:eastAsia="Courier New" w:hAnsi="Courier New"/>
          <w:sz w:val="17"/>
          <w:szCs w:val="17"/>
          <w:color w:val="auto"/>
        </w:rPr>
      </w:pPr>
    </w:p>
    <w:p>
      <w:pPr>
        <w:ind w:right="1959" w:firstLine="1863"/>
        <w:spacing w:after="0" w:line="259" w:lineRule="auto"/>
        <w:tabs>
          <w:tab w:leader="none" w:pos="227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any public offering of Registrable Securities, use its reasonable best efforts to register or qualify or cooperate with Hampshire and its counsel in connection with the registration or qualification of such Registrable Securities for offer and sale under the state securities or Blue Sky laws of such jurisdictions reasonably requested by Hampshire and do any and all other reasonable acts or things necessary or advisable to enable the distribution in such jurisdictions of the Registrable Securities covered by the Registration Statement; provided, that, the Company shall not for any purpose be required to qualify to do business as a foreign corporation in any jurisdiction wherein it is not so qualified or execute a general consent to service of process in any jurisdiction;</w:t>
      </w:r>
    </w:p>
    <w:p>
      <w:pPr>
        <w:spacing w:after="0" w:line="95" w:lineRule="exact"/>
        <w:rPr>
          <w:rFonts w:ascii="Courier New" w:cs="Courier New" w:eastAsia="Courier New" w:hAnsi="Courier New"/>
          <w:sz w:val="17"/>
          <w:szCs w:val="17"/>
          <w:color w:val="auto"/>
        </w:rPr>
      </w:pPr>
    </w:p>
    <w:p>
      <w:pPr>
        <w:ind w:right="1959" w:firstLine="1863"/>
        <w:spacing w:after="0" w:line="278" w:lineRule="auto"/>
        <w:tabs>
          <w:tab w:leader="none" w:pos="227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all Registrable Securities covered by a Registration Statement to be listed on each securities exchange, interdealer quotation system, market or over-the-counter bulletin board on which similar securities issued by the Company are then listed or, if no such listing then exists, as reasonably determined by the Company;</w:t>
      </w:r>
    </w:p>
    <w:p>
      <w:pPr>
        <w:spacing w:after="0" w:line="75" w:lineRule="exact"/>
        <w:rPr>
          <w:rFonts w:ascii="Courier New" w:cs="Courier New" w:eastAsia="Courier New" w:hAnsi="Courier New"/>
          <w:sz w:val="17"/>
          <w:szCs w:val="17"/>
          <w:color w:val="auto"/>
        </w:rPr>
      </w:pPr>
    </w:p>
    <w:p>
      <w:pPr>
        <w:ind w:right="1959" w:firstLine="1863"/>
        <w:spacing w:after="0" w:line="260" w:lineRule="auto"/>
        <w:tabs>
          <w:tab w:leader="none" w:pos="227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occurrence of any event contemplated by Section 3(c)(iii)(D), as promptly as possible, prepare a supplement or amendment, including a post-effective amendment, to the Registration Statement or a supplement to the related Prospectus or any document incorporated or deemed to be incorporated therein by reference, and file any other required document so that, as thereafter delivered, neither the Registration Statement nor such Prospectus will contain an untrue statement of a material fact or omit to state a material fact required to be stated therein or necessary to make the statements therein, in the light of the circumstances under which they were made, not misleading;</w:t>
      </w:r>
    </w:p>
    <w:p>
      <w:pPr>
        <w:spacing w:after="0" w:line="96" w:lineRule="exact"/>
        <w:rPr>
          <w:rFonts w:ascii="Courier New" w:cs="Courier New" w:eastAsia="Courier New" w:hAnsi="Courier New"/>
          <w:sz w:val="17"/>
          <w:szCs w:val="17"/>
          <w:color w:val="auto"/>
        </w:rPr>
      </w:pPr>
    </w:p>
    <w:p>
      <w:pPr>
        <w:ind w:right="1959" w:firstLine="1966"/>
        <w:spacing w:after="0" w:line="256" w:lineRule="auto"/>
        <w:tabs>
          <w:tab w:leader="none" w:pos="2373" w:val="left"/>
        </w:tabs>
        <w:numPr>
          <w:ilvl w:val="1"/>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otherwise use its best efforts to comply with all applicable rules and regulations of the SEC under the Securities Act and the 1934 Act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(for the purpose of this subsection 3(l), "Availability Date" means the 45th day following the end of the fourth fiscal quarter that includes the effective date of such Registration Statement, except that, if such fourth fiscal quarter is the last quarter of the Company's fiscal year, "Availability Date" means the 90th day after the end of such fourth fiscal quarter);</w:t>
      </w:r>
    </w:p>
    <w:p>
      <w:pPr>
        <w:spacing w:after="0" w:line="299"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78" w:right="1440" w:bottom="1440" w:gutter="0" w:footer="0" w:header="0"/>
        </w:sectPr>
      </w:pPr>
    </w:p>
    <w:bookmarkStart w:id="117" w:name="page118"/>
    <w:bookmarkEnd w:id="117"/>
    <w:p>
      <w:pPr>
        <w:ind w:right="1959" w:firstLine="1863"/>
        <w:spacing w:after="0" w:line="271" w:lineRule="auto"/>
        <w:tabs>
          <w:tab w:leader="none" w:pos="2270" w:val="left"/>
        </w:tabs>
        <w:numPr>
          <w:ilvl w:val="1"/>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a transfer agent and registrar for all Registrable Securities registered pursuant hereunder and a CUSIP number for all such Registrable Securities, in each case not later than the effective date of such registration and provide the transfer agent with printed certificates for Registrable Securities in a form eligible for deposit with The Depositary Trust Company; and</w:t>
      </w:r>
    </w:p>
    <w:p>
      <w:pPr>
        <w:spacing w:after="0" w:line="84" w:lineRule="exact"/>
        <w:rPr>
          <w:rFonts w:ascii="Courier New" w:cs="Courier New" w:eastAsia="Courier New" w:hAnsi="Courier New"/>
          <w:sz w:val="17"/>
          <w:szCs w:val="17"/>
          <w:color w:val="auto"/>
        </w:rPr>
      </w:pPr>
    </w:p>
    <w:p>
      <w:pPr>
        <w:ind w:right="2059" w:firstLine="1863"/>
        <w:spacing w:after="0" w:line="288" w:lineRule="auto"/>
        <w:tabs>
          <w:tab w:leader="none" w:pos="2270" w:val="left"/>
        </w:tabs>
        <w:numPr>
          <w:ilvl w:val="1"/>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and assist in any filings required to be made with the NASD and in the performance of any due diligence investigation by any underwriter (including any "qualified independent underwriter" that is required to be retained in accordance with the rules and regulations of the NASD).</w:t>
      </w:r>
    </w:p>
    <w:p>
      <w:pPr>
        <w:spacing w:after="0" w:line="67" w:lineRule="exact"/>
        <w:rPr>
          <w:rFonts w:ascii="Courier New" w:cs="Courier New" w:eastAsia="Courier New" w:hAnsi="Courier New"/>
          <w:sz w:val="17"/>
          <w:szCs w:val="17"/>
          <w:color w:val="auto"/>
        </w:rPr>
      </w:pPr>
    </w:p>
    <w:p>
      <w:pPr>
        <w:ind w:right="1959" w:firstLine="934"/>
        <w:spacing w:after="0" w:line="254" w:lineRule="auto"/>
        <w:tabs>
          <w:tab w:leader="none" w:pos="1238"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Due Diligence Review; Information. The Company shall make available, during normal business hours, for reasonable inspection and review by Hampshire, advisors to and representatives of Hampshire (who may or may not be affiliated with Hampshire), and any underwriter participating in any disposition of Common Stock on behalf of Hampshire pursuant to a Registration Statement or amendments or supplements thereto or any Blue Sky, NASD or other filing, all financial and other records, and all other corporate documents and properties of the Company as may be reasonably necessary for the purpose of such review, and cause the Company's officers, directors and employees, within a reasonable time period, to supply all such information reasonably requested by Hampshire or any such representative, advisor or underwriter in connection with such Registration Statement (including, without limitation, in response to all questions and other inquiries reasonably made or submitted by any of them), prior to and from time to time after the filing and effectiveness of the Registration Statement for the sole purpose of enabling Hampshire and such representatives, advisors and underwriters and its accountants and attorneys to conduct initial and ongoing due diligence with respect to the Company and the accuracy of such Registration Statement.</w:t>
      </w:r>
    </w:p>
    <w:p>
      <w:pPr>
        <w:spacing w:after="0" w:line="102" w:lineRule="exact"/>
        <w:rPr>
          <w:sz w:val="20"/>
          <w:szCs w:val="20"/>
          <w:color w:val="auto"/>
        </w:rPr>
      </w:pPr>
    </w:p>
    <w:p>
      <w:pPr>
        <w:ind w:right="1959" w:firstLine="1857"/>
        <w:spacing w:after="0" w:line="271" w:lineRule="auto"/>
        <w:rPr>
          <w:sz w:val="20"/>
          <w:szCs w:val="20"/>
          <w:color w:val="auto"/>
        </w:rPr>
      </w:pPr>
      <w:r>
        <w:rPr>
          <w:rFonts w:ascii="Courier New" w:cs="Courier New" w:eastAsia="Courier New" w:hAnsi="Courier New"/>
          <w:sz w:val="17"/>
          <w:szCs w:val="17"/>
          <w:color w:val="auto"/>
        </w:rPr>
        <w:t>Notwithstanding the foregoing, the Company shall not disclose material non-public information to Hampshire, or to advisors to or representatives of Hampshire, unless prior to disclosure of such information the Company identifies such information as being material non-public information and provides Hampshire, such advisors and representatives with the opportunity to accept or refuse to accept such material non-public information for review.</w:t>
      </w:r>
    </w:p>
    <w:p>
      <w:pPr>
        <w:spacing w:after="0" w:line="84" w:lineRule="exact"/>
        <w:rPr>
          <w:sz w:val="20"/>
          <w:szCs w:val="20"/>
          <w:color w:val="auto"/>
        </w:rPr>
      </w:pPr>
    </w:p>
    <w:p>
      <w:pPr>
        <w:ind w:left="1860" w:hanging="926"/>
        <w:spacing w:after="0"/>
        <w:tabs>
          <w:tab w:leader="none" w:pos="1860"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Obligations of Hampshire.</w:t>
      </w:r>
    </w:p>
    <w:p>
      <w:pPr>
        <w:spacing w:after="0" w:line="204" w:lineRule="exact"/>
        <w:rPr>
          <w:rFonts w:ascii="Courier New" w:cs="Courier New" w:eastAsia="Courier New" w:hAnsi="Courier New"/>
          <w:sz w:val="17"/>
          <w:szCs w:val="17"/>
          <w:color w:val="auto"/>
        </w:rPr>
      </w:pPr>
    </w:p>
    <w:p>
      <w:pPr>
        <w:ind w:right="1959" w:firstLine="1863"/>
        <w:spacing w:after="0" w:line="257" w:lineRule="auto"/>
        <w:tabs>
          <w:tab w:leader="none" w:pos="2270" w:val="left"/>
        </w:tabs>
        <w:numPr>
          <w:ilvl w:val="1"/>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Hampshire shall furnish in writing to the Company such information regarding itself, the Registrable Securities held by it and the intended method of disposition of the Registrable Securities held by it, as shall be reasonably required to effect the registration of such Registrable Securities and shall execute such documents in connection with such registration as the Company may reasonably request. At least fifteen (15) Business Days prior to the first anticipated filing date of any Registration Statement, the Company shall notify Hampshire of the information the Company requires from Hampshire if Hampshire elects to have any of the Registrable Securities included in the Registration Statement. Hampshire shall provide such information to the Company at least ten (10) Business Days prior to the first anticipated filing date of such Registration Statement if Hampshire elects to have any of the Registrable Securities included in the Registration Statement.</w:t>
      </w:r>
    </w:p>
    <w:p>
      <w:pPr>
        <w:spacing w:after="0" w:line="2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79" w:right="1440" w:bottom="1440" w:gutter="0" w:footer="0" w:header="0"/>
        </w:sectPr>
      </w:pPr>
    </w:p>
    <w:bookmarkStart w:id="118" w:name="page119"/>
    <w:bookmarkEnd w:id="118"/>
    <w:p>
      <w:pPr>
        <w:ind w:left="-934" w:right="1959" w:firstLine="1863"/>
        <w:spacing w:after="0" w:line="271" w:lineRule="auto"/>
        <w:tabs>
          <w:tab w:leader="none" w:pos="1336"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Hampshire, by its acceptance of the Registrable Securities, agrees to cooperate with the Company as reasonably requested by the Company in connection with the preparation and filing of a Registration Statement hereunder, unless Hampshire has notified the Company in writing of its election to exclude all of its Registrable Securities from such Registration Statement.</w:t>
      </w:r>
    </w:p>
    <w:p>
      <w:pPr>
        <w:spacing w:after="0" w:line="84" w:lineRule="exact"/>
        <w:rPr>
          <w:rFonts w:ascii="Courier New" w:cs="Courier New" w:eastAsia="Courier New" w:hAnsi="Courier New"/>
          <w:sz w:val="17"/>
          <w:szCs w:val="17"/>
          <w:color w:val="auto"/>
        </w:rPr>
      </w:pPr>
    </w:p>
    <w:p>
      <w:pPr>
        <w:ind w:left="-934" w:right="1959" w:firstLine="1863"/>
        <w:spacing w:after="0" w:line="267" w:lineRule="auto"/>
        <w:tabs>
          <w:tab w:leader="none" w:pos="1336"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Company determines to engage the services of an underwriter, Hampshire agrees to enter into and perform its obligations under an underwriting agreement, in usual and customary form, including, without limitation, customary indemnification and contribution obligations, with the managing underwriter of such offering and take such other actions as are reasonably required in order to expedite or facilitate the dispositions of the Registrable Securities.</w:t>
      </w:r>
    </w:p>
    <w:p>
      <w:pPr>
        <w:spacing w:after="0" w:line="87" w:lineRule="exact"/>
        <w:rPr>
          <w:rFonts w:ascii="Courier New" w:cs="Courier New" w:eastAsia="Courier New" w:hAnsi="Courier New"/>
          <w:sz w:val="17"/>
          <w:szCs w:val="17"/>
          <w:color w:val="auto"/>
        </w:rPr>
      </w:pPr>
    </w:p>
    <w:p>
      <w:pPr>
        <w:ind w:left="-934" w:right="1959" w:firstLine="1863"/>
        <w:spacing w:after="0" w:line="260" w:lineRule="auto"/>
        <w:tabs>
          <w:tab w:leader="none" w:pos="1336"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Hampshire agrees that, upon receipt of any notice from the Company of the happening of any event rendering a Registration Statement no longer effective, Hampshire will immediately discontinue disposition of Registrable Securities pursuant to the Registration Statement covering such Registrable Securities, until Hampshire's receipt of copies of the supplemented or amended Prospectus filed with the SEC and declared effective and, if so directed by the Company, Hampshire shall deliver to the Company (at the expense of the Company) or destroy (and deliver to the Company a certificate of destruction) all copies in Hampshire's possession of the Prospectus covering the Registrable Securities current at the time of receipt of such notice.</w:t>
      </w:r>
    </w:p>
    <w:p>
      <w:pPr>
        <w:spacing w:after="0" w:line="96" w:lineRule="exact"/>
        <w:rPr>
          <w:rFonts w:ascii="Courier New" w:cs="Courier New" w:eastAsia="Courier New" w:hAnsi="Courier New"/>
          <w:sz w:val="17"/>
          <w:szCs w:val="17"/>
          <w:color w:val="auto"/>
        </w:rPr>
      </w:pPr>
    </w:p>
    <w:p>
      <w:pPr>
        <w:ind w:left="-934" w:right="1959" w:firstLine="1863"/>
        <w:spacing w:after="0" w:line="256" w:lineRule="auto"/>
        <w:tabs>
          <w:tab w:leader="none" w:pos="1336" w:val="left"/>
        </w:tabs>
        <w:numPr>
          <w:ilvl w:val="1"/>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Hampshire may not participate in any third party underwritten registration hereunder unless it (i) agrees to sell the Registrable Securities on the basis provided in any underwriting arrangements in usual and customary form entered into by the Company, (ii) completes and executes all questionnaires, powers of attorney, indemnities, underwriting agreements and other documents reasonably required under the terms of such underwriting arrangements and (iii) agrees to pay its pro rata share of all underwriting discounts and commissions. Notwithstanding the foregoing, Hampshire shall not be required to make any representations to such underwriter, other than those with respect to itself and the Registrable Securities owned by it, including its right to sell the Registrable Securities, and any indemnification in favor of the underwriter by Hampshire shall be limited to the net proceeds received by Hampshire from the sale of its Registrable Securities. The scope of any such indemnification in favor of an underwriter shall be limited to the same extent as the indemnity provided in Section 6(b) hereof.</w:t>
      </w:r>
    </w:p>
    <w:p>
      <w:pPr>
        <w:spacing w:after="0" w:line="93" w:lineRule="exact"/>
        <w:rPr>
          <w:rFonts w:ascii="Courier New" w:cs="Courier New" w:eastAsia="Courier New" w:hAnsi="Courier New"/>
          <w:sz w:val="17"/>
          <w:szCs w:val="17"/>
          <w:color w:val="auto"/>
        </w:rPr>
      </w:pPr>
    </w:p>
    <w:p>
      <w:pPr>
        <w:ind w:left="926" w:hanging="926"/>
        <w:spacing w:after="0"/>
        <w:tabs>
          <w:tab w:leader="none" w:pos="926"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w:t>
      </w:r>
    </w:p>
    <w:p>
      <w:pPr>
        <w:spacing w:after="0" w:line="204" w:lineRule="exact"/>
        <w:rPr>
          <w:rFonts w:ascii="Courier New" w:cs="Courier New" w:eastAsia="Courier New" w:hAnsi="Courier New"/>
          <w:sz w:val="17"/>
          <w:szCs w:val="17"/>
          <w:color w:val="auto"/>
        </w:rPr>
      </w:pPr>
    </w:p>
    <w:p>
      <w:pPr>
        <w:ind w:left="-934" w:right="1959" w:firstLine="1863"/>
        <w:spacing w:after="0" w:line="260" w:lineRule="auto"/>
        <w:tabs>
          <w:tab w:leader="none" w:pos="1336" w:val="left"/>
        </w:tabs>
        <w:numPr>
          <w:ilvl w:val="1"/>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by the Company. The Company will indemnify and hold harmless Hampshire and its respective Affiliates, officers, directors, members, employees and agents, successors and assigns, against any losses, claims, damages or liabilities, joint or several, to which Hampshire, such Affiliate, officer, director, member, employee, agent, successor or assign may become subject under the Securities Act or otherwise, insofar as such losses, claims, damages or liabilities (or actions in respect thereof) arise out of or are based upon: (i) any untrue statement or alleged untrue statement of any material fact contained in any Registration Statement, prospectus or preliminary prospectus or any omission or alleged omission to state</w:t>
      </w:r>
    </w:p>
    <w:p>
      <w:pPr>
        <w:spacing w:after="0" w:line="295" w:lineRule="exact"/>
        <w:rPr>
          <w:sz w:val="20"/>
          <w:szCs w:val="20"/>
          <w:color w:val="auto"/>
        </w:rPr>
      </w:pPr>
    </w:p>
    <w:p>
      <w:pPr>
        <w:ind w:left="3106"/>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9285"/>
          </w:cols>
          <w:pgMar w:left="1174" w:top="678" w:right="1440" w:bottom="1440" w:gutter="0" w:footer="0" w:header="0"/>
        </w:sectPr>
      </w:pPr>
    </w:p>
    <w:bookmarkStart w:id="119" w:name="page120"/>
    <w:bookmarkEnd w:id="119"/>
    <w:p>
      <w:pPr>
        <w:ind w:right="2059"/>
        <w:spacing w:after="0" w:line="252" w:lineRule="auto"/>
        <w:rPr>
          <w:sz w:val="20"/>
          <w:szCs w:val="20"/>
          <w:color w:val="auto"/>
        </w:rPr>
      </w:pPr>
      <w:r>
        <w:rPr>
          <w:rFonts w:ascii="Courier New" w:cs="Courier New" w:eastAsia="Courier New" w:hAnsi="Courier New"/>
          <w:sz w:val="17"/>
          <w:szCs w:val="17"/>
          <w:color w:val="auto"/>
        </w:rPr>
        <w:t>therein a material fact required to be stated therein or necessary to make the statements therein (in the case of a prospectus or preliminary prospectus, in the light of the circumstances under which they were made) not misleading; (ii) any Blue Sky application or other document executed by the Company specifically for Blue Sky compliance or based upon written information furnished by the Company filed in any state or other jurisdiction in order to qualify any or all of the Registrable Securities under the securities laws thereof (any such application, document or information herein called a "Blue Sky Application");</w:t>
      </w:r>
    </w:p>
    <w:p>
      <w:pPr>
        <w:spacing w:after="0" w:line="2" w:lineRule="exact"/>
        <w:rPr>
          <w:sz w:val="20"/>
          <w:szCs w:val="20"/>
          <w:color w:val="auto"/>
        </w:rPr>
      </w:pPr>
    </w:p>
    <w:p>
      <w:pPr>
        <w:ind w:right="1959" w:firstLine="6"/>
        <w:spacing w:after="0" w:line="252" w:lineRule="auto"/>
        <w:tabs>
          <w:tab w:leader="none" w:pos="619"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violation by the Company, or its directors, officers, employees or agents of any rule or regulation promulgated under the Securities Act or the 1934 Act or any state securities laws relating to action or inaction required of the Company or any of them in connection with such registration; or (iv) any failure to use its best efforts to register or qualify the Registrable Securities included in any such Registration Statement in any state where the Company or its agents has affirmatively undertaken or agreed in writing that the Company will undertake such registration or qualification on Hampshire's behalf (the undertaking of any underwriter chosen by the Company being attributed to the Company) and will reimburse Hampshire, and each such officer, director or member and each such controlling person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 untrue statement or allegedly untrue statement or omission or alleged omission made in conformity with information furnished in writing by Hampshire or any such controlling person specifically for use in such Registration Statement or Prospectus.</w:t>
      </w:r>
    </w:p>
    <w:p>
      <w:pPr>
        <w:spacing w:after="0" w:line="98" w:lineRule="exact"/>
        <w:rPr>
          <w:rFonts w:ascii="Courier New" w:cs="Courier New" w:eastAsia="Courier New" w:hAnsi="Courier New"/>
          <w:sz w:val="17"/>
          <w:szCs w:val="17"/>
          <w:color w:val="auto"/>
        </w:rPr>
      </w:pPr>
    </w:p>
    <w:p>
      <w:pPr>
        <w:ind w:right="1959" w:firstLine="1863"/>
        <w:spacing w:after="0" w:line="253" w:lineRule="auto"/>
        <w:tabs>
          <w:tab w:leader="none" w:pos="2270" w:val="left"/>
        </w:tabs>
        <w:numPr>
          <w:ilvl w:val="1"/>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by Hampshire. In connection with any Registration Statement pursuant to the terms of this Agreement, Hampshire will furnish to the Company in writing such information as the Company reasonably requests concerning Hampshire or the proposed manner of Hampshire's distribution for use in connection with any Registration Statement or Prospectus and agrees, severally but not jointly, to indemnify and hold harmless, to the fullest extent permitted by law, the Company and its directors, officers, employees, shareholders and each person who controls the Company (within the meaning of the Securities Act) against any losses, claims, damages, liabilities and expenses (including reasonable attorney fees) resulting from any untrue statement of a material fact or any omission of a material fact required to be stated in the Registration Statement or Prospectus or preliminary prospectus or amendment or supplement thereto or necessary to make the statements therein not misleading, to the extent, but only to the extent that such untrue statement or omission is contained in any information furnished in writing by Hampshire to the Company specifically for inclusion in such Registration Statement or Prospectus or amendment or supplement thereto. In no event shall the liability of Hampshire be greater in amount than the aggregate dollar amount of the proceeds received by Hampshire upon the sale of the Registrable Securities included in the Registration Statement giving rise to such indemnification obligation.</w:t>
      </w:r>
    </w:p>
    <w:p>
      <w:pPr>
        <w:spacing w:after="0" w:line="106" w:lineRule="exact"/>
        <w:rPr>
          <w:rFonts w:ascii="Courier New" w:cs="Courier New" w:eastAsia="Courier New" w:hAnsi="Courier New"/>
          <w:sz w:val="17"/>
          <w:szCs w:val="17"/>
          <w:color w:val="auto"/>
        </w:rPr>
      </w:pPr>
    </w:p>
    <w:p>
      <w:pPr>
        <w:ind w:right="1959" w:firstLine="1863"/>
        <w:spacing w:after="0" w:line="264" w:lineRule="auto"/>
        <w:tabs>
          <w:tab w:leader="none" w:pos="2270" w:val="left"/>
        </w:tabs>
        <w:numPr>
          <w:ilvl w:val="1"/>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Conduct of Indemnification Proceedings. Any person entitled to indemnification hereunder shall (i) give prompt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w:t>
      </w:r>
    </w:p>
    <w:p>
      <w:pPr>
        <w:spacing w:after="0" w:line="29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678" w:right="1440" w:bottom="1440" w:gutter="0" w:footer="0" w:header="0"/>
        </w:sectPr>
      </w:pPr>
    </w:p>
    <w:bookmarkStart w:id="120" w:name="page121"/>
    <w:bookmarkEnd w:id="120"/>
    <w:p>
      <w:pPr>
        <w:ind w:right="1959"/>
        <w:spacing w:after="0" w:line="253" w:lineRule="auto"/>
        <w:rPr>
          <w:sz w:val="20"/>
          <w:szCs w:val="20"/>
          <w:color w:val="auto"/>
        </w:rPr>
      </w:pPr>
      <w:r>
        <w:rPr>
          <w:rFonts w:ascii="Courier New" w:cs="Courier New" w:eastAsia="Courier New" w:hAnsi="Courier New"/>
          <w:sz w:val="17"/>
          <w:szCs w:val="17"/>
          <w:color w:val="auto"/>
        </w:rPr>
        <w:t>such counsel shall be at the expense of such person unless (a) the indemnifying party has agreed to pay such fees or expenses, or (b) the indemnifying party shall have failed to assume the defense of such claim and employ counsel reasonably satisfactory to such person or (c) in the reasonable judgment of any such person, based upon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consent to entry of any judgment or enter into any settlement that does not include as an unconditional term thereof the giving by the claimant or plaintiff to such indemnified party of a release from all liability in respect of such claim or litigation.</w:t>
      </w:r>
    </w:p>
    <w:p>
      <w:pPr>
        <w:spacing w:after="0" w:line="102" w:lineRule="exact"/>
        <w:rPr>
          <w:sz w:val="20"/>
          <w:szCs w:val="20"/>
          <w:color w:val="auto"/>
        </w:rPr>
      </w:pPr>
    </w:p>
    <w:p>
      <w:pPr>
        <w:ind w:right="1959" w:firstLine="1863"/>
        <w:spacing w:after="0" w:line="256" w:lineRule="auto"/>
        <w:tabs>
          <w:tab w:leader="none" w:pos="2270" w:val="left"/>
        </w:tabs>
        <w:numPr>
          <w:ilvl w:val="1"/>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Contribution. If for any reason the indemnification provided for in the preceding paragraphs (a) and (b) is unavailable to an indemnified party or insufficient to hold it completely harmless, other than as expressly specified therein, then the indemnifying party shall contribute to the amount paid or payable by the indemnified party as a result of such loss, claim, damage or liability in such proportion as is appropriate to reflect the relative fault of the indemnified party and the indemnifying party, as well as any other relevant equitable considerations. No person guilty of fraudulent misrepresentation within the meaning of Section 11(f) of the Securities Act shall be entitled to contribution from any person not guilty of such fraudulent misrepresentation. In no event shall the contribution obligation of Hampshire be greater in amount than the aggregate dollar amount of the proceeds received by it upon the sale of the Registrable Securities giving rise to such contribution obligation.</w:t>
      </w:r>
    </w:p>
    <w:p>
      <w:pPr>
        <w:spacing w:after="0" w:line="100" w:lineRule="exact"/>
        <w:rPr>
          <w:rFonts w:ascii="Courier New" w:cs="Courier New" w:eastAsia="Courier New" w:hAnsi="Courier New"/>
          <w:sz w:val="17"/>
          <w:szCs w:val="17"/>
          <w:color w:val="auto"/>
        </w:rPr>
      </w:pPr>
    </w:p>
    <w:p>
      <w:pPr>
        <w:ind w:right="1959" w:firstLine="934"/>
        <w:spacing w:after="0" w:line="255" w:lineRule="auto"/>
        <w:tabs>
          <w:tab w:leader="none" w:pos="1238"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144. As long as Hampshire owns Common Stock, if the Company is required to file reports pursuant to Section 13(a) or 15(d) of the 1934 Act, it will prepare and make publicly available in accordance with Rule 144(c) promulgated under the Securities Act annual and quarterly financial statements, together with a discussion and analysis of such financial statements in form and substance substantially similar to those that would otherwise be required to be included in reports required by Section 13(a) or 15(d) of the 1934 Act, as well as any other information required thereby, in the time period that such filings would have been required to have been made under the 1934 Act. The Company further covenants that it will take such further action as Hampshire may reasonably request, all to the extent required from time to time to enable such Person to sell shares of Common Stock without registration under the Securities Act within the limitation of the exemptions provided by Rule 144 promulgated under the Securities Act. Upon the request of Hampshire, the Company shall deliver to Hampshire a written certification of a duly authorized officer as to whether it has complied with such requirements.</w:t>
      </w:r>
    </w:p>
    <w:p>
      <w:pPr>
        <w:spacing w:after="0" w:line="99" w:lineRule="exact"/>
        <w:rPr>
          <w:rFonts w:ascii="Courier New" w:cs="Courier New" w:eastAsia="Courier New" w:hAnsi="Courier New"/>
          <w:sz w:val="17"/>
          <w:szCs w:val="17"/>
          <w:color w:val="auto"/>
        </w:rPr>
      </w:pPr>
    </w:p>
    <w:p>
      <w:pPr>
        <w:ind w:left="1860" w:hanging="926"/>
        <w:spacing w:after="0"/>
        <w:tabs>
          <w:tab w:leader="none" w:pos="1860"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Miscellaneous.</w:t>
      </w:r>
    </w:p>
    <w:p>
      <w:pPr>
        <w:spacing w:after="0" w:line="200" w:lineRule="exact"/>
        <w:rPr>
          <w:sz w:val="20"/>
          <w:szCs w:val="20"/>
          <w:color w:val="auto"/>
        </w:rPr>
      </w:pPr>
    </w:p>
    <w:p>
      <w:pPr>
        <w:spacing w:after="0" w:line="203"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79" w:right="1440" w:bottom="1440" w:gutter="0" w:footer="0" w:header="0"/>
        </w:sectPr>
      </w:pPr>
    </w:p>
    <w:bookmarkStart w:id="121" w:name="page122"/>
    <w:bookmarkEnd w:id="121"/>
    <w:p>
      <w:pPr>
        <w:ind w:left="-1200" w:right="1959" w:firstLine="1863"/>
        <w:spacing w:after="0" w:line="260" w:lineRule="auto"/>
        <w:tabs>
          <w:tab w:leader="none" w:pos="107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Remedies. In the event of a breach by the Company or Hampshire, of any of their obligations under this Agreement, Hampshire or the Company, as the case may be, in addition to being entitled to exercise all rights granted by law and under this Agreement, including recovery of damages, will be entitled to specific performance of its rights under this Agreement. The Company and Hampshire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96" w:lineRule="exact"/>
        <w:rPr>
          <w:rFonts w:ascii="Courier New" w:cs="Courier New" w:eastAsia="Courier New" w:hAnsi="Courier New"/>
          <w:sz w:val="17"/>
          <w:szCs w:val="17"/>
          <w:color w:val="auto"/>
        </w:rPr>
      </w:pPr>
    </w:p>
    <w:p>
      <w:pPr>
        <w:ind w:left="-1200" w:right="1959" w:firstLine="1863"/>
        <w:spacing w:after="0" w:line="278" w:lineRule="auto"/>
        <w:tabs>
          <w:tab w:leader="none" w:pos="107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and Waivers. This Agreement may be amended only by a writing signed by the then current parties hereto. The Company may take any action herein prohibited, or omit to perform any act herein required to be performed by it, only if the Company shall have obtained the written consent to such amendment, action or omission to act, of Hampshire.</w:t>
      </w:r>
    </w:p>
    <w:p>
      <w:pPr>
        <w:spacing w:after="0" w:line="75" w:lineRule="exact"/>
        <w:rPr>
          <w:rFonts w:ascii="Courier New" w:cs="Courier New" w:eastAsia="Courier New" w:hAnsi="Courier New"/>
          <w:sz w:val="17"/>
          <w:szCs w:val="17"/>
          <w:color w:val="auto"/>
        </w:rPr>
      </w:pPr>
    </w:p>
    <w:p>
      <w:pPr>
        <w:ind w:left="-1200" w:right="1959" w:firstLine="1863"/>
        <w:spacing w:after="0" w:line="262" w:lineRule="auto"/>
        <w:tabs>
          <w:tab w:leader="none" w:pos="107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notice or other communication in connection with this Agreement or the shares of Common Stock shall be deemed to be delivered and received if in writing (or in the form of a telex or telecopy) addressed as provided below (i) when actually delivered, in person, (ii) if telexed or telecopied to said address, when electronically confirmed, (iii) when delivered if delivered by overnight courier or (iv) in the case of delivery by mail, five (5) business days shall have elapsed after the same shall have been deposited in the United States mails, postage prepaid and registered or certified:</w:t>
      </w:r>
    </w:p>
    <w:p>
      <w:pPr>
        <w:spacing w:after="0" w:line="92"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If to the Company, to:</w:t>
      </w:r>
    </w:p>
    <w:p>
      <w:pPr>
        <w:spacing w:after="0" w:line="204"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Citi Trends, Inc.</w:t>
      </w:r>
    </w:p>
    <w:p>
      <w:pPr>
        <w:spacing w:after="0" w:line="38"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102 Fahm Street</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Savannah, Georgia 31401</w:t>
      </w:r>
    </w:p>
    <w:p>
      <w:pPr>
        <w:spacing w:after="0" w:line="6" w:lineRule="exact"/>
        <w:rPr>
          <w:sz w:val="20"/>
          <w:szCs w:val="20"/>
          <w:color w:val="auto"/>
        </w:rPr>
      </w:pPr>
    </w:p>
    <w:p>
      <w:pPr>
        <w:ind w:left="1600"/>
        <w:spacing w:after="0"/>
        <w:tabs>
          <w:tab w:leader="none" w:pos="2820" w:val="left"/>
        </w:tabs>
        <w:rPr>
          <w:sz w:val="20"/>
          <w:szCs w:val="20"/>
          <w:color w:val="auto"/>
        </w:rPr>
      </w:pPr>
      <w:r>
        <w:rPr>
          <w:rFonts w:ascii="Courier New" w:cs="Courier New" w:eastAsia="Courier New" w:hAnsi="Courier New"/>
          <w:sz w:val="17"/>
          <w:szCs w:val="17"/>
          <w:color w:val="auto"/>
        </w:rPr>
        <w:t>Attention:</w:t>
        <w:tab/>
        <w:t>R. Edward Anderson</w:t>
      </w:r>
    </w:p>
    <w:p>
      <w:pPr>
        <w:spacing w:after="0" w:line="6" w:lineRule="exact"/>
        <w:rPr>
          <w:sz w:val="20"/>
          <w:szCs w:val="20"/>
          <w:color w:val="auto"/>
        </w:rPr>
      </w:pPr>
    </w:p>
    <w:p>
      <w:pPr>
        <w:ind w:left="1600"/>
        <w:spacing w:after="0"/>
        <w:tabs>
          <w:tab w:leader="none" w:pos="2820" w:val="left"/>
        </w:tabs>
        <w:rPr>
          <w:sz w:val="20"/>
          <w:szCs w:val="20"/>
          <w:color w:val="auto"/>
        </w:rPr>
      </w:pPr>
      <w:r>
        <w:rPr>
          <w:rFonts w:ascii="Courier New" w:cs="Courier New" w:eastAsia="Courier New" w:hAnsi="Courier New"/>
          <w:sz w:val="17"/>
          <w:szCs w:val="17"/>
          <w:color w:val="auto"/>
        </w:rPr>
        <w:t>Facsimile:</w:t>
        <w:tab/>
        <w:t>(912) 443-3674</w:t>
      </w:r>
    </w:p>
    <w:p>
      <w:pPr>
        <w:spacing w:after="0" w:line="172"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with a copy to:</w:t>
      </w:r>
    </w:p>
    <w:p>
      <w:pPr>
        <w:spacing w:after="0" w:line="204"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Paul, Hastings, Janofsky &amp; Walker LLP</w:t>
      </w:r>
    </w:p>
    <w:p>
      <w:pPr>
        <w:spacing w:after="0" w:line="38"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75 East 55th Street</w:t>
      </w:r>
    </w:p>
    <w:p>
      <w:pPr>
        <w:spacing w:after="0" w:line="6" w:lineRule="exact"/>
        <w:rPr>
          <w:sz w:val="20"/>
          <w:szCs w:val="20"/>
          <w:color w:val="auto"/>
        </w:rPr>
      </w:pPr>
    </w:p>
    <w:p>
      <w:pPr>
        <w:ind w:left="1600"/>
        <w:spacing w:after="0"/>
        <w:tabs>
          <w:tab w:leader="none" w:pos="3640" w:val="left"/>
        </w:tabs>
        <w:rPr>
          <w:sz w:val="20"/>
          <w:szCs w:val="20"/>
          <w:color w:val="auto"/>
        </w:rPr>
      </w:pPr>
      <w:r>
        <w:rPr>
          <w:rFonts w:ascii="Courier New" w:cs="Courier New" w:eastAsia="Courier New" w:hAnsi="Courier New"/>
          <w:sz w:val="17"/>
          <w:szCs w:val="17"/>
          <w:color w:val="auto"/>
        </w:rPr>
        <w:t>New York, New York</w:t>
        <w:tab/>
        <w:t>10022</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Attention: William F. Schwitter, Esq.</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Facsimile: (212) 319-4090</w:t>
      </w:r>
    </w:p>
    <w:p>
      <w:pPr>
        <w:spacing w:after="0" w:line="172"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If to Hampshire, to:</w:t>
      </w:r>
    </w:p>
    <w:p>
      <w:pPr>
        <w:spacing w:after="0" w:line="204"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Hampshire Equity Partners II, L.P.</w:t>
      </w:r>
    </w:p>
    <w:p>
      <w:pPr>
        <w:spacing w:after="0" w:line="38"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520 Madison Avenue, 33rd Floor</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New York, New York 10022</w:t>
      </w:r>
    </w:p>
    <w:p>
      <w:pPr>
        <w:spacing w:after="0" w:line="6" w:lineRule="exact"/>
        <w:rPr>
          <w:sz w:val="20"/>
          <w:szCs w:val="20"/>
          <w:color w:val="auto"/>
        </w:rPr>
      </w:pPr>
    </w:p>
    <w:p>
      <w:pPr>
        <w:ind w:left="1600"/>
        <w:spacing w:after="0"/>
        <w:tabs>
          <w:tab w:leader="none" w:pos="2820" w:val="left"/>
        </w:tabs>
        <w:rPr>
          <w:sz w:val="20"/>
          <w:szCs w:val="20"/>
          <w:color w:val="auto"/>
        </w:rPr>
      </w:pPr>
      <w:r>
        <w:rPr>
          <w:rFonts w:ascii="Courier New" w:cs="Courier New" w:eastAsia="Courier New" w:hAnsi="Courier New"/>
          <w:sz w:val="17"/>
          <w:szCs w:val="17"/>
          <w:color w:val="auto"/>
        </w:rPr>
        <w:t>Attention:</w:t>
        <w:tab/>
        <w:t>Laurens M. Goff</w:t>
      </w:r>
    </w:p>
    <w:p>
      <w:pPr>
        <w:spacing w:after="0" w:line="6" w:lineRule="exact"/>
        <w:rPr>
          <w:sz w:val="20"/>
          <w:szCs w:val="20"/>
          <w:color w:val="auto"/>
        </w:rPr>
      </w:pPr>
    </w:p>
    <w:p>
      <w:pPr>
        <w:ind w:left="1600"/>
        <w:spacing w:after="0"/>
        <w:tabs>
          <w:tab w:leader="none" w:pos="2820" w:val="left"/>
        </w:tabs>
        <w:rPr>
          <w:sz w:val="20"/>
          <w:szCs w:val="20"/>
          <w:color w:val="auto"/>
        </w:rPr>
      </w:pPr>
      <w:r>
        <w:rPr>
          <w:rFonts w:ascii="Courier New" w:cs="Courier New" w:eastAsia="Courier New" w:hAnsi="Courier New"/>
          <w:sz w:val="17"/>
          <w:szCs w:val="17"/>
          <w:color w:val="auto"/>
        </w:rPr>
        <w:t>Facsimile:</w:t>
        <w:tab/>
        <w:t>(415) 362-1192</w:t>
      </w:r>
    </w:p>
    <w:p>
      <w:pPr>
        <w:spacing w:after="0" w:line="371"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019"/>
          </w:cols>
          <w:pgMar w:left="1440" w:top="679" w:right="1440" w:bottom="1440" w:gutter="0" w:footer="0" w:header="0"/>
        </w:sectPr>
      </w:pPr>
    </w:p>
    <w:bookmarkStart w:id="122" w:name="page123"/>
    <w:bookmarkEnd w:id="122"/>
    <w:p>
      <w:pPr>
        <w:ind w:left="-1200" w:right="2059" w:firstLine="1863"/>
        <w:spacing w:after="0" w:line="264" w:lineRule="auto"/>
        <w:tabs>
          <w:tab w:leader="none" w:pos="107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Assignments and Transfers by Hampshire. The provisions of this Agreement shall be binding upon and inure to the benefit of Hampshire and its respective successors and assigns. Hampshire may transfer or assign, in whole or from time to time in part, to one or more persons its rights hereunder in connection with the transfer of Registrable Securities by Hampshire to such person, provided, that, Hampshire complies with all applicable laws thereto and provides written notice of assignment to the Company promptly after such assignment is effected.</w:t>
      </w:r>
    </w:p>
    <w:p>
      <w:pPr>
        <w:spacing w:after="0" w:line="91" w:lineRule="exact"/>
        <w:rPr>
          <w:sz w:val="20"/>
          <w:szCs w:val="20"/>
          <w:color w:val="auto"/>
        </w:rPr>
      </w:pPr>
    </w:p>
    <w:p>
      <w:pPr>
        <w:ind w:left="-1200" w:right="1959" w:firstLine="1863"/>
        <w:spacing w:after="0" w:line="264" w:lineRule="auto"/>
        <w:tabs>
          <w:tab w:leader="none" w:pos="107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Assignments and Transfers by the Company. This Agreement shall not be assigned by the Company without the prior written consent of Hampshire, except that without the prior written consent of Hampshire, but after notice duly given, the Company shall assign its rights and delegate its duties hereunder to any successor-in-interest corporation, and such successor-in-interest shall assume such rights and duties, in the event of a merger or consolidation of the Company with or into another corporation or the sale of all or substantially all of the Company's assets.</w:t>
      </w:r>
    </w:p>
    <w:p>
      <w:pPr>
        <w:spacing w:after="0" w:line="91" w:lineRule="exact"/>
        <w:rPr>
          <w:rFonts w:ascii="Courier New" w:cs="Courier New" w:eastAsia="Courier New" w:hAnsi="Courier New"/>
          <w:sz w:val="17"/>
          <w:szCs w:val="17"/>
          <w:color w:val="auto"/>
        </w:rPr>
      </w:pPr>
    </w:p>
    <w:p>
      <w:pPr>
        <w:ind w:left="-1200" w:right="2059" w:firstLine="1863"/>
        <w:spacing w:after="0" w:line="267" w:lineRule="auto"/>
        <w:tabs>
          <w:tab w:leader="none" w:pos="107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of the Agreement. The terms and conditions of this Agreement shall inure to the benefit of and be binding upon the respective permitted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87" w:lineRule="exact"/>
        <w:rPr>
          <w:rFonts w:ascii="Courier New" w:cs="Courier New" w:eastAsia="Courier New" w:hAnsi="Courier New"/>
          <w:sz w:val="17"/>
          <w:szCs w:val="17"/>
          <w:color w:val="auto"/>
        </w:rPr>
      </w:pPr>
    </w:p>
    <w:p>
      <w:pPr>
        <w:ind w:left="-1200" w:right="2059" w:firstLine="1863"/>
        <w:spacing w:after="0" w:line="267" w:lineRule="auto"/>
        <w:tabs>
          <w:tab w:leader="none" w:pos="107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Signatures by Facsimile. This Agreement may be executed in one or more counterparts, each of which shall be deemed an original but all of which shall constitute one and the same agreement and shall become effective when counterparts have been signed by each party and delivered to the other party. This Agreement, once executed by a party, may be delivered to the other party hereto by facsimile transmission of a copy of this Agreement bearing the signature of the party so delivering this Agreement.</w:t>
      </w:r>
    </w:p>
    <w:p>
      <w:pPr>
        <w:spacing w:after="0" w:line="87" w:lineRule="exact"/>
        <w:rPr>
          <w:rFonts w:ascii="Courier New" w:cs="Courier New" w:eastAsia="Courier New" w:hAnsi="Courier New"/>
          <w:sz w:val="17"/>
          <w:szCs w:val="17"/>
          <w:color w:val="auto"/>
        </w:rPr>
      </w:pPr>
    </w:p>
    <w:p>
      <w:pPr>
        <w:jc w:val="both"/>
        <w:ind w:left="-1200" w:right="2879" w:firstLine="1863"/>
        <w:spacing w:after="0" w:line="308" w:lineRule="auto"/>
        <w:tabs>
          <w:tab w:leader="none" w:pos="107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Headings. The headings of this Agreement are for convenience of reference only and shall not form part of, or affect the interpretation of, this Agreement.</w:t>
      </w:r>
    </w:p>
    <w:p>
      <w:pPr>
        <w:spacing w:after="0" w:line="52" w:lineRule="exact"/>
        <w:rPr>
          <w:rFonts w:ascii="Courier New" w:cs="Courier New" w:eastAsia="Courier New" w:hAnsi="Courier New"/>
          <w:sz w:val="17"/>
          <w:szCs w:val="17"/>
          <w:color w:val="auto"/>
        </w:rPr>
      </w:pPr>
    </w:p>
    <w:p>
      <w:pPr>
        <w:ind w:left="-1200" w:right="1959" w:firstLine="1863"/>
        <w:spacing w:after="0" w:line="267" w:lineRule="auto"/>
        <w:tabs>
          <w:tab w:leader="none" w:pos="107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In the event that any provision of this Agreement is invalid or 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spacing w:after="0" w:line="87" w:lineRule="exact"/>
        <w:rPr>
          <w:rFonts w:ascii="Courier New" w:cs="Courier New" w:eastAsia="Courier New" w:hAnsi="Courier New"/>
          <w:sz w:val="17"/>
          <w:szCs w:val="17"/>
          <w:color w:val="auto"/>
        </w:rPr>
      </w:pPr>
    </w:p>
    <w:p>
      <w:pPr>
        <w:ind w:left="-1200" w:right="1959" w:firstLine="1863"/>
        <w:spacing w:after="0" w:line="271" w:lineRule="auto"/>
        <w:tabs>
          <w:tab w:leader="none" w:pos="107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283"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9019"/>
          </w:cols>
          <w:pgMar w:left="1440" w:top="678" w:right="1440" w:bottom="1440" w:gutter="0" w:footer="0" w:header="0"/>
        </w:sectPr>
      </w:pPr>
    </w:p>
    <w:bookmarkStart w:id="123" w:name="page124"/>
    <w:bookmarkEnd w:id="123"/>
    <w:p>
      <w:pPr>
        <w:ind w:left="-1200" w:right="1959" w:firstLine="1863"/>
        <w:spacing w:after="0" w:line="271" w:lineRule="auto"/>
        <w:tabs>
          <w:tab w:leader="none" w:pos="107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Entire Agreement. This Agreement is intended by the parties as a final expression of their agreement and intended to be a complete and exclusive statement of the agreement and understanding of the parties hereto in respect of the subject matter contained herein. This Agreement supersedes all prior agreements and understandings between the parties with respect to such subject matter.</w:t>
      </w:r>
    </w:p>
    <w:p>
      <w:pPr>
        <w:spacing w:after="0" w:line="84" w:lineRule="exact"/>
        <w:rPr>
          <w:rFonts w:ascii="Courier New" w:cs="Courier New" w:eastAsia="Courier New" w:hAnsi="Courier New"/>
          <w:sz w:val="17"/>
          <w:szCs w:val="17"/>
          <w:color w:val="auto"/>
        </w:rPr>
      </w:pPr>
    </w:p>
    <w:p>
      <w:pPr>
        <w:ind w:left="-1200" w:right="1959" w:firstLine="1863"/>
        <w:spacing w:after="0" w:line="252" w:lineRule="auto"/>
        <w:tabs>
          <w:tab w:leader="none" w:pos="1070"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Specific Enforcement; Governing Law; Consent to Jurisdiction. The Company and Hampshire acknowledge and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or cure breaches of the provisions of this Agreement and to enforce specifically the terms and provisions hereof, this being in addition to any other remedy to which any of them may be entitled by law or equity. This Agreement shall be enforced, governed by and construed in accordance with, the internal laws of the State of New York without regard to the choice of law principles thereof. The parties hereto hereby agree that any suit or proceeding arising directly and/or indirectly pursuant to or under this instrument or the consummation of the transactions contemplated hereby, shall be brought solely in a federal or state court located in the City, County and State of New York. By its execution hereof, the parties hereby covenant and irrevocably submit to the in personam jurisdiction of the federal and state courts located in the City, County and State of New York and agree that any process in any such action may be served upon any of them personally, or by certified mail or registered mail upon them or their agent, return receipt requested, with the same full force and effect as if personally served upon them in New York City. The parties hereto waive any claim that any such jurisdiction is not a convenient forum for any such suit or proceeding and any defense or lack of in personam jurisdiction with respect thereto. In the event of any such action or proceeding, the party prevailing therein shall be entitled to payment from the other party hereto of its reasonable counsel fees and disbursements in an amount judicially determined.</w:t>
      </w:r>
    </w:p>
    <w:p>
      <w:pPr>
        <w:spacing w:after="0" w:line="100"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[Signature Pages Follow]</w:t>
      </w:r>
    </w:p>
    <w:p>
      <w:pPr>
        <w:spacing w:after="0" w:line="200" w:lineRule="exact"/>
        <w:rPr>
          <w:sz w:val="20"/>
          <w:szCs w:val="20"/>
          <w:color w:val="auto"/>
        </w:rPr>
      </w:pP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9019"/>
          </w:cols>
          <w:pgMar w:left="1440" w:top="678" w:right="1440" w:bottom="1440" w:gutter="0" w:footer="0" w:header="0"/>
        </w:sectPr>
      </w:pPr>
    </w:p>
    <w:bookmarkStart w:id="124" w:name="page125"/>
    <w:bookmarkEnd w:id="124"/>
    <w:p>
      <w:pPr>
        <w:ind w:left="2900"/>
        <w:spacing w:after="0"/>
        <w:rPr>
          <w:sz w:val="20"/>
          <w:szCs w:val="20"/>
          <w:color w:val="auto"/>
        </w:rPr>
      </w:pPr>
      <w:r>
        <w:rPr>
          <w:rFonts w:ascii="Courier New" w:cs="Courier New" w:eastAsia="Courier New" w:hAnsi="Courier New"/>
          <w:sz w:val="17"/>
          <w:szCs w:val="17"/>
          <w:color w:val="auto"/>
        </w:rPr>
        <w:t>[COMPANY SIGNATURE PAGE]</w:t>
      </w:r>
    </w:p>
    <w:p>
      <w:pPr>
        <w:spacing w:after="0" w:line="204" w:lineRule="exact"/>
        <w:rPr>
          <w:sz w:val="20"/>
          <w:szCs w:val="20"/>
          <w:color w:val="auto"/>
        </w:rPr>
      </w:pPr>
    </w:p>
    <w:p>
      <w:pPr>
        <w:ind w:right="2059" w:firstLine="929"/>
        <w:spacing w:after="0" w:line="308" w:lineRule="auto"/>
        <w:rPr>
          <w:sz w:val="20"/>
          <w:szCs w:val="20"/>
          <w:color w:val="auto"/>
        </w:rPr>
      </w:pPr>
      <w:r>
        <w:rPr>
          <w:rFonts w:ascii="Courier New" w:cs="Courier New" w:eastAsia="Courier New" w:hAnsi="Courier New"/>
          <w:sz w:val="17"/>
          <w:szCs w:val="17"/>
          <w:color w:val="auto"/>
        </w:rPr>
        <w:t>IN WITNESS WHEREOF, the Company has caused its duly authorized officer to execute this Registration Rights Agreement as of the date first above written.</w:t>
      </w:r>
    </w:p>
    <w:p>
      <w:pPr>
        <w:sectPr>
          <w:pgSz w:w="11900" w:h="16838" w:orient="portrait"/>
          <w:cols w:equalWidth="0" w:num="1">
            <w:col w:w="10219"/>
          </w:cols>
          <w:pgMar w:left="240" w:top="678" w:right="1440" w:bottom="1440" w:gutter="0" w:footer="0" w:header="0"/>
        </w:sect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center"/>
        <w:ind w:right="3719"/>
        <w:spacing w:after="0"/>
        <w:rPr>
          <w:sz w:val="20"/>
          <w:szCs w:val="20"/>
          <w:color w:val="auto"/>
        </w:rPr>
      </w:pPr>
      <w:r>
        <w:rPr>
          <w:rFonts w:ascii="Courier New" w:cs="Courier New" w:eastAsia="Courier New" w:hAnsi="Courier New"/>
          <w:sz w:val="17"/>
          <w:szCs w:val="17"/>
          <w:color w:val="auto"/>
        </w:rPr>
        <w:t>CITI TRENDS, INC.</w:t>
      </w:r>
    </w:p>
    <w:p>
      <w:pPr>
        <w:spacing w:after="0" w:line="200" w:lineRule="exact"/>
        <w:rPr>
          <w:sz w:val="20"/>
          <w:szCs w:val="20"/>
          <w:color w:val="auto"/>
        </w:rPr>
      </w:pPr>
    </w:p>
    <w:p>
      <w:pPr>
        <w:sectPr>
          <w:pgSz w:w="11900" w:h="16838" w:orient="portrait"/>
          <w:cols w:equalWidth="0" w:num="2">
            <w:col w:w="4040" w:space="720"/>
            <w:col w:w="5459"/>
          </w:cols>
          <w:pgMar w:left="240" w:top="678" w:right="1440" w:bottom="1440" w:gutter="0" w:footer="0" w:header="0"/>
          <w:type w:val="continuous"/>
        </w:sectPr>
      </w:pPr>
    </w:p>
    <w:p>
      <w:pPr>
        <w:spacing w:after="0" w:line="203" w:lineRule="exact"/>
        <w:rPr>
          <w:sz w:val="20"/>
          <w:szCs w:val="20"/>
          <w:color w:val="auto"/>
        </w:rPr>
      </w:pPr>
    </w:p>
    <w:p>
      <w:pPr>
        <w:ind w:left="4760"/>
        <w:spacing w:after="0"/>
        <w:rPr>
          <w:sz w:val="20"/>
          <w:szCs w:val="20"/>
          <w:color w:val="auto"/>
        </w:rPr>
      </w:pPr>
      <w:r>
        <w:rPr>
          <w:rFonts w:ascii="Courier New" w:cs="Courier New" w:eastAsia="Courier New" w:hAnsi="Courier New"/>
          <w:sz w:val="17"/>
          <w:szCs w:val="17"/>
          <w:color w:val="auto"/>
        </w:rPr>
        <w:t>By:_________________________</w:t>
      </w:r>
    </w:p>
    <w:p>
      <w:pPr>
        <w:spacing w:after="0" w:line="38" w:lineRule="exact"/>
        <w:rPr>
          <w:sz w:val="20"/>
          <w:szCs w:val="20"/>
          <w:color w:val="auto"/>
        </w:rPr>
      </w:pPr>
    </w:p>
    <w:p>
      <w:pPr>
        <w:ind w:left="4760"/>
        <w:spacing w:after="0"/>
        <w:tabs>
          <w:tab w:leader="none" w:pos="5460" w:val="left"/>
        </w:tabs>
        <w:rPr>
          <w:sz w:val="20"/>
          <w:szCs w:val="20"/>
          <w:color w:val="auto"/>
        </w:rPr>
      </w:pPr>
      <w:r>
        <w:rPr>
          <w:rFonts w:ascii="Courier New" w:cs="Courier New" w:eastAsia="Courier New" w:hAnsi="Courier New"/>
          <w:sz w:val="17"/>
          <w:szCs w:val="17"/>
          <w:color w:val="auto"/>
        </w:rPr>
        <w:t>Name:</w:t>
        <w:tab/>
        <w:t>R. Edward Anderson</w:t>
      </w:r>
    </w:p>
    <w:p>
      <w:pPr>
        <w:spacing w:after="0" w:line="6" w:lineRule="exact"/>
        <w:rPr>
          <w:sz w:val="20"/>
          <w:szCs w:val="20"/>
          <w:color w:val="auto"/>
        </w:rPr>
      </w:pPr>
    </w:p>
    <w:p>
      <w:pPr>
        <w:ind w:left="4760"/>
        <w:spacing w:after="0"/>
        <w:tabs>
          <w:tab w:leader="none" w:pos="5560" w:val="left"/>
        </w:tabs>
        <w:rPr>
          <w:sz w:val="20"/>
          <w:szCs w:val="20"/>
          <w:color w:val="auto"/>
        </w:rPr>
      </w:pPr>
      <w:r>
        <w:rPr>
          <w:rFonts w:ascii="Courier New" w:cs="Courier New" w:eastAsia="Courier New" w:hAnsi="Courier New"/>
          <w:sz w:val="17"/>
          <w:szCs w:val="17"/>
          <w:color w:val="auto"/>
        </w:rPr>
        <w:t>Title:</w:t>
        <w:tab/>
        <w:t>Chief Executive Officer</w:t>
      </w:r>
    </w:p>
    <w:p>
      <w:pPr>
        <w:spacing w:after="0" w:line="37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678" w:right="1440" w:bottom="1440" w:gutter="0" w:footer="0" w:header="0"/>
          <w:type w:val="continuous"/>
        </w:sectPr>
      </w:pPr>
    </w:p>
    <w:bookmarkStart w:id="125" w:name="page126"/>
    <w:bookmarkEnd w:id="125"/>
    <w:p>
      <w:pPr>
        <w:ind w:left="2800"/>
        <w:spacing w:after="0"/>
        <w:rPr>
          <w:sz w:val="20"/>
          <w:szCs w:val="20"/>
          <w:color w:val="auto"/>
        </w:rPr>
      </w:pPr>
      <w:r>
        <w:rPr>
          <w:rFonts w:ascii="Courier New" w:cs="Courier New" w:eastAsia="Courier New" w:hAnsi="Courier New"/>
          <w:sz w:val="17"/>
          <w:szCs w:val="17"/>
          <w:color w:val="auto"/>
        </w:rPr>
        <w:t>[HAMPSHIRE SIGNATURE PAGE]</w:t>
      </w:r>
    </w:p>
    <w:p>
      <w:pPr>
        <w:spacing w:after="0" w:line="204" w:lineRule="exact"/>
        <w:rPr>
          <w:sz w:val="20"/>
          <w:szCs w:val="20"/>
          <w:color w:val="auto"/>
        </w:rPr>
      </w:pPr>
    </w:p>
    <w:p>
      <w:pPr>
        <w:ind w:right="1959" w:firstLine="929"/>
        <w:spacing w:after="0" w:line="308" w:lineRule="auto"/>
        <w:rPr>
          <w:sz w:val="20"/>
          <w:szCs w:val="20"/>
          <w:color w:val="auto"/>
        </w:rPr>
      </w:pPr>
      <w:r>
        <w:rPr>
          <w:rFonts w:ascii="Courier New" w:cs="Courier New" w:eastAsia="Courier New" w:hAnsi="Courier New"/>
          <w:sz w:val="17"/>
          <w:szCs w:val="17"/>
          <w:color w:val="auto"/>
        </w:rPr>
        <w:t>IN WITNESS WHEREOF, the undersigned has caused its duly authorized officer to execute this Registration Rights Agreement as of the date first above written.</w:t>
      </w:r>
    </w:p>
    <w:p>
      <w:pPr>
        <w:spacing w:after="0" w:line="251" w:lineRule="exact"/>
        <w:rPr>
          <w:sz w:val="20"/>
          <w:szCs w:val="20"/>
          <w:color w:val="auto"/>
        </w:rPr>
      </w:pPr>
    </w:p>
    <w:p>
      <w:pPr>
        <w:spacing w:after="0"/>
        <w:tabs>
          <w:tab w:leader="none" w:pos="4120" w:val="left"/>
        </w:tabs>
        <w:rPr>
          <w:sz w:val="20"/>
          <w:szCs w:val="20"/>
          <w:color w:val="auto"/>
        </w:rPr>
      </w:pPr>
      <w:r>
        <w:rPr>
          <w:rFonts w:ascii="Courier New" w:cs="Courier New" w:eastAsia="Courier New" w:hAnsi="Courier New"/>
          <w:sz w:val="17"/>
          <w:szCs w:val="17"/>
          <w:color w:val="auto"/>
        </w:rPr>
        <w:t>Hampshire:</w:t>
      </w:r>
      <w:r>
        <w:rPr>
          <w:sz w:val="20"/>
          <w:szCs w:val="20"/>
          <w:color w:val="auto"/>
        </w:rPr>
        <w:tab/>
      </w:r>
      <w:r>
        <w:rPr>
          <w:rFonts w:ascii="Courier New" w:cs="Courier New" w:eastAsia="Courier New" w:hAnsi="Courier New"/>
          <w:sz w:val="17"/>
          <w:szCs w:val="17"/>
          <w:color w:val="auto"/>
        </w:rPr>
        <w:t>HAMPSHIRE EQUITY PARTNERS II, L.P.</w:t>
      </w:r>
    </w:p>
    <w:p>
      <w:pPr>
        <w:spacing w:after="0" w:line="204"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By: Lexington Equity Partners II, L.P.,</w:t>
      </w:r>
    </w:p>
    <w:p>
      <w:pPr>
        <w:spacing w:after="0" w:line="38"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its General Partner</w:t>
      </w:r>
    </w:p>
    <w:p>
      <w:pPr>
        <w:spacing w:after="0" w:line="17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By: Lexington Equity Partners Inc., its</w:t>
      </w:r>
    </w:p>
    <w:p>
      <w:pPr>
        <w:spacing w:after="0" w:line="38"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General Partner</w:t>
      </w:r>
    </w:p>
    <w:p>
      <w:pPr>
        <w:spacing w:after="0" w:line="17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By:________________________________</w:t>
      </w:r>
    </w:p>
    <w:p>
      <w:pPr>
        <w:spacing w:after="0" w:line="38" w:lineRule="exact"/>
        <w:rPr>
          <w:sz w:val="20"/>
          <w:szCs w:val="20"/>
          <w:color w:val="auto"/>
        </w:rPr>
      </w:pPr>
    </w:p>
    <w:p>
      <w:pPr>
        <w:ind w:left="4760"/>
        <w:spacing w:after="0"/>
        <w:rPr>
          <w:sz w:val="20"/>
          <w:szCs w:val="20"/>
          <w:color w:val="auto"/>
        </w:rPr>
      </w:pPr>
      <w:r>
        <w:rPr>
          <w:rFonts w:ascii="Courier New" w:cs="Courier New" w:eastAsia="Courier New" w:hAnsi="Courier New"/>
          <w:sz w:val="17"/>
          <w:szCs w:val="17"/>
          <w:color w:val="auto"/>
        </w:rPr>
        <w:t>Name:</w:t>
      </w:r>
    </w:p>
    <w:p>
      <w:pPr>
        <w:spacing w:after="0" w:line="6" w:lineRule="exact"/>
        <w:rPr>
          <w:sz w:val="20"/>
          <w:szCs w:val="20"/>
          <w:color w:val="auto"/>
        </w:rPr>
      </w:pPr>
    </w:p>
    <w:p>
      <w:pPr>
        <w:ind w:left="4760"/>
        <w:spacing w:after="0"/>
        <w:rPr>
          <w:sz w:val="20"/>
          <w:szCs w:val="20"/>
          <w:color w:val="auto"/>
        </w:rPr>
      </w:pPr>
      <w:r>
        <w:rPr>
          <w:rFonts w:ascii="Courier New" w:cs="Courier New" w:eastAsia="Courier New" w:hAnsi="Courier New"/>
          <w:sz w:val="17"/>
          <w:szCs w:val="17"/>
          <w:color w:val="auto"/>
        </w:rPr>
        <w:t>Title:</w:t>
      </w:r>
    </w:p>
    <w:p>
      <w:pPr>
        <w:spacing w:after="0" w:line="17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Address:</w:t>
      </w:r>
    </w:p>
    <w:p>
      <w:pPr>
        <w:spacing w:after="0" w:line="204"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204"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204"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200" w:lineRule="exact"/>
        <w:rPr>
          <w:sz w:val="20"/>
          <w:szCs w:val="20"/>
          <w:color w:val="auto"/>
        </w:rPr>
      </w:pPr>
    </w:p>
    <w:p>
      <w:pPr>
        <w:spacing w:after="0" w:line="203"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79" w:right="1440" w:bottom="1440" w:gutter="0" w:footer="0" w:header="0"/>
        </w:sectPr>
      </w:pPr>
    </w:p>
    <w:bookmarkStart w:id="126" w:name="page127"/>
    <w:bookmarkEnd w:id="126"/>
    <w:p>
      <w:pPr>
        <w:jc w:val="right"/>
        <w:ind w:right="1959"/>
        <w:spacing w:after="0"/>
        <w:rPr>
          <w:sz w:val="20"/>
          <w:szCs w:val="20"/>
          <w:color w:val="auto"/>
        </w:rPr>
      </w:pPr>
      <w:r>
        <w:rPr>
          <w:rFonts w:ascii="Courier New" w:cs="Courier New" w:eastAsia="Courier New" w:hAnsi="Courier New"/>
          <w:sz w:val="17"/>
          <w:szCs w:val="17"/>
          <w:color w:val="auto"/>
        </w:rPr>
        <w:t>Exhibit 10.15</w:t>
      </w:r>
    </w:p>
    <w:p>
      <w:pPr>
        <w:spacing w:after="0" w:line="204"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FORM OF TERMINATION AGREEMENT</w:t>
      </w:r>
    </w:p>
    <w:p>
      <w:pPr>
        <w:spacing w:after="0" w:line="204" w:lineRule="exact"/>
        <w:rPr>
          <w:sz w:val="20"/>
          <w:szCs w:val="20"/>
          <w:color w:val="auto"/>
        </w:rPr>
      </w:pPr>
    </w:p>
    <w:p>
      <w:pPr>
        <w:ind w:right="1959" w:firstLine="1857"/>
        <w:spacing w:after="0" w:line="278" w:lineRule="auto"/>
        <w:rPr>
          <w:sz w:val="20"/>
          <w:szCs w:val="20"/>
          <w:color w:val="auto"/>
        </w:rPr>
      </w:pPr>
      <w:r>
        <w:rPr>
          <w:rFonts w:ascii="Courier New" w:cs="Courier New" w:eastAsia="Courier New" w:hAnsi="Courier New"/>
          <w:sz w:val="17"/>
          <w:szCs w:val="17"/>
          <w:color w:val="auto"/>
        </w:rPr>
        <w:t>THIS TERMINATION AGREEMENT (this "Agreement"), dated as of May __, 2005, is entered into by and between Citi Trends, Inc., a Delaware corporation (the "Company"), and Hampshire Management Company LLC, a Delaware limited liability company and affiliate of Hampshire Equity Partners II, L.P. (the "Consultant").</w:t>
      </w:r>
    </w:p>
    <w:p>
      <w:pPr>
        <w:spacing w:after="0" w:line="75" w:lineRule="exact"/>
        <w:rPr>
          <w:sz w:val="20"/>
          <w:szCs w:val="20"/>
          <w:color w:val="auto"/>
        </w:rPr>
      </w:pPr>
    </w:p>
    <w:p>
      <w:pPr>
        <w:ind w:right="2259" w:firstLine="1857"/>
        <w:spacing w:after="0" w:line="308" w:lineRule="auto"/>
        <w:rPr>
          <w:sz w:val="20"/>
          <w:szCs w:val="20"/>
          <w:color w:val="auto"/>
        </w:rPr>
      </w:pPr>
      <w:r>
        <w:rPr>
          <w:rFonts w:ascii="Courier New" w:cs="Courier New" w:eastAsia="Courier New" w:hAnsi="Courier New"/>
          <w:sz w:val="17"/>
          <w:szCs w:val="17"/>
          <w:color w:val="auto"/>
        </w:rPr>
        <w:t>WHEREAS, the Company and the Consulting are parties to that certain Amended and Restated Hampshire Management and Consulting Agreement, effective as of February 1, 2004 (the "Consulting Agreement");</w:t>
      </w:r>
    </w:p>
    <w:p>
      <w:pPr>
        <w:spacing w:after="0" w:line="52" w:lineRule="exact"/>
        <w:rPr>
          <w:sz w:val="20"/>
          <w:szCs w:val="20"/>
          <w:color w:val="auto"/>
        </w:rPr>
      </w:pPr>
    </w:p>
    <w:p>
      <w:pPr>
        <w:ind w:right="1959" w:firstLine="1857"/>
        <w:spacing w:after="0" w:line="288" w:lineRule="auto"/>
        <w:rPr>
          <w:sz w:val="20"/>
          <w:szCs w:val="20"/>
          <w:color w:val="auto"/>
        </w:rPr>
      </w:pPr>
      <w:r>
        <w:rPr>
          <w:rFonts w:ascii="Courier New" w:cs="Courier New" w:eastAsia="Courier New" w:hAnsi="Courier New"/>
          <w:sz w:val="17"/>
          <w:szCs w:val="17"/>
          <w:color w:val="auto"/>
        </w:rPr>
        <w:t>WHEREAS, the parties agree that upon the consummation of the Company's initial public offering of its common stock, par value $.01 per share (the "Common Stock"), they shall execute this Agreement, thereby terminating the Consultant Agreement; and</w:t>
      </w:r>
    </w:p>
    <w:p>
      <w:pPr>
        <w:spacing w:after="0" w:line="68" w:lineRule="exact"/>
        <w:rPr>
          <w:sz w:val="20"/>
          <w:szCs w:val="20"/>
          <w:color w:val="auto"/>
        </w:rPr>
      </w:pPr>
    </w:p>
    <w:p>
      <w:pPr>
        <w:ind w:right="1959" w:firstLine="1857"/>
        <w:spacing w:after="0" w:line="308" w:lineRule="auto"/>
        <w:rPr>
          <w:sz w:val="20"/>
          <w:szCs w:val="20"/>
          <w:color w:val="auto"/>
        </w:rPr>
      </w:pPr>
      <w:r>
        <w:rPr>
          <w:rFonts w:ascii="Courier New" w:cs="Courier New" w:eastAsia="Courier New" w:hAnsi="Courier New"/>
          <w:sz w:val="17"/>
          <w:szCs w:val="17"/>
          <w:color w:val="auto"/>
        </w:rPr>
        <w:t>WHEREAS, Hampshire and the Company wish to make certain agreements with respect to the termination of the Consulting Agreement, upon the terms and conditions set forth in this Agreement.</w:t>
      </w:r>
    </w:p>
    <w:p>
      <w:pPr>
        <w:spacing w:after="0" w:line="52" w:lineRule="exact"/>
        <w:rPr>
          <w:sz w:val="20"/>
          <w:szCs w:val="20"/>
          <w:color w:val="auto"/>
        </w:rPr>
      </w:pPr>
    </w:p>
    <w:p>
      <w:pPr>
        <w:ind w:right="1959" w:firstLine="1857"/>
        <w:spacing w:after="0" w:line="288" w:lineRule="auto"/>
        <w:rPr>
          <w:sz w:val="20"/>
          <w:szCs w:val="20"/>
          <w:color w:val="auto"/>
        </w:rPr>
      </w:pPr>
      <w:r>
        <w:rPr>
          <w:rFonts w:ascii="Courier New" w:cs="Courier New" w:eastAsia="Courier New" w:hAnsi="Courier New"/>
          <w:sz w:val="17"/>
          <w:szCs w:val="17"/>
          <w:color w:val="auto"/>
        </w:rPr>
        <w:t>NOW, THEREFORE, in consideration of the premises and the mutual covenants and considerations herein set forth, the receipt and sufficiency of which are hereby acknowledged, the parties hereto hereby agree as follows:</w:t>
      </w:r>
    </w:p>
    <w:p>
      <w:pPr>
        <w:spacing w:after="0" w:line="68" w:lineRule="exact"/>
        <w:rPr>
          <w:sz w:val="20"/>
          <w:szCs w:val="20"/>
          <w:color w:val="auto"/>
        </w:rPr>
      </w:pPr>
    </w:p>
    <w:p>
      <w:pPr>
        <w:ind w:right="2159" w:firstLine="1863"/>
        <w:spacing w:after="0" w:line="288" w:lineRule="auto"/>
        <w:tabs>
          <w:tab w:leader="none" w:pos="2167"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The parties agree that upon the consummation of the Company's initial public offering of its Common Stock the Consulting Agreement shall be terminated and the provisions thereunder shall no longer be valid or enforceable.</w:t>
      </w:r>
    </w:p>
    <w:p>
      <w:pPr>
        <w:spacing w:after="0" w:line="67" w:lineRule="exact"/>
        <w:rPr>
          <w:rFonts w:ascii="Courier New" w:cs="Courier New" w:eastAsia="Courier New" w:hAnsi="Courier New"/>
          <w:sz w:val="17"/>
          <w:szCs w:val="17"/>
          <w:color w:val="auto"/>
        </w:rPr>
      </w:pPr>
    </w:p>
    <w:p>
      <w:pPr>
        <w:jc w:val="both"/>
        <w:ind w:right="1959" w:firstLine="1863"/>
        <w:spacing w:after="0" w:line="288" w:lineRule="auto"/>
        <w:tabs>
          <w:tab w:leader="none" w:pos="2167"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Consideration. As partial consideration for the termination of the Consulting Agreement, the Company hereby agrees to pay to the Consultant, $1.2 million prior to December 31, 2005. Such payment shall be recognized as an expense by the Company upon the consummation of the offering.</w:t>
      </w:r>
    </w:p>
    <w:p>
      <w:pPr>
        <w:spacing w:after="0" w:line="67" w:lineRule="exact"/>
        <w:rPr>
          <w:rFonts w:ascii="Courier New" w:cs="Courier New" w:eastAsia="Courier New" w:hAnsi="Courier New"/>
          <w:sz w:val="17"/>
          <w:szCs w:val="17"/>
          <w:color w:val="auto"/>
        </w:rPr>
      </w:pPr>
    </w:p>
    <w:p>
      <w:pPr>
        <w:ind w:right="1959" w:firstLine="1863"/>
        <w:spacing w:after="0" w:line="267" w:lineRule="auto"/>
        <w:tabs>
          <w:tab w:leader="none" w:pos="2167"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Modification, Amendment, Waiver. No modification, amendment or waiver of any provision of this Agreement shall be effective unless approved in writing by the Company and the Consultant. The failure of either party at any time to enforce any of the provisions of this Agreement shall in no way be construed as a waiver of such provisions and shall not affect the rights of the party thereafter to enforce the provisions of this Agreement in accordance with its terms.</w:t>
      </w:r>
    </w:p>
    <w:p>
      <w:pPr>
        <w:spacing w:after="0" w:line="87" w:lineRule="exact"/>
        <w:rPr>
          <w:rFonts w:ascii="Courier New" w:cs="Courier New" w:eastAsia="Courier New" w:hAnsi="Courier New"/>
          <w:sz w:val="17"/>
          <w:szCs w:val="17"/>
          <w:color w:val="auto"/>
        </w:rPr>
      </w:pPr>
    </w:p>
    <w:p>
      <w:pPr>
        <w:ind w:right="1959" w:firstLine="1863"/>
        <w:spacing w:after="0" w:line="260" w:lineRule="auto"/>
        <w:tabs>
          <w:tab w:leader="none" w:pos="2167"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Invalid or Unenforceable Provisions. Whenever possible, each provision of this Agreement will be interpreted in such a manner as to be effective and valid under applicable law, but if any term or provision of this Agreement is held to be invalid, illegal or unenforceable in any respect under any applicable law or rule in any jurisdiction, all other conditions and provisions of this Agreement shall nevertheless remain in full force and effect and this Agreement will be reformed, construed and enforced in such jurisdiction as if such invalid, illegal or unenforceable provision had never been contained herein. The parties further agree that any court of competent jurisdiction is expressly authorized to modify any such</w:t>
      </w:r>
    </w:p>
    <w:p>
      <w:pPr>
        <w:sectPr>
          <w:pgSz w:w="11900" w:h="16838" w:orient="portrait"/>
          <w:cols w:equalWidth="0" w:num="1">
            <w:col w:w="10219"/>
          </w:cols>
          <w:pgMar w:left="240" w:top="506" w:right="1440" w:bottom="1440" w:gutter="0" w:footer="0" w:header="0"/>
        </w:sectPr>
      </w:pPr>
    </w:p>
    <w:bookmarkStart w:id="127" w:name="page128"/>
    <w:bookmarkEnd w:id="127"/>
    <w:p>
      <w:pPr>
        <w:ind w:right="1959"/>
        <w:spacing w:after="0" w:line="264" w:lineRule="auto"/>
        <w:rPr>
          <w:sz w:val="20"/>
          <w:szCs w:val="20"/>
          <w:color w:val="auto"/>
        </w:rPr>
      </w:pPr>
      <w:r>
        <w:rPr>
          <w:rFonts w:ascii="Courier New" w:cs="Courier New" w:eastAsia="Courier New" w:hAnsi="Courier New"/>
          <w:sz w:val="17"/>
          <w:szCs w:val="17"/>
          <w:color w:val="auto"/>
        </w:rPr>
        <w:t>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 The parties expressly agree that this Agreement as so modified by a court of competent jurisdiction shall be binding upon and enforceable against each of them.</w:t>
      </w:r>
    </w:p>
    <w:p>
      <w:pPr>
        <w:spacing w:after="0" w:line="91" w:lineRule="exact"/>
        <w:rPr>
          <w:sz w:val="20"/>
          <w:szCs w:val="20"/>
          <w:color w:val="auto"/>
        </w:rPr>
      </w:pPr>
    </w:p>
    <w:p>
      <w:pPr>
        <w:ind w:right="2059" w:firstLine="1863"/>
        <w:spacing w:after="0" w:line="271" w:lineRule="auto"/>
        <w:tabs>
          <w:tab w:leader="none" w:pos="2167"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Entire Agreement. Except as otherwise expressly set forth herein, this document embodies the entire agreement and understanding between the parties hereto with respect to the subject matter hereof and supersedes and preempts any prior understandings, agreements or representations by or between the parties, written or oral, which may have related to the subject matter hereof in any way.</w:t>
      </w:r>
    </w:p>
    <w:p>
      <w:pPr>
        <w:spacing w:after="0" w:line="84" w:lineRule="exact"/>
        <w:rPr>
          <w:rFonts w:ascii="Courier New" w:cs="Courier New" w:eastAsia="Courier New" w:hAnsi="Courier New"/>
          <w:sz w:val="17"/>
          <w:szCs w:val="17"/>
          <w:color w:val="auto"/>
        </w:rPr>
      </w:pPr>
    </w:p>
    <w:p>
      <w:pPr>
        <w:ind w:right="2259" w:firstLine="1863"/>
        <w:spacing w:after="0" w:line="278" w:lineRule="auto"/>
        <w:tabs>
          <w:tab w:leader="none" w:pos="2167"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Binding Effect; Assignment. All of the terms of this Agreement shall inure to the benefit of and shall be binding upon the Company and the Consultant and their respective successors and permitted assigns; provided, however, that this Agreement may not be assigned without the prior written consent of the other party hereto.</w:t>
      </w:r>
    </w:p>
    <w:p>
      <w:pPr>
        <w:spacing w:after="0" w:line="75" w:lineRule="exact"/>
        <w:rPr>
          <w:rFonts w:ascii="Courier New" w:cs="Courier New" w:eastAsia="Courier New" w:hAnsi="Courier New"/>
          <w:sz w:val="17"/>
          <w:szCs w:val="17"/>
          <w:color w:val="auto"/>
        </w:rPr>
      </w:pPr>
    </w:p>
    <w:p>
      <w:pPr>
        <w:ind w:right="1959" w:firstLine="1863"/>
        <w:spacing w:after="0" w:line="257" w:lineRule="auto"/>
        <w:tabs>
          <w:tab w:leader="none" w:pos="2167"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Remedies. The parties hereto will be entitled to enforce their rights under this Agreement specifically (without posting a bond or other security), to recover damages by reason of any material breach of any provision of this Agreement and to exercise all other rights existing in their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 of the provisions of this Agreement. In the event of any dispute involving the terms of this Agreement, the prevailing party shall be entitled to collect reasonable fees and expenses incurred by the prevailing party in connection with such dispute from the other parties to such dispute.</w:t>
      </w:r>
    </w:p>
    <w:p>
      <w:pPr>
        <w:spacing w:after="0" w:line="97" w:lineRule="exact"/>
        <w:rPr>
          <w:rFonts w:ascii="Courier New" w:cs="Courier New" w:eastAsia="Courier New" w:hAnsi="Courier New"/>
          <w:sz w:val="17"/>
          <w:szCs w:val="17"/>
          <w:color w:val="auto"/>
        </w:rPr>
      </w:pPr>
    </w:p>
    <w:p>
      <w:pPr>
        <w:ind w:right="2159" w:firstLine="1863"/>
        <w:spacing w:after="0" w:line="264" w:lineRule="auto"/>
        <w:tabs>
          <w:tab w:leader="none" w:pos="2167"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notice or other communication in connection with this Agreement shall be deemed to be delivered and received if in writing (or in the form of a telex or telecopy) addressed as provided below (a) when actually delivered, in person, (b) if telexed or telecopied to said address, when electronically confirmed, (c) when delivered if delivered by overnight courier or (d) in the case of delivery by mail, five (5) business days shall have elapsed after the same shall have been deposited in the United States mails, postage prepaid and registered or certified:</w:t>
      </w:r>
    </w:p>
    <w:p>
      <w:pPr>
        <w:spacing w:after="0" w:line="91"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If to the Company, to:</w:t>
      </w:r>
    </w:p>
    <w:p>
      <w:pPr>
        <w:spacing w:after="0" w:line="204"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Citi Trends, Inc.</w:t>
      </w:r>
    </w:p>
    <w:p>
      <w:pPr>
        <w:spacing w:after="0" w:line="38"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102 Fahm Street</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Savannah, Georgia 31401</w:t>
      </w:r>
    </w:p>
    <w:p>
      <w:pPr>
        <w:spacing w:after="0" w:line="6" w:lineRule="exact"/>
        <w:rPr>
          <w:sz w:val="20"/>
          <w:szCs w:val="20"/>
          <w:color w:val="auto"/>
        </w:rPr>
      </w:pPr>
    </w:p>
    <w:p>
      <w:pPr>
        <w:ind w:left="3200"/>
        <w:spacing w:after="0"/>
        <w:tabs>
          <w:tab w:leader="none" w:pos="4420" w:val="left"/>
        </w:tabs>
        <w:rPr>
          <w:sz w:val="20"/>
          <w:szCs w:val="20"/>
          <w:color w:val="auto"/>
        </w:rPr>
      </w:pPr>
      <w:r>
        <w:rPr>
          <w:rFonts w:ascii="Courier New" w:cs="Courier New" w:eastAsia="Courier New" w:hAnsi="Courier New"/>
          <w:sz w:val="17"/>
          <w:szCs w:val="17"/>
          <w:color w:val="auto"/>
        </w:rPr>
        <w:t>Attention:</w:t>
        <w:tab/>
        <w:t>R. Edward Anderson</w:t>
      </w:r>
    </w:p>
    <w:p>
      <w:pPr>
        <w:spacing w:after="0" w:line="6" w:lineRule="exact"/>
        <w:rPr>
          <w:sz w:val="20"/>
          <w:szCs w:val="20"/>
          <w:color w:val="auto"/>
        </w:rPr>
      </w:pPr>
    </w:p>
    <w:p>
      <w:pPr>
        <w:ind w:left="3200"/>
        <w:spacing w:after="0"/>
        <w:tabs>
          <w:tab w:leader="none" w:pos="4420" w:val="left"/>
        </w:tabs>
        <w:rPr>
          <w:sz w:val="20"/>
          <w:szCs w:val="20"/>
          <w:color w:val="auto"/>
        </w:rPr>
      </w:pPr>
      <w:r>
        <w:rPr>
          <w:rFonts w:ascii="Courier New" w:cs="Courier New" w:eastAsia="Courier New" w:hAnsi="Courier New"/>
          <w:sz w:val="17"/>
          <w:szCs w:val="17"/>
          <w:color w:val="auto"/>
        </w:rPr>
        <w:t>Facsimile:</w:t>
        <w:tab/>
        <w:t>(912) 443-3674</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with a copy to:</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480" w:right="1440" w:bottom="1440" w:gutter="0" w:footer="0" w:header="0"/>
        </w:sectPr>
      </w:pPr>
    </w:p>
    <w:bookmarkStart w:id="128" w:name="page129"/>
    <w:bookmarkEnd w:id="128"/>
    <w:p>
      <w:pPr>
        <w:ind w:left="3200"/>
        <w:spacing w:after="0"/>
        <w:rPr>
          <w:sz w:val="20"/>
          <w:szCs w:val="20"/>
          <w:color w:val="auto"/>
        </w:rPr>
      </w:pPr>
      <w:r>
        <w:rPr>
          <w:rFonts w:ascii="Courier New" w:cs="Courier New" w:eastAsia="Courier New" w:hAnsi="Courier New"/>
          <w:sz w:val="17"/>
          <w:szCs w:val="17"/>
          <w:color w:val="auto"/>
        </w:rPr>
        <w:t>Paul, Hastings, Janofsky &amp; Walker LLP</w:t>
      </w:r>
    </w:p>
    <w:p>
      <w:pPr>
        <w:spacing w:after="0" w:line="38"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75 East 55th Street</w:t>
      </w:r>
    </w:p>
    <w:p>
      <w:pPr>
        <w:spacing w:after="0" w:line="6" w:lineRule="exact"/>
        <w:rPr>
          <w:sz w:val="20"/>
          <w:szCs w:val="20"/>
          <w:color w:val="auto"/>
        </w:rPr>
      </w:pPr>
    </w:p>
    <w:p>
      <w:pPr>
        <w:ind w:left="3200"/>
        <w:spacing w:after="0"/>
        <w:tabs>
          <w:tab w:leader="none" w:pos="5240" w:val="left"/>
        </w:tabs>
        <w:rPr>
          <w:sz w:val="20"/>
          <w:szCs w:val="20"/>
          <w:color w:val="auto"/>
        </w:rPr>
      </w:pPr>
      <w:r>
        <w:rPr>
          <w:rFonts w:ascii="Courier New" w:cs="Courier New" w:eastAsia="Courier New" w:hAnsi="Courier New"/>
          <w:sz w:val="17"/>
          <w:szCs w:val="17"/>
          <w:color w:val="auto"/>
        </w:rPr>
        <w:t>New York, New York</w:t>
        <w:tab/>
        <w:t>10022</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Attention: William F. Schwitter, Esq.</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Facsimile: (212) 319-4090</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If to the Consultant, to:</w:t>
      </w:r>
    </w:p>
    <w:p>
      <w:pPr>
        <w:spacing w:after="0" w:line="204"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Hampshire Management Company LLC</w:t>
      </w:r>
    </w:p>
    <w:p>
      <w:pPr>
        <w:spacing w:after="0" w:line="38"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c/o Hampshire Equity Partners II, L.P.</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520 Madison Avenue, 33rd Floor</w:t>
      </w:r>
    </w:p>
    <w:p>
      <w:pPr>
        <w:spacing w:after="0" w:line="6"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New York, New York 10022</w:t>
      </w:r>
    </w:p>
    <w:p>
      <w:pPr>
        <w:spacing w:after="0" w:line="6" w:lineRule="exact"/>
        <w:rPr>
          <w:sz w:val="20"/>
          <w:szCs w:val="20"/>
          <w:color w:val="auto"/>
        </w:rPr>
      </w:pPr>
    </w:p>
    <w:p>
      <w:pPr>
        <w:ind w:left="3200"/>
        <w:spacing w:after="0"/>
        <w:tabs>
          <w:tab w:leader="none" w:pos="4420" w:val="left"/>
        </w:tabs>
        <w:rPr>
          <w:sz w:val="20"/>
          <w:szCs w:val="20"/>
          <w:color w:val="auto"/>
        </w:rPr>
      </w:pPr>
      <w:r>
        <w:rPr>
          <w:rFonts w:ascii="Courier New" w:cs="Courier New" w:eastAsia="Courier New" w:hAnsi="Courier New"/>
          <w:sz w:val="17"/>
          <w:szCs w:val="17"/>
          <w:color w:val="auto"/>
        </w:rPr>
        <w:t>Attention:</w:t>
        <w:tab/>
        <w:t>Laurens M. Goff</w:t>
      </w:r>
    </w:p>
    <w:p>
      <w:pPr>
        <w:spacing w:after="0" w:line="6" w:lineRule="exact"/>
        <w:rPr>
          <w:sz w:val="20"/>
          <w:szCs w:val="20"/>
          <w:color w:val="auto"/>
        </w:rPr>
      </w:pPr>
    </w:p>
    <w:p>
      <w:pPr>
        <w:ind w:left="3200"/>
        <w:spacing w:after="0"/>
        <w:tabs>
          <w:tab w:leader="none" w:pos="4420" w:val="left"/>
        </w:tabs>
        <w:rPr>
          <w:sz w:val="20"/>
          <w:szCs w:val="20"/>
          <w:color w:val="auto"/>
        </w:rPr>
      </w:pPr>
      <w:r>
        <w:rPr>
          <w:rFonts w:ascii="Courier New" w:cs="Courier New" w:eastAsia="Courier New" w:hAnsi="Courier New"/>
          <w:sz w:val="17"/>
          <w:szCs w:val="17"/>
          <w:color w:val="auto"/>
        </w:rPr>
        <w:t>Facsimile:</w:t>
        <w:tab/>
        <w:t>(415) 362-1192</w:t>
      </w:r>
    </w:p>
    <w:p>
      <w:pPr>
        <w:spacing w:after="0" w:line="172" w:lineRule="exact"/>
        <w:rPr>
          <w:sz w:val="20"/>
          <w:szCs w:val="20"/>
          <w:color w:val="auto"/>
        </w:rPr>
      </w:pPr>
    </w:p>
    <w:p>
      <w:pPr>
        <w:ind w:right="1959" w:firstLine="1863"/>
        <w:spacing w:after="0" w:line="253" w:lineRule="auto"/>
        <w:tabs>
          <w:tab w:leader="none" w:pos="2167"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Submission to Jurisdiction. All questions concerning the construction, validity and interpretation of this Agreement will be governed by the internal laws of the State of Delaware, without giving effect to principles of conflicts of law. The parties hereby irrevocably and unconditionally consent to submit to the exclusive jurisdiction of the courts of the State of Delaware or the United States of America located in the State of Delaware for any actions, suits or proceedings arising out of or relating to this Agreement and the transactions contemplated hereby (and the parties agree not to commence any action, suit or proceeding relating hereto except in such courts), and further agree that service of any process, summons, notice or documents by United States registered mail to a party in accordance with Section 8 hereof shall be effective service of process for any action, suit or proceeding brought against such party in any such court and, absent any statute, rule or order to the contrary, that each party shall have thirty (30) days from actual receipt of any complaint to answer or otherwise plead with respect thereto. The parties hereby irrevocably and unconditionally waive any objection to the laying of venue of any action, suit or proceeding arising out of this Agreement or the transactions contemplated hereby in the courts of the State of Delaware or the United States of America located in the State of Delaware, and hereby further irrevocably and unconditionally waive and agree not to plead or claim in any such court that any such action, suit or proceeding brought in any such court has been brought in an inconvenient forum.</w:t>
      </w:r>
    </w:p>
    <w:p>
      <w:pPr>
        <w:spacing w:after="0" w:line="97" w:lineRule="exact"/>
        <w:rPr>
          <w:rFonts w:ascii="Courier New" w:cs="Courier New" w:eastAsia="Courier New" w:hAnsi="Courier New"/>
          <w:sz w:val="17"/>
          <w:szCs w:val="17"/>
          <w:color w:val="auto"/>
        </w:rPr>
      </w:pPr>
    </w:p>
    <w:p>
      <w:pPr>
        <w:ind w:right="1959" w:firstLine="1863"/>
        <w:spacing w:after="0" w:line="308" w:lineRule="auto"/>
        <w:tabs>
          <w:tab w:leader="none" w:pos="227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Descriptive Headings. The descriptive headings of this Agreement are inserted for convenience only and do not constitute a part of this Agreement.</w:t>
      </w:r>
    </w:p>
    <w:p>
      <w:pPr>
        <w:spacing w:after="0" w:line="52" w:lineRule="exact"/>
        <w:rPr>
          <w:rFonts w:ascii="Courier New" w:cs="Courier New" w:eastAsia="Courier New" w:hAnsi="Courier New"/>
          <w:sz w:val="17"/>
          <w:szCs w:val="17"/>
          <w:color w:val="auto"/>
        </w:rPr>
      </w:pPr>
    </w:p>
    <w:p>
      <w:pPr>
        <w:jc w:val="both"/>
        <w:ind w:right="2159" w:firstLine="1863"/>
        <w:spacing w:after="0" w:line="308" w:lineRule="auto"/>
        <w:tabs>
          <w:tab w:leader="none" w:pos="227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Counterparts. This Agreement may be executed in separate counterparts each of which will be an original and all of which taken together will constitute one and the same agreement.</w:t>
      </w:r>
    </w:p>
    <w:p>
      <w:pPr>
        <w:spacing w:after="0" w:line="52"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(Signature Page Follows)</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480" w:right="1440" w:bottom="1440" w:gutter="0" w:footer="0" w:header="0"/>
        </w:sectPr>
      </w:pPr>
    </w:p>
    <w:bookmarkStart w:id="129" w:name="page130"/>
    <w:bookmarkEnd w:id="129"/>
    <w:p>
      <w:pPr>
        <w:ind w:right="2479" w:firstLine="1857"/>
        <w:spacing w:after="0" w:line="370" w:lineRule="auto"/>
        <w:rPr>
          <w:sz w:val="20"/>
          <w:szCs w:val="20"/>
          <w:color w:val="auto"/>
        </w:rPr>
      </w:pPr>
      <w:r>
        <w:rPr>
          <w:rFonts w:ascii="Courier New" w:cs="Courier New" w:eastAsia="Courier New" w:hAnsi="Courier New"/>
          <w:sz w:val="17"/>
          <w:szCs w:val="17"/>
          <w:color w:val="auto"/>
        </w:rPr>
        <w:t>IN WITNESS WHEREOF, the parties hereto have executed this Agreement on the day and year first above written.</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COMPANY:</w:t>
      </w:r>
    </w:p>
    <w:p>
      <w:pPr>
        <w:spacing w:after="0" w:line="20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CITI TRENDS, INC., a Delaware corporation</w:t>
      </w:r>
    </w:p>
    <w:p>
      <w:pPr>
        <w:spacing w:after="0" w:line="20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By: _______________________________________</w:t>
      </w:r>
    </w:p>
    <w:p>
      <w:pPr>
        <w:spacing w:after="0" w:line="38" w:lineRule="exact"/>
        <w:rPr>
          <w:sz w:val="20"/>
          <w:szCs w:val="20"/>
          <w:color w:val="auto"/>
        </w:rPr>
      </w:pPr>
    </w:p>
    <w:p>
      <w:pPr>
        <w:ind w:left="4040"/>
        <w:spacing w:after="0"/>
        <w:tabs>
          <w:tab w:leader="none" w:pos="48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R. Edward Anderson</w:t>
      </w:r>
    </w:p>
    <w:p>
      <w:pPr>
        <w:spacing w:after="0" w:line="6" w:lineRule="exact"/>
        <w:rPr>
          <w:sz w:val="20"/>
          <w:szCs w:val="20"/>
          <w:color w:val="auto"/>
        </w:rPr>
      </w:pPr>
    </w:p>
    <w:p>
      <w:pPr>
        <w:ind w:left="4040"/>
        <w:spacing w:after="0"/>
        <w:tabs>
          <w:tab w:leader="none" w:pos="4840" w:val="left"/>
        </w:tabs>
        <w:rPr>
          <w:sz w:val="20"/>
          <w:szCs w:val="20"/>
          <w:color w:val="auto"/>
        </w:rPr>
      </w:pPr>
      <w:r>
        <w:rPr>
          <w:rFonts w:ascii="Courier New" w:cs="Courier New" w:eastAsia="Courier New" w:hAnsi="Courier New"/>
          <w:sz w:val="17"/>
          <w:szCs w:val="17"/>
          <w:color w:val="auto"/>
        </w:rPr>
        <w:t>Title:</w:t>
        <w:tab/>
        <w:t>Chief Executive Officer</w:t>
      </w: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CONSULTANT:</w:t>
      </w:r>
    </w:p>
    <w:p>
      <w:pPr>
        <w:spacing w:after="0" w:line="20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HAMPSHIRE MANAGEMENT COMPANY LLC, a Delaware</w:t>
      </w:r>
    </w:p>
    <w:p>
      <w:pPr>
        <w:spacing w:after="0" w:line="38"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limited liability company</w:t>
      </w:r>
    </w:p>
    <w:p>
      <w:pPr>
        <w:spacing w:after="0" w:line="371"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By: _______________________________________</w:t>
      </w:r>
    </w:p>
    <w:p>
      <w:pPr>
        <w:spacing w:after="0" w:line="38" w:lineRule="exact"/>
        <w:rPr>
          <w:sz w:val="20"/>
          <w:szCs w:val="20"/>
          <w:color w:val="auto"/>
        </w:rPr>
      </w:pPr>
    </w:p>
    <w:p>
      <w:pPr>
        <w:ind w:left="4040"/>
        <w:spacing w:after="0"/>
        <w:tabs>
          <w:tab w:leader="none" w:pos="484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7"/>
          <w:szCs w:val="17"/>
          <w:color w:val="auto"/>
        </w:rPr>
        <w:t>Thomas J. Walker</w:t>
      </w:r>
    </w:p>
    <w:p>
      <w:pPr>
        <w:spacing w:after="0" w:line="6" w:lineRule="exact"/>
        <w:rPr>
          <w:sz w:val="20"/>
          <w:szCs w:val="20"/>
          <w:color w:val="auto"/>
        </w:rPr>
      </w:pPr>
    </w:p>
    <w:p>
      <w:pPr>
        <w:ind w:left="4040"/>
        <w:spacing w:after="0"/>
        <w:tabs>
          <w:tab w:leader="none" w:pos="4840" w:val="left"/>
        </w:tabs>
        <w:rPr>
          <w:sz w:val="20"/>
          <w:szCs w:val="20"/>
          <w:color w:val="auto"/>
        </w:rPr>
      </w:pPr>
      <w:r>
        <w:rPr>
          <w:rFonts w:ascii="Courier New" w:cs="Courier New" w:eastAsia="Courier New" w:hAnsi="Courier New"/>
          <w:sz w:val="17"/>
          <w:szCs w:val="17"/>
          <w:color w:val="auto"/>
        </w:rPr>
        <w:t>Title:</w:t>
        <w:tab/>
        <w:t>Vice President</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[Termination Agreement]</w:t>
      </w:r>
    </w:p>
    <w:p>
      <w:pPr>
        <w:sectPr>
          <w:pgSz w:w="11900" w:h="16838" w:orient="portrait"/>
          <w:cols w:equalWidth="0" w:num="1">
            <w:col w:w="10219"/>
          </w:cols>
          <w:pgMar w:left="240" w:top="480" w:right="1440" w:bottom="1440" w:gutter="0" w:footer="0" w:header="0"/>
        </w:sectPr>
      </w:pPr>
    </w:p>
    <w:bookmarkStart w:id="130" w:name="page131"/>
    <w:bookmarkEnd w:id="130"/>
    <w:p>
      <w:pPr>
        <w:jc w:val="right"/>
        <w:ind w:right="1959"/>
        <w:spacing w:after="0"/>
        <w:rPr>
          <w:sz w:val="20"/>
          <w:szCs w:val="20"/>
          <w:color w:val="auto"/>
        </w:rPr>
      </w:pPr>
      <w:r>
        <w:rPr>
          <w:rFonts w:ascii="Courier New" w:cs="Courier New" w:eastAsia="Courier New" w:hAnsi="Courier New"/>
          <w:sz w:val="17"/>
          <w:szCs w:val="17"/>
          <w:color w:val="auto"/>
        </w:rPr>
        <w:t>Exhibit 14.1</w:t>
      </w:r>
    </w:p>
    <w:p>
      <w:pPr>
        <w:spacing w:after="0" w:line="204"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7"/>
          <w:szCs w:val="17"/>
          <w:color w:val="auto"/>
        </w:rPr>
        <w:t>(CITI TRENDS LOGO)</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CODE OF BUSINESS CONDUCT</w:t>
      </w:r>
    </w:p>
    <w:p>
      <w:pPr>
        <w:sectPr>
          <w:pgSz w:w="11900" w:h="16838" w:orient="portrait"/>
          <w:cols w:equalWidth="0" w:num="1">
            <w:col w:w="9019"/>
          </w:cols>
          <w:pgMar w:left="1440" w:top="308" w:right="1440" w:bottom="1440" w:gutter="0" w:footer="0" w:header="0"/>
        </w:sectPr>
      </w:pPr>
    </w:p>
    <w:bookmarkStart w:id="131" w:name="page132"/>
    <w:bookmarkEnd w:id="131"/>
    <w:p>
      <w:pPr>
        <w:ind w:left="2900"/>
        <w:spacing w:after="0"/>
        <w:rPr>
          <w:sz w:val="20"/>
          <w:szCs w:val="20"/>
          <w:color w:val="auto"/>
        </w:rPr>
      </w:pPr>
      <w:r>
        <w:rPr>
          <w:rFonts w:ascii="Courier New" w:cs="Courier New" w:eastAsia="Courier New" w:hAnsi="Courier New"/>
          <w:sz w:val="17"/>
          <w:szCs w:val="17"/>
          <w:color w:val="auto"/>
        </w:rPr>
        <w:t>CHIEF EXECUTIVE'S LETTER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Fellow Associate, Director, Officer or Employee:</w:t>
      </w:r>
    </w:p>
    <w:p>
      <w:pPr>
        <w:spacing w:after="0" w:line="204" w:lineRule="exact"/>
        <w:rPr>
          <w:sz w:val="20"/>
          <w:szCs w:val="20"/>
          <w:color w:val="auto"/>
        </w:rPr>
      </w:pPr>
    </w:p>
    <w:p>
      <w:pPr>
        <w:ind w:right="1959"/>
        <w:spacing w:after="0" w:line="278" w:lineRule="auto"/>
        <w:rPr>
          <w:sz w:val="20"/>
          <w:szCs w:val="20"/>
          <w:color w:val="auto"/>
        </w:rPr>
      </w:pPr>
      <w:r>
        <w:rPr>
          <w:rFonts w:ascii="Courier New" w:cs="Courier New" w:eastAsia="Courier New" w:hAnsi="Courier New"/>
          <w:sz w:val="17"/>
          <w:szCs w:val="17"/>
          <w:color w:val="auto"/>
        </w:rPr>
        <w:t>Citi Trends, Inc. ("Citi Trends") is proud of its strong reputation for honesty, integrity and fairness, which is extended by persons such as yourself. We cannot, and shall not, allow our reputation for these qualities to be compromised. Therefore, it is appropriate that our principles of conducting business be written for all to read and understand.</w:t>
      </w:r>
    </w:p>
    <w:p>
      <w:pPr>
        <w:spacing w:after="0" w:line="75" w:lineRule="exact"/>
        <w:rPr>
          <w:sz w:val="20"/>
          <w:szCs w:val="20"/>
          <w:color w:val="auto"/>
        </w:rPr>
      </w:pPr>
    </w:p>
    <w:p>
      <w:pPr>
        <w:ind w:right="1959"/>
        <w:spacing w:after="0" w:line="262" w:lineRule="auto"/>
        <w:rPr>
          <w:sz w:val="20"/>
          <w:szCs w:val="20"/>
          <w:color w:val="auto"/>
        </w:rPr>
      </w:pPr>
      <w:r>
        <w:rPr>
          <w:rFonts w:ascii="Courier New" w:cs="Courier New" w:eastAsia="Courier New" w:hAnsi="Courier New"/>
          <w:sz w:val="17"/>
          <w:szCs w:val="17"/>
          <w:color w:val="auto"/>
        </w:rPr>
        <w:t>The guidelines set forth in our Code of Business Conduct are being used in an effort to define and summarize the standards and basic guiding principles to which all employees, directors and officers of Citi Trends are expected to adhere. Citi Trends' Code of Business Conduct is nothing new in basic conduct, which has already been exemplified over the years by Citi Trends' associates, directors, officers and employees. What we have here is a statement, distributed to associates, directors, officers and employees, so that we can continue to maintain and build upon our already high standards for making good business judgments.</w:t>
      </w:r>
    </w:p>
    <w:p>
      <w:pPr>
        <w:spacing w:after="0" w:line="92" w:lineRule="exact"/>
        <w:rPr>
          <w:sz w:val="20"/>
          <w:szCs w:val="20"/>
          <w:color w:val="auto"/>
        </w:rPr>
      </w:pPr>
    </w:p>
    <w:p>
      <w:pPr>
        <w:ind w:right="2159"/>
        <w:spacing w:after="0" w:line="262" w:lineRule="auto"/>
        <w:rPr>
          <w:sz w:val="20"/>
          <w:szCs w:val="20"/>
          <w:color w:val="auto"/>
        </w:rPr>
      </w:pPr>
      <w:r>
        <w:rPr>
          <w:rFonts w:ascii="Courier New" w:cs="Courier New" w:eastAsia="Courier New" w:hAnsi="Courier New"/>
          <w:sz w:val="17"/>
          <w:szCs w:val="17"/>
          <w:color w:val="auto"/>
        </w:rPr>
        <w:t>I would like for you to read our Code of Business Conduct and refer to it as a guide for your actions and decisions. Although the Code of Business Conduct covers a wide range of business practices and procedures, we know that all situations cannot be covered, but that your exercising good judgment will protect your reputation and the reputation of Citi Trends. After your have carefully read the Code of Business Conduct, please sign the acknowledgement form on the last page and return it to Gail Oberg for our records. I am sure each of you will want to join me in building on our strong principles of business conduct.</w:t>
      </w:r>
    </w:p>
    <w:p>
      <w:pPr>
        <w:spacing w:after="0" w:line="92"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Ed Anderson</w:t>
      </w:r>
    </w:p>
    <w:p>
      <w:pPr>
        <w:spacing w:after="0" w:line="38"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Chief Executive Officer</w:t>
      </w:r>
    </w:p>
    <w:p>
      <w:pPr>
        <w:sectPr>
          <w:pgSz w:w="11900" w:h="16838" w:orient="portrait"/>
          <w:cols w:equalWidth="0" w:num="1">
            <w:col w:w="10219"/>
          </w:cols>
          <w:pgMar w:left="240" w:top="480" w:right="1440"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91"/>
        </w:trPr>
        <w:tc>
          <w:tcPr>
            <w:tcW w:w="1240" w:type="dxa"/>
            <w:vAlign w:val="bottom"/>
          </w:tcPr>
          <w:p>
            <w:pPr>
              <w:spacing w:after="0"/>
              <w:rPr>
                <w:sz w:val="24"/>
                <w:szCs w:val="24"/>
                <w:color w:val="auto"/>
              </w:rPr>
            </w:pPr>
          </w:p>
        </w:tc>
        <w:tc>
          <w:tcPr>
            <w:tcW w:w="6340" w:type="dxa"/>
            <w:vAlign w:val="bottom"/>
          </w:tcPr>
          <w:p>
            <w:pPr>
              <w:ind w:left="1660"/>
              <w:spacing w:after="0"/>
              <w:rPr>
                <w:sz w:val="20"/>
                <w:szCs w:val="20"/>
                <w:color w:val="auto"/>
              </w:rPr>
            </w:pPr>
            <w:r>
              <w:rPr>
                <w:rFonts w:ascii="Courier New" w:cs="Courier New" w:eastAsia="Courier New" w:hAnsi="Courier New"/>
                <w:sz w:val="17"/>
                <w:szCs w:val="17"/>
                <w:color w:val="auto"/>
              </w:rPr>
              <w:t>CODE OF BUSINESS CONDUCT</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1240" w:type="dxa"/>
            <w:vAlign w:val="bottom"/>
          </w:tcPr>
          <w:p>
            <w:pPr>
              <w:spacing w:after="0"/>
              <w:rPr>
                <w:sz w:val="24"/>
                <w:szCs w:val="24"/>
                <w:color w:val="auto"/>
              </w:rPr>
            </w:pPr>
          </w:p>
        </w:tc>
        <w:tc>
          <w:tcPr>
            <w:tcW w:w="6340" w:type="dxa"/>
            <w:vAlign w:val="bottom"/>
          </w:tcPr>
          <w:p>
            <w:pPr>
              <w:ind w:left="2060"/>
              <w:spacing w:after="0"/>
              <w:rPr>
                <w:sz w:val="20"/>
                <w:szCs w:val="20"/>
                <w:color w:val="auto"/>
              </w:rPr>
            </w:pPr>
            <w:r>
              <w:rPr>
                <w:rFonts w:ascii="Courier New" w:cs="Courier New" w:eastAsia="Courier New" w:hAnsi="Courier New"/>
                <w:sz w:val="17"/>
                <w:szCs w:val="17"/>
                <w:color w:val="auto"/>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4"/>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SUBJECT</w:t>
            </w:r>
          </w:p>
        </w:tc>
        <w:tc>
          <w:tcPr>
            <w:tcW w:w="6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c>
          <w:tcPr>
            <w:tcW w:w="0" w:type="dxa"/>
            <w:vAlign w:val="bottom"/>
          </w:tcPr>
          <w:p>
            <w:pPr>
              <w:spacing w:after="0"/>
              <w:rPr>
                <w:sz w:val="1"/>
                <w:szCs w:val="1"/>
                <w:color w:val="auto"/>
              </w:rPr>
            </w:pPr>
          </w:p>
        </w:tc>
      </w:tr>
      <w:tr>
        <w:trPr>
          <w:trHeight w:val="595"/>
        </w:trPr>
        <w:tc>
          <w:tcPr>
            <w:tcW w:w="1240" w:type="dxa"/>
            <w:vAlign w:val="bottom"/>
          </w:tcPr>
          <w:p>
            <w:pPr>
              <w:spacing w:after="0"/>
              <w:rPr>
                <w:sz w:val="20"/>
                <w:szCs w:val="20"/>
                <w:color w:val="auto"/>
              </w:rPr>
            </w:pPr>
            <w:r>
              <w:rPr>
                <w:rFonts w:ascii="Courier New" w:cs="Courier New" w:eastAsia="Courier New" w:hAnsi="Courier New"/>
                <w:sz w:val="17"/>
                <w:szCs w:val="17"/>
                <w:color w:val="auto"/>
                <w:w w:val="99"/>
              </w:rPr>
              <w:t>Introduction</w:t>
            </w:r>
          </w:p>
        </w:tc>
        <w:tc>
          <w:tcPr>
            <w:tcW w:w="6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580" w:type="dxa"/>
            <w:vAlign w:val="bottom"/>
            <w:gridSpan w:val="2"/>
          </w:tcPr>
          <w:p>
            <w:pPr>
              <w:spacing w:after="0"/>
              <w:rPr>
                <w:sz w:val="20"/>
                <w:szCs w:val="20"/>
                <w:color w:val="auto"/>
              </w:rPr>
            </w:pPr>
            <w:r>
              <w:rPr>
                <w:rFonts w:ascii="Courier New" w:cs="Courier New" w:eastAsia="Courier New" w:hAnsi="Courier New"/>
                <w:sz w:val="17"/>
                <w:szCs w:val="17"/>
                <w:color w:val="auto"/>
              </w:rPr>
              <w:t>Guidelines for Business Conduct</w:t>
            </w:r>
          </w:p>
        </w:tc>
        <w:tc>
          <w:tcPr>
            <w:tcW w:w="680" w:type="dxa"/>
            <w:vAlign w:val="bottom"/>
            <w:vMerge w:val="restart"/>
          </w:tcPr>
          <w:p>
            <w:pPr>
              <w:jc w:val="right"/>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Confidentiality</w:t>
            </w: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Honesty and Integrity</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Independence When Dealing With Suppliers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Receipt of Gifts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Kickbacks and Rebates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Compliance with Laws, Rules and Regulations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Conflict of Interest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Protection and Proper Use of Company Assets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Charitable Contributions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Insider Trading</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Public Disclosure</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Corporate Opportunities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Competition and Fair Dealing</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Discrimination and Harassment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Health and Safety</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Record-Keeping</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Payments to Government Personnel</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Waivers of the Code of Business Conduct</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Reporting any Illegal or Unethical Behavior; No Retaliation</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Accounting Complaints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198"/>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Compliance Procedures</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0" w:type="dxa"/>
            <w:vAlign w:val="bottom"/>
          </w:tcPr>
          <w:p>
            <w:pPr>
              <w:spacing w:after="0"/>
              <w:rPr>
                <w:sz w:val="1"/>
                <w:szCs w:val="1"/>
                <w:color w:val="auto"/>
              </w:rPr>
            </w:pPr>
          </w:p>
        </w:tc>
      </w:tr>
      <w:tr>
        <w:trPr>
          <w:trHeight w:val="291"/>
        </w:trPr>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6340" w:type="dxa"/>
            <w:vAlign w:val="bottom"/>
          </w:tcPr>
          <w:p>
            <w:pPr>
              <w:spacing w:after="0"/>
              <w:rPr>
                <w:sz w:val="20"/>
                <w:szCs w:val="20"/>
                <w:color w:val="auto"/>
              </w:rPr>
            </w:pPr>
            <w:r>
              <w:rPr>
                <w:rFonts w:ascii="Courier New" w:cs="Courier New" w:eastAsia="Courier New" w:hAnsi="Courier New"/>
                <w:sz w:val="17"/>
                <w:szCs w:val="17"/>
                <w:color w:val="auto"/>
              </w:rPr>
              <w:t>Application of Code of Business Conduct/Compliance Required</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11</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A - Acknowledgment of Receipt of Code of Business Conduct</w:t>
      </w:r>
    </w:p>
    <w:p>
      <w:pPr>
        <w:sectPr>
          <w:pgSz w:w="11900" w:h="16838" w:orient="portrait"/>
          <w:cols w:equalWidth="0" w:num="1">
            <w:col w:w="10219"/>
          </w:cols>
          <w:pgMar w:left="240" w:top="480" w:right="1440" w:bottom="1440" w:gutter="0" w:footer="0" w:header="0"/>
        </w:sectPr>
      </w:pPr>
    </w:p>
    <w:bookmarkStart w:id="133" w:name="page134"/>
    <w:bookmarkEnd w:id="133"/>
    <w:p>
      <w:pPr>
        <w:ind w:left="3300"/>
        <w:spacing w:after="0"/>
        <w:rPr>
          <w:sz w:val="20"/>
          <w:szCs w:val="20"/>
          <w:color w:val="auto"/>
        </w:rPr>
      </w:pPr>
      <w:r>
        <w:rPr>
          <w:rFonts w:ascii="Courier New" w:cs="Courier New" w:eastAsia="Courier New" w:hAnsi="Courier New"/>
          <w:sz w:val="17"/>
          <w:szCs w:val="17"/>
          <w:color w:val="auto"/>
        </w:rPr>
        <w:t>CITI TRENDS, INC.</w:t>
      </w:r>
    </w:p>
    <w:p>
      <w:pPr>
        <w:spacing w:after="0" w:line="38"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CODE OF BUSINESS CONDUCT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INTRODUCTION</w:t>
      </w:r>
    </w:p>
    <w:p>
      <w:pPr>
        <w:spacing w:after="0" w:line="204" w:lineRule="exact"/>
        <w:rPr>
          <w:sz w:val="20"/>
          <w:szCs w:val="20"/>
          <w:color w:val="auto"/>
        </w:rPr>
      </w:pPr>
    </w:p>
    <w:p>
      <w:pPr>
        <w:ind w:right="1959" w:firstLine="619"/>
        <w:spacing w:after="0" w:line="256" w:lineRule="auto"/>
        <w:rPr>
          <w:sz w:val="20"/>
          <w:szCs w:val="20"/>
          <w:color w:val="auto"/>
        </w:rPr>
      </w:pPr>
      <w:r>
        <w:rPr>
          <w:rFonts w:ascii="Courier New" w:cs="Courier New" w:eastAsia="Courier New" w:hAnsi="Courier New"/>
          <w:sz w:val="17"/>
          <w:szCs w:val="17"/>
          <w:color w:val="auto"/>
        </w:rPr>
        <w:t>Set forth herein is the Code of Business Conduct (the "Code") adopted by Citi Trends, Inc. (the "Company"). This Code summarizes basic guiding principles and standards of conduct to guide all associates, employees, directors and officers of the Company in meeting our goal to achieve the highest business and personal ethical standards as well as compliance with the laws and regulations that apply to our business. This Code covers a wide range of business practices and procedures, but it does not address every applicable law or respond to every ethical question or concern that may arise. All of our associates, employees, directors and officers must conduct themselves accordingly in every aspect of our business and seek to avoid even the appearance of wrongdoing or improper behavior. Our standard has been, and will continue to be, to advance the highest standards of ethical conduct. We expect the Company's agents, consultants, contractors, suppliers and representatives to be guided by the principles and standards set forth in this Code.</w:t>
      </w:r>
    </w:p>
    <w:p>
      <w:pPr>
        <w:spacing w:after="0" w:line="101" w:lineRule="exact"/>
        <w:rPr>
          <w:sz w:val="20"/>
          <w:szCs w:val="20"/>
          <w:color w:val="auto"/>
        </w:rPr>
      </w:pPr>
    </w:p>
    <w:p>
      <w:pPr>
        <w:ind w:right="1959" w:firstLine="619"/>
        <w:spacing w:after="0" w:line="264" w:lineRule="auto"/>
        <w:rPr>
          <w:sz w:val="20"/>
          <w:szCs w:val="20"/>
          <w:color w:val="auto"/>
        </w:rPr>
      </w:pPr>
      <w:r>
        <w:rPr>
          <w:rFonts w:ascii="Courier New" w:cs="Courier New" w:eastAsia="Courier New" w:hAnsi="Courier New"/>
          <w:sz w:val="17"/>
          <w:szCs w:val="17"/>
          <w:color w:val="auto"/>
        </w:rPr>
        <w:t>Our Chief Executive Officer ("CEO"), Chief Financial Officer ("CFO") and other financial and accounting officers must adhere to our Disclosure Controls and Procedures Policy, which sets forth additional standards in connection with our public disclosures. If you have questions regarding any of the goals, principles, or standards discussed or policies or procedures referred to in this Code or are in doubt about the best course of action to take in a particular situation, you should contact the Manager of Human Resources, or follow the guidelines set forth in Section 21 of this Code.</w:t>
      </w:r>
    </w:p>
    <w:p>
      <w:pPr>
        <w:spacing w:after="0" w:line="91" w:lineRule="exact"/>
        <w:rPr>
          <w:sz w:val="20"/>
          <w:szCs w:val="20"/>
          <w:color w:val="auto"/>
        </w:rPr>
      </w:pPr>
    </w:p>
    <w:p>
      <w:pPr>
        <w:ind w:right="2059" w:firstLine="619"/>
        <w:spacing w:after="0" w:line="267" w:lineRule="auto"/>
        <w:rPr>
          <w:sz w:val="20"/>
          <w:szCs w:val="20"/>
          <w:color w:val="auto"/>
        </w:rPr>
      </w:pPr>
      <w:r>
        <w:rPr>
          <w:rFonts w:ascii="Courier New" w:cs="Courier New" w:eastAsia="Courier New" w:hAnsi="Courier New"/>
          <w:sz w:val="17"/>
          <w:szCs w:val="17"/>
          <w:color w:val="auto"/>
        </w:rPr>
        <w:t>Every associate, employee, director and officer has a duty to adhere to this Code, and those who violate the standards in this Code will be subject to disciplinary action which may include suspension or dismissal and/or the reporting of violative conduct to appropriate regulatory and criminal authorities. If you are involved in a situation that you believe may violate or lead to a violation of this Code, follow the guidelines described in Section 21 of this Code.</w:t>
      </w:r>
    </w:p>
    <w:p>
      <w:pPr>
        <w:spacing w:after="0" w:line="88" w:lineRule="exact"/>
        <w:rPr>
          <w:sz w:val="20"/>
          <w:szCs w:val="20"/>
          <w:color w:val="auto"/>
        </w:rPr>
      </w:pPr>
    </w:p>
    <w:p>
      <w:pPr>
        <w:ind w:right="1959" w:firstLine="619"/>
        <w:spacing w:after="0" w:line="278" w:lineRule="auto"/>
        <w:rPr>
          <w:sz w:val="20"/>
          <w:szCs w:val="20"/>
          <w:color w:val="auto"/>
        </w:rPr>
      </w:pPr>
      <w:r>
        <w:rPr>
          <w:rFonts w:ascii="Courier New" w:cs="Courier New" w:eastAsia="Courier New" w:hAnsi="Courier New"/>
          <w:sz w:val="17"/>
          <w:szCs w:val="17"/>
          <w:color w:val="auto"/>
        </w:rPr>
        <w:t>We are committed to continuously reviewing and updating our policies and procedures. Therefore, this Code is subject to modification. This Code supercedes all other such codes, policies, procedures, instructions, practices, rules or written or verbal representations concerning the subject matter of this Code to the extent they are inconsistent.</w:t>
      </w:r>
    </w:p>
    <w:p>
      <w:pPr>
        <w:spacing w:after="0" w:line="75" w:lineRule="exact"/>
        <w:rPr>
          <w:sz w:val="20"/>
          <w:szCs w:val="20"/>
          <w:color w:val="auto"/>
        </w:rPr>
      </w:pPr>
    </w:p>
    <w:p>
      <w:pPr>
        <w:ind w:right="2059" w:firstLine="619"/>
        <w:spacing w:after="0" w:line="262" w:lineRule="auto"/>
        <w:rPr>
          <w:sz w:val="20"/>
          <w:szCs w:val="20"/>
          <w:color w:val="auto"/>
        </w:rPr>
      </w:pPr>
      <w:r>
        <w:rPr>
          <w:rFonts w:ascii="Courier New" w:cs="Courier New" w:eastAsia="Courier New" w:hAnsi="Courier New"/>
          <w:sz w:val="17"/>
          <w:szCs w:val="17"/>
          <w:color w:val="auto"/>
        </w:rPr>
        <w:t>Please sign the acknowledgment form attached hereto as Exhibit A, indicating that you have received, read, understand and agree to comply with this Code, and return the form as instructed. The signed acknowledgment form will be located in your personnel file. Each year, as part of the annual review process, officers and other appropriate personnel will be asked to sign an acknowledgment indicating their continued understanding of and compliance with the Code. In addition, periodically, you may be asked to participate in seminars, training meetings and similar activities related to reinforcing your understanding of this Code and its applicability to the Company's business.</w:t>
      </w:r>
    </w:p>
    <w:p>
      <w:pPr>
        <w:sectPr>
          <w:pgSz w:w="11900" w:h="16838" w:orient="portrait"/>
          <w:cols w:equalWidth="0" w:num="1">
            <w:col w:w="10219"/>
          </w:cols>
          <w:pgMar w:left="240" w:top="480" w:right="1440" w:bottom="1440" w:gutter="0" w:footer="0" w:header="0"/>
        </w:sectPr>
      </w:pPr>
    </w:p>
    <w:bookmarkStart w:id="134" w:name="page135"/>
    <w:bookmarkEnd w:id="134"/>
    <w:p>
      <w:pPr>
        <w:ind w:left="1240" w:hanging="615"/>
        <w:spacing w:after="0"/>
        <w:tabs>
          <w:tab w:leader="none" w:pos="124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w:t>
      </w:r>
    </w:p>
    <w:p>
      <w:pPr>
        <w:spacing w:after="0" w:line="204" w:lineRule="exact"/>
        <w:rPr>
          <w:sz w:val="20"/>
          <w:szCs w:val="20"/>
          <w:color w:val="auto"/>
        </w:rPr>
      </w:pPr>
    </w:p>
    <w:p>
      <w:pPr>
        <w:ind w:right="2059" w:firstLine="619"/>
        <w:spacing w:after="0" w:line="258" w:lineRule="auto"/>
        <w:rPr>
          <w:sz w:val="20"/>
          <w:szCs w:val="20"/>
          <w:color w:val="auto"/>
        </w:rPr>
      </w:pPr>
      <w:r>
        <w:rPr>
          <w:rFonts w:ascii="Courier New" w:cs="Courier New" w:eastAsia="Courier New" w:hAnsi="Courier New"/>
          <w:sz w:val="17"/>
          <w:szCs w:val="17"/>
          <w:color w:val="auto"/>
        </w:rPr>
        <w:t>Associates, employees, directors and officers must maintain the confidentiality of confidential information entrusted to them by the Company or its customers, except when disclosure is authorized by the CEO or CFO or required by laws or regulations. The disclosure of any confidential information or data concerning the business, customers, vendors, stockholders, associates, officers, or directors is prohibited. Confidential information includes all non-public information that might be of use to competitors, or harmful to the Company or its customers, if disclosed. It also includes information that suppliers and customers have entrusted to us. The release of this information, either deliberately or carelessly, could be harmful to the person and to the Company. The obligation to preserve confidential information continues even after employment ends.</w:t>
      </w:r>
    </w:p>
    <w:p>
      <w:pPr>
        <w:spacing w:after="0" w:line="95" w:lineRule="exact"/>
        <w:rPr>
          <w:sz w:val="20"/>
          <w:szCs w:val="20"/>
          <w:color w:val="auto"/>
        </w:rPr>
      </w:pPr>
    </w:p>
    <w:p>
      <w:pPr>
        <w:ind w:right="2059" w:firstLine="619"/>
        <w:spacing w:after="0" w:line="264" w:lineRule="auto"/>
        <w:rPr>
          <w:sz w:val="20"/>
          <w:szCs w:val="20"/>
          <w:color w:val="auto"/>
        </w:rPr>
      </w:pPr>
      <w:r>
        <w:rPr>
          <w:rFonts w:ascii="Courier New" w:cs="Courier New" w:eastAsia="Courier New" w:hAnsi="Courier New"/>
          <w:sz w:val="17"/>
          <w:szCs w:val="17"/>
          <w:color w:val="auto"/>
        </w:rPr>
        <w:t>Associates, employees, directors and officers are prohibited from using any confidential information, obtained directly or indirectly to further their personal interests. This applies regardless of the information, whether technical, business, financial or otherwise, and regardless of how the information was acquired. In addition, the disclosure of any passwords or codes used to gain access to any computer network or system without security authorization is prohibited under this policy and the Citi Trends Computer Security Policy.</w:t>
      </w:r>
    </w:p>
    <w:p>
      <w:pPr>
        <w:spacing w:after="0" w:line="91" w:lineRule="exact"/>
        <w:rPr>
          <w:sz w:val="20"/>
          <w:szCs w:val="20"/>
          <w:color w:val="auto"/>
        </w:rPr>
      </w:pPr>
    </w:p>
    <w:p>
      <w:pPr>
        <w:ind w:right="1959" w:firstLine="619"/>
        <w:spacing w:after="0" w:line="262" w:lineRule="auto"/>
        <w:rPr>
          <w:sz w:val="20"/>
          <w:szCs w:val="20"/>
          <w:color w:val="auto"/>
        </w:rPr>
      </w:pPr>
      <w:r>
        <w:rPr>
          <w:rFonts w:ascii="Courier New" w:cs="Courier New" w:eastAsia="Courier New" w:hAnsi="Courier New"/>
          <w:sz w:val="17"/>
          <w:szCs w:val="17"/>
          <w:color w:val="auto"/>
        </w:rPr>
        <w:t>The Company and its employees, agents, consultants and contractors must cooperate with appropriate government inquiries and investigations. In this context, however, it is important to protect the legal rights of the Company with respect to its confidential information. All government inquiries and requests for information, documents or investigative interviews (whether in person, by phone, email or written correspondence) must be referred to the Manager of Human Resources, who will be responsible for coordinating a response. No financial information may be disclosed without the prior approval of the CEO or CFO.</w:t>
      </w:r>
    </w:p>
    <w:p>
      <w:pPr>
        <w:spacing w:after="0" w:line="92" w:lineRule="exact"/>
        <w:rPr>
          <w:sz w:val="20"/>
          <w:szCs w:val="20"/>
          <w:color w:val="auto"/>
        </w:rPr>
      </w:pPr>
    </w:p>
    <w:p>
      <w:pPr>
        <w:ind w:right="2059" w:firstLine="619"/>
        <w:spacing w:after="0" w:line="308" w:lineRule="auto"/>
        <w:rPr>
          <w:sz w:val="20"/>
          <w:szCs w:val="20"/>
          <w:color w:val="auto"/>
        </w:rPr>
      </w:pPr>
      <w:r>
        <w:rPr>
          <w:rFonts w:ascii="Courier New" w:cs="Courier New" w:eastAsia="Courier New" w:hAnsi="Courier New"/>
          <w:sz w:val="17"/>
          <w:szCs w:val="17"/>
          <w:color w:val="auto"/>
        </w:rPr>
        <w:t>If an associate, employee, director or officer has any doubt in regard to what is not confidential, it should be brought to the attention of the Manager of Human Resources immediately.</w:t>
      </w:r>
    </w:p>
    <w:p>
      <w:pPr>
        <w:spacing w:after="0" w:line="52" w:lineRule="exact"/>
        <w:rPr>
          <w:sz w:val="20"/>
          <w:szCs w:val="20"/>
          <w:color w:val="auto"/>
        </w:rPr>
      </w:pPr>
    </w:p>
    <w:p>
      <w:pPr>
        <w:ind w:left="1240" w:hanging="615"/>
        <w:spacing w:after="0"/>
        <w:tabs>
          <w:tab w:leader="none" w:pos="124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HONESTY AND INTEGRITY</w:t>
      </w:r>
    </w:p>
    <w:p>
      <w:pPr>
        <w:spacing w:after="0" w:line="204" w:lineRule="exact"/>
        <w:rPr>
          <w:sz w:val="20"/>
          <w:szCs w:val="20"/>
          <w:color w:val="auto"/>
        </w:rPr>
      </w:pPr>
    </w:p>
    <w:p>
      <w:pPr>
        <w:ind w:right="1959" w:firstLine="619"/>
        <w:spacing w:after="0" w:line="271" w:lineRule="auto"/>
        <w:rPr>
          <w:sz w:val="20"/>
          <w:szCs w:val="20"/>
          <w:color w:val="auto"/>
        </w:rPr>
      </w:pPr>
      <w:r>
        <w:rPr>
          <w:rFonts w:ascii="Courier New" w:cs="Courier New" w:eastAsia="Courier New" w:hAnsi="Courier New"/>
          <w:sz w:val="17"/>
          <w:szCs w:val="17"/>
          <w:color w:val="auto"/>
        </w:rPr>
        <w:t>All associates, employees, directors and officers are obligated to perform their duties with the highest degree of honesty and integrity. Whenever an associate, employee, director or officer witnesses a dishonest act committed by a fellow associate or employee, the act should be reported to their supervisor. However, should a supervisor be involved through consent or prior knowledge, this violation should be reported to the Loss Prevention Department.</w:t>
      </w:r>
    </w:p>
    <w:p>
      <w:pPr>
        <w:spacing w:after="0" w:line="84" w:lineRule="exact"/>
        <w:rPr>
          <w:sz w:val="20"/>
          <w:szCs w:val="20"/>
          <w:color w:val="auto"/>
        </w:rPr>
      </w:pPr>
    </w:p>
    <w:p>
      <w:pPr>
        <w:ind w:right="2059" w:firstLine="619"/>
        <w:spacing w:after="0" w:line="308" w:lineRule="auto"/>
        <w:rPr>
          <w:sz w:val="20"/>
          <w:szCs w:val="20"/>
          <w:color w:val="auto"/>
        </w:rPr>
      </w:pPr>
      <w:r>
        <w:rPr>
          <w:rFonts w:ascii="Courier New" w:cs="Courier New" w:eastAsia="Courier New" w:hAnsi="Courier New"/>
          <w:sz w:val="17"/>
          <w:szCs w:val="17"/>
          <w:color w:val="auto"/>
        </w:rPr>
        <w:t>The Company intends to investigate all reports of dishonesty. Individuals who commit dishonest acts or conspire with others to do so, will be subject to losing their employment.</w:t>
      </w:r>
    </w:p>
    <w:p>
      <w:pPr>
        <w:spacing w:after="0" w:line="52" w:lineRule="exact"/>
        <w:rPr>
          <w:sz w:val="20"/>
          <w:szCs w:val="20"/>
          <w:color w:val="auto"/>
        </w:rPr>
      </w:pPr>
    </w:p>
    <w:p>
      <w:pPr>
        <w:ind w:right="2159" w:firstLine="619"/>
        <w:spacing w:after="0" w:line="278" w:lineRule="auto"/>
        <w:rPr>
          <w:sz w:val="20"/>
          <w:szCs w:val="20"/>
          <w:color w:val="auto"/>
        </w:rPr>
      </w:pPr>
      <w:r>
        <w:rPr>
          <w:rFonts w:ascii="Courier New" w:cs="Courier New" w:eastAsia="Courier New" w:hAnsi="Courier New"/>
          <w:sz w:val="17"/>
          <w:szCs w:val="17"/>
          <w:color w:val="auto"/>
        </w:rPr>
        <w:t>Since many associates, employees, directors and officers are required to complete and react to various internal company documents and reports, it is expected that all such records be issued with the highest degree of integrity. Associates, employees, directors and officers are prohibited from issuing or authorizing any official company documents which may be false or misleading.</w:t>
      </w:r>
    </w:p>
    <w:p>
      <w:pPr>
        <w:spacing w:after="0" w:line="7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480" w:right="1440" w:bottom="1440" w:gutter="0" w:footer="0" w:header="0"/>
        </w:sectPr>
      </w:pPr>
    </w:p>
    <w:bookmarkStart w:id="135" w:name="page136"/>
    <w:bookmarkEnd w:id="135"/>
    <w:p>
      <w:pPr>
        <w:ind w:left="1240" w:hanging="615"/>
        <w:spacing w:after="0"/>
        <w:tabs>
          <w:tab w:leader="none" w:pos="124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INDEPENDENCE WHEN DEALING WITH SUPPLIERS</w:t>
      </w:r>
    </w:p>
    <w:p>
      <w:pPr>
        <w:spacing w:after="0" w:line="204" w:lineRule="exact"/>
        <w:rPr>
          <w:sz w:val="20"/>
          <w:szCs w:val="20"/>
          <w:color w:val="auto"/>
        </w:rPr>
      </w:pPr>
    </w:p>
    <w:p>
      <w:pPr>
        <w:ind w:right="1959" w:firstLine="619"/>
        <w:spacing w:after="0" w:line="262" w:lineRule="auto"/>
        <w:rPr>
          <w:sz w:val="20"/>
          <w:szCs w:val="20"/>
          <w:color w:val="auto"/>
        </w:rPr>
      </w:pPr>
      <w:r>
        <w:rPr>
          <w:rFonts w:ascii="Courier New" w:cs="Courier New" w:eastAsia="Courier New" w:hAnsi="Courier New"/>
          <w:sz w:val="17"/>
          <w:szCs w:val="17"/>
          <w:color w:val="auto"/>
        </w:rPr>
        <w:t>The Company is a valuable customer to many suppliers of goods, services, and facilities. Persons desiring to do business with the Company should understand that all purchases will be made exclusively on the basis of price, quality, service and suitability to the needs of the Company. Each member of the Company's organization must be careful to avoid circumstances, which may cast a doubt upon the objectivity of that individual and upon the Company. Accordingly, no associate, employee, director or officer shall realize any personal profit or gain as a direct or indirect result of dealing with suppliers, licensees, or persons doing business with the Company.</w:t>
      </w:r>
    </w:p>
    <w:p>
      <w:pPr>
        <w:spacing w:after="0" w:line="92" w:lineRule="exact"/>
        <w:rPr>
          <w:sz w:val="20"/>
          <w:szCs w:val="20"/>
          <w:color w:val="auto"/>
        </w:rPr>
      </w:pPr>
    </w:p>
    <w:p>
      <w:pPr>
        <w:ind w:left="1240" w:hanging="615"/>
        <w:spacing w:after="0"/>
        <w:tabs>
          <w:tab w:leader="none" w:pos="124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RECEIPT OF GIFTS</w:t>
      </w:r>
    </w:p>
    <w:p>
      <w:pPr>
        <w:spacing w:after="0" w:line="204" w:lineRule="exact"/>
        <w:rPr>
          <w:sz w:val="20"/>
          <w:szCs w:val="20"/>
          <w:color w:val="auto"/>
        </w:rPr>
      </w:pPr>
    </w:p>
    <w:p>
      <w:pPr>
        <w:ind w:right="1959" w:firstLine="619"/>
        <w:spacing w:after="0" w:line="262" w:lineRule="auto"/>
        <w:rPr>
          <w:sz w:val="20"/>
          <w:szCs w:val="20"/>
          <w:color w:val="auto"/>
        </w:rPr>
      </w:pPr>
      <w:r>
        <w:rPr>
          <w:rFonts w:ascii="Courier New" w:cs="Courier New" w:eastAsia="Courier New" w:hAnsi="Courier New"/>
          <w:sz w:val="17"/>
          <w:szCs w:val="17"/>
          <w:color w:val="auto"/>
        </w:rPr>
        <w:t>Even when gifts and entertainment are exchanged out of the purest motives of personal friendship, these gifts may be misunderstood as attempts to influence our associates, employees, directors or officers to direct corporate business to a particular supplier. In the best interest of the Company, associates, employees, directors and officers and their immediate family members should not accept a gift, prize, trip, or other favor from any one whom they are dealing with on behalf of the Company unless such gift, prize or trip is of such slight value (under $50.00) that refusal to accept would be discourteous or otherwise harmful to the Company.</w:t>
      </w:r>
    </w:p>
    <w:p>
      <w:pPr>
        <w:spacing w:after="0" w:line="92" w:lineRule="exact"/>
        <w:rPr>
          <w:sz w:val="20"/>
          <w:szCs w:val="20"/>
          <w:color w:val="auto"/>
        </w:rPr>
      </w:pPr>
    </w:p>
    <w:p>
      <w:pPr>
        <w:ind w:right="1959" w:firstLine="619"/>
        <w:spacing w:after="0" w:line="278" w:lineRule="auto"/>
        <w:rPr>
          <w:sz w:val="20"/>
          <w:szCs w:val="20"/>
          <w:color w:val="auto"/>
        </w:rPr>
      </w:pPr>
      <w:r>
        <w:rPr>
          <w:rFonts w:ascii="Courier New" w:cs="Courier New" w:eastAsia="Courier New" w:hAnsi="Courier New"/>
          <w:sz w:val="17"/>
          <w:szCs w:val="17"/>
          <w:color w:val="auto"/>
        </w:rPr>
        <w:t>Associates, employees, directors and officers may accept unsolicited gifts of a nominal value that are perishable or consumable and would be impractical to return. Acceptance of such gifts or reasonable, insubstantial personal entertainment is permissible, but care must be taken to be sure the continuation of such conduct does not result in an undesirable obligation.</w:t>
      </w:r>
    </w:p>
    <w:p>
      <w:pPr>
        <w:spacing w:after="0" w:line="75" w:lineRule="exact"/>
        <w:rPr>
          <w:sz w:val="20"/>
          <w:szCs w:val="20"/>
          <w:color w:val="auto"/>
        </w:rPr>
      </w:pPr>
    </w:p>
    <w:p>
      <w:pPr>
        <w:ind w:right="2059" w:firstLine="619"/>
        <w:spacing w:after="0" w:line="264" w:lineRule="auto"/>
        <w:rPr>
          <w:sz w:val="20"/>
          <w:szCs w:val="20"/>
          <w:color w:val="auto"/>
        </w:rPr>
      </w:pPr>
      <w:r>
        <w:rPr>
          <w:rFonts w:ascii="Courier New" w:cs="Courier New" w:eastAsia="Courier New" w:hAnsi="Courier New"/>
          <w:sz w:val="17"/>
          <w:szCs w:val="17"/>
          <w:color w:val="auto"/>
        </w:rPr>
        <w:t>A gift of substantial value (over $50.00) must be returned to the donor indicating that the acceptance of such gifts is contrary to our policy. The Company will pay the expense of returning such gifts. The vendor should be requested to refrain from sending such gifts in the future and encouraged to make a donation to the vendor's favorite charity in the name of the Company. In the event that an associate, employee, director or officer receives a gift of substantial value, the acceptance must be reported immediately by the associate to the Manager of Human Resources.</w:t>
      </w:r>
    </w:p>
    <w:p>
      <w:pPr>
        <w:spacing w:after="0" w:line="91" w:lineRule="exact"/>
        <w:rPr>
          <w:sz w:val="20"/>
          <w:szCs w:val="20"/>
          <w:color w:val="auto"/>
        </w:rPr>
      </w:pPr>
    </w:p>
    <w:p>
      <w:pPr>
        <w:ind w:right="1959" w:firstLine="619"/>
        <w:spacing w:after="0" w:line="271" w:lineRule="auto"/>
        <w:rPr>
          <w:sz w:val="20"/>
          <w:szCs w:val="20"/>
          <w:color w:val="auto"/>
        </w:rPr>
      </w:pPr>
      <w:r>
        <w:rPr>
          <w:rFonts w:ascii="Courier New" w:cs="Courier New" w:eastAsia="Courier New" w:hAnsi="Courier New"/>
          <w:sz w:val="17"/>
          <w:szCs w:val="17"/>
          <w:color w:val="auto"/>
        </w:rPr>
        <w:t>Any trips, gifts, prizes, or other favors of any nature won or awarded as a result of the Company doing business with another person or firm are won by the Company, not by the associate, employee, officer, director or department, or store involved. The Manager of Human Resources must be notified immediately. Failure to report substantial gifts will result in disciplinary action up to and including discharge.</w:t>
      </w:r>
    </w:p>
    <w:p>
      <w:pPr>
        <w:spacing w:after="0" w:line="84" w:lineRule="exact"/>
        <w:rPr>
          <w:sz w:val="20"/>
          <w:szCs w:val="20"/>
          <w:color w:val="auto"/>
        </w:rPr>
      </w:pPr>
    </w:p>
    <w:p>
      <w:pPr>
        <w:ind w:left="1240" w:hanging="615"/>
        <w:spacing w:after="0"/>
        <w:tabs>
          <w:tab w:leader="none" w:pos="1240"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KICKBACKS AND REBATES</w:t>
      </w:r>
    </w:p>
    <w:p>
      <w:pPr>
        <w:spacing w:after="0" w:line="204" w:lineRule="exact"/>
        <w:rPr>
          <w:sz w:val="20"/>
          <w:szCs w:val="20"/>
          <w:color w:val="auto"/>
        </w:rPr>
      </w:pPr>
    </w:p>
    <w:p>
      <w:pPr>
        <w:ind w:right="1959" w:firstLine="619"/>
        <w:spacing w:after="0" w:line="278" w:lineRule="auto"/>
        <w:rPr>
          <w:sz w:val="20"/>
          <w:szCs w:val="20"/>
          <w:color w:val="auto"/>
        </w:rPr>
      </w:pPr>
      <w:r>
        <w:rPr>
          <w:rFonts w:ascii="Courier New" w:cs="Courier New" w:eastAsia="Courier New" w:hAnsi="Courier New"/>
          <w:sz w:val="17"/>
          <w:szCs w:val="17"/>
          <w:color w:val="auto"/>
        </w:rPr>
        <w:t>Corporate purchases or sales of goods and services must not lead to associates, employees, directors, officers or their immediate families receiving personal kickbacks, rebates or improper payments. Any such offering must be reported immediately to your supervisor and the CFO, who is in turn responsible for disclosing the situation to the Audit Committee.</w:t>
      </w:r>
    </w:p>
    <w:p>
      <w:pPr>
        <w:spacing w:after="0" w:line="7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480" w:right="1440" w:bottom="1440" w:gutter="0" w:footer="0" w:header="0"/>
        </w:sectPr>
      </w:pPr>
    </w:p>
    <w:bookmarkStart w:id="136" w:name="page137"/>
    <w:bookmarkEnd w:id="136"/>
    <w:p>
      <w:pPr>
        <w:ind w:left="1240" w:hanging="615"/>
        <w:spacing w:after="0"/>
        <w:tabs>
          <w:tab w:leader="none" w:pos="124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LAWS, RULES AND REGULATIONS</w:t>
      </w:r>
    </w:p>
    <w:p>
      <w:pPr>
        <w:spacing w:after="0" w:line="204" w:lineRule="exact"/>
        <w:rPr>
          <w:sz w:val="20"/>
          <w:szCs w:val="20"/>
          <w:color w:val="auto"/>
        </w:rPr>
      </w:pPr>
    </w:p>
    <w:p>
      <w:pPr>
        <w:ind w:right="1959" w:firstLine="619"/>
        <w:spacing w:after="0" w:line="262" w:lineRule="auto"/>
        <w:rPr>
          <w:sz w:val="20"/>
          <w:szCs w:val="20"/>
          <w:color w:val="auto"/>
        </w:rPr>
      </w:pPr>
      <w:r>
        <w:rPr>
          <w:rFonts w:ascii="Courier New" w:cs="Courier New" w:eastAsia="Courier New" w:hAnsi="Courier New"/>
          <w:sz w:val="17"/>
          <w:szCs w:val="17"/>
          <w:color w:val="auto"/>
        </w:rPr>
        <w:t>Obeying the law, both in letter and in spirit, is the foundation on which this Company's ethical standards are built. All associates, employees, directors and officers must respect and obey the laws of the cities, states and countries in which we operate and the rules and regulations applicable to the Company's business. It is important that all associates and employees know enough about these laws, rules and regulations to determine when to seek advice from supervisors, managers or other appropriate personnel who should consult with the CFO or CEO as necessary or appropriate. Compliance with the law does not obviate the need to act with the highest honest and ethical standards.</w:t>
      </w:r>
    </w:p>
    <w:p>
      <w:pPr>
        <w:spacing w:after="0" w:line="92" w:lineRule="exact"/>
        <w:rPr>
          <w:sz w:val="20"/>
          <w:szCs w:val="20"/>
          <w:color w:val="auto"/>
        </w:rPr>
      </w:pPr>
    </w:p>
    <w:p>
      <w:pPr>
        <w:ind w:right="2159" w:firstLine="619"/>
        <w:spacing w:after="0" w:line="278" w:lineRule="auto"/>
        <w:rPr>
          <w:sz w:val="20"/>
          <w:szCs w:val="20"/>
          <w:color w:val="auto"/>
        </w:rPr>
      </w:pPr>
      <w:r>
        <w:rPr>
          <w:rFonts w:ascii="Courier New" w:cs="Courier New" w:eastAsia="Courier New" w:hAnsi="Courier New"/>
          <w:sz w:val="17"/>
          <w:szCs w:val="17"/>
          <w:color w:val="auto"/>
        </w:rPr>
        <w:t>To promote compliance with laws, rules, regulations and the policies of the Company, including insider trading rules, other securities laws, and anti-discrimination and anti-harassment laws and policies, the Company has established various compliance policies and procedures and, where appropriate, may conduct information and training sessions.</w:t>
      </w:r>
    </w:p>
    <w:p>
      <w:pPr>
        <w:spacing w:after="0" w:line="75" w:lineRule="exact"/>
        <w:rPr>
          <w:sz w:val="20"/>
          <w:szCs w:val="20"/>
          <w:color w:val="auto"/>
        </w:rPr>
      </w:pPr>
    </w:p>
    <w:p>
      <w:pPr>
        <w:ind w:left="1240" w:hanging="615"/>
        <w:spacing w:after="0"/>
        <w:tabs>
          <w:tab w:leader="none" w:pos="1240"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CONFLICT OF INTEREST</w:t>
      </w:r>
    </w:p>
    <w:p>
      <w:pPr>
        <w:spacing w:after="0" w:line="204" w:lineRule="exact"/>
        <w:rPr>
          <w:sz w:val="20"/>
          <w:szCs w:val="20"/>
          <w:color w:val="auto"/>
        </w:rPr>
      </w:pPr>
    </w:p>
    <w:p>
      <w:pPr>
        <w:ind w:right="1959" w:firstLine="619"/>
        <w:spacing w:after="0" w:line="258" w:lineRule="auto"/>
        <w:rPr>
          <w:sz w:val="20"/>
          <w:szCs w:val="20"/>
          <w:color w:val="auto"/>
        </w:rPr>
      </w:pPr>
      <w:r>
        <w:rPr>
          <w:rFonts w:ascii="Courier New" w:cs="Courier New" w:eastAsia="Courier New" w:hAnsi="Courier New"/>
          <w:sz w:val="17"/>
          <w:szCs w:val="17"/>
          <w:color w:val="auto"/>
        </w:rPr>
        <w:t>A "conflict of interest" exists when a person's personal private interest interferes in any way - or even appears to interfere in any way - with the interests of the Company. A conflict situation can arise when an associate, employee, officer or director takes actions or has interests in connection with or as a result of a material transaction or relationship that may make it difficult for him or her or others to perform work or make decisions objectively and effectively in the Company's interest. Conflicts of interest may also arise when an associate, employee, officer or director, or members of his or her family, receives improper personal benefits as a result of his or her position in the Company. Conflicts of interest, unless approved in accordance with this Code, as applicable, are prohibited as a matter of Company policy. Examples include the following:</w:t>
      </w:r>
    </w:p>
    <w:p>
      <w:pPr>
        <w:spacing w:after="0" w:line="95" w:lineRule="exact"/>
        <w:rPr>
          <w:sz w:val="20"/>
          <w:szCs w:val="20"/>
          <w:color w:val="auto"/>
        </w:rPr>
      </w:pPr>
    </w:p>
    <w:p>
      <w:pPr>
        <w:ind w:left="1860" w:hanging="616"/>
        <w:spacing w:after="0"/>
        <w:tabs>
          <w:tab w:leader="none" w:pos="186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EMPLOYMENT/OUTSIDE EMPLOYMENT</w:t>
      </w:r>
    </w:p>
    <w:p>
      <w:pPr>
        <w:spacing w:after="0" w:line="204" w:lineRule="exact"/>
        <w:rPr>
          <w:sz w:val="20"/>
          <w:szCs w:val="20"/>
          <w:color w:val="auto"/>
        </w:rPr>
      </w:pPr>
    </w:p>
    <w:p>
      <w:pPr>
        <w:ind w:right="1959" w:firstLine="619"/>
        <w:spacing w:after="0" w:line="262" w:lineRule="auto"/>
        <w:rPr>
          <w:sz w:val="20"/>
          <w:szCs w:val="20"/>
          <w:color w:val="auto"/>
        </w:rPr>
      </w:pPr>
      <w:r>
        <w:rPr>
          <w:rFonts w:ascii="Courier New" w:cs="Courier New" w:eastAsia="Courier New" w:hAnsi="Courier New"/>
          <w:sz w:val="17"/>
          <w:szCs w:val="17"/>
          <w:color w:val="auto"/>
        </w:rPr>
        <w:t>In consideration of their employment with the Company, employees are expected to devote their full attention to the business interests of the Company. Employees are prohibited from engaging in any activity that interferes with their performance or responsibilities to the Company or is otherwise in conflict with or prejudicial to the Company. Our policies prohibit any employee from accepting simultaneous employment with a client, credit source, supplier, or competitor, or from taking part in any activity that enhances or supports a competitor's position. If you have any questions regarding this requirement, you should contact the Manager of Human Resources.</w:t>
      </w:r>
    </w:p>
    <w:p>
      <w:pPr>
        <w:spacing w:after="0" w:line="92" w:lineRule="exact"/>
        <w:rPr>
          <w:sz w:val="20"/>
          <w:szCs w:val="20"/>
          <w:color w:val="auto"/>
        </w:rPr>
      </w:pPr>
    </w:p>
    <w:p>
      <w:pPr>
        <w:ind w:left="1860" w:hanging="616"/>
        <w:spacing w:after="0"/>
        <w:tabs>
          <w:tab w:leader="none" w:pos="186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OUTSIDE DIRECTORSHIPS</w:t>
      </w:r>
    </w:p>
    <w:p>
      <w:pPr>
        <w:spacing w:after="0" w:line="204" w:lineRule="exact"/>
        <w:rPr>
          <w:sz w:val="20"/>
          <w:szCs w:val="20"/>
          <w:color w:val="auto"/>
        </w:rPr>
      </w:pPr>
    </w:p>
    <w:p>
      <w:pPr>
        <w:ind w:right="1959" w:firstLine="619"/>
        <w:spacing w:after="0" w:line="271" w:lineRule="auto"/>
        <w:rPr>
          <w:sz w:val="20"/>
          <w:szCs w:val="20"/>
          <w:color w:val="auto"/>
        </w:rPr>
      </w:pPr>
      <w:r>
        <w:rPr>
          <w:rFonts w:ascii="Courier New" w:cs="Courier New" w:eastAsia="Courier New" w:hAnsi="Courier New"/>
          <w:sz w:val="17"/>
          <w:szCs w:val="17"/>
          <w:color w:val="auto"/>
        </w:rPr>
        <w:t>It is a conflict of interest to serve as a director of any company that competes with the Company. Employees may not serve as a director of another company without first obtaining the approval of the Company's CEO. Directors of the Company are required to review with the Company's Board of Directors and the Company's Secretary other proposed directorships to confirm that accepting such directorship is consistent with the Company's Corporate Governance Guidelines.</w:t>
      </w:r>
    </w:p>
    <w:p>
      <w:pPr>
        <w:spacing w:after="0" w:line="84"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480" w:right="1440" w:bottom="1440" w:gutter="0" w:footer="0" w:header="0"/>
        </w:sectPr>
      </w:pPr>
    </w:p>
    <w:bookmarkStart w:id="137" w:name="page138"/>
    <w:bookmarkEnd w:id="137"/>
    <w:p>
      <w:pPr>
        <w:ind w:left="1860" w:hanging="616"/>
        <w:spacing w:after="0"/>
        <w:tabs>
          <w:tab w:leader="none" w:pos="186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INTERESTS</w:t>
      </w:r>
    </w:p>
    <w:p>
      <w:pPr>
        <w:spacing w:after="0" w:line="204" w:lineRule="exact"/>
        <w:rPr>
          <w:sz w:val="20"/>
          <w:szCs w:val="20"/>
          <w:color w:val="auto"/>
        </w:rPr>
      </w:pPr>
    </w:p>
    <w:p>
      <w:pPr>
        <w:ind w:right="1959" w:firstLine="619"/>
        <w:spacing w:after="0" w:line="256" w:lineRule="auto"/>
        <w:rPr>
          <w:sz w:val="20"/>
          <w:szCs w:val="20"/>
          <w:color w:val="auto"/>
        </w:rPr>
      </w:pPr>
      <w:r>
        <w:rPr>
          <w:rFonts w:ascii="Courier New" w:cs="Courier New" w:eastAsia="Courier New" w:hAnsi="Courier New"/>
          <w:sz w:val="17"/>
          <w:szCs w:val="17"/>
          <w:color w:val="auto"/>
        </w:rPr>
        <w:t>If you are considering investing in a client, credit source, supplier or competitor, great care must be taken to ensure that these investments do not compromise your responsibilities to the Company. The term "interest" includes any financial interest, direct or indirect, whether a stockholder, partner or other type of owner. Many factors should be considered in determining whether a conflict exists, including the size and nature of the investment; your ability to influence the Company's decisions; your access to confidential information of the Company or of the other company; and the nature of the relationship between the Company and the other company. The Audit Committee of the Company's Board of Directors and the CEO must approve in advance any such investment, other than purchases of not more than one-half of one percent of the total outstanding shares of such enterprise or entity if it is a publicly owned corporation. The term "publicly-owned corporation" means a corporation having a substantial number of stockholders and for which the shares are listed on a national securities exchange or are frequently traded on the over-the-counter market.</w:t>
      </w:r>
    </w:p>
    <w:p>
      <w:pPr>
        <w:spacing w:after="0" w:line="94" w:lineRule="exact"/>
        <w:rPr>
          <w:sz w:val="20"/>
          <w:szCs w:val="20"/>
          <w:color w:val="auto"/>
        </w:rPr>
      </w:pPr>
    </w:p>
    <w:p>
      <w:pPr>
        <w:ind w:left="1860" w:hanging="616"/>
        <w:spacing w:after="0"/>
        <w:tabs>
          <w:tab w:leader="none" w:pos="186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RELATED PARTIES</w:t>
      </w:r>
    </w:p>
    <w:p>
      <w:pPr>
        <w:spacing w:after="0" w:line="204" w:lineRule="exact"/>
        <w:rPr>
          <w:sz w:val="20"/>
          <w:szCs w:val="20"/>
          <w:color w:val="auto"/>
        </w:rPr>
      </w:pPr>
    </w:p>
    <w:p>
      <w:pPr>
        <w:ind w:right="1959" w:firstLine="619"/>
        <w:spacing w:after="0" w:line="260" w:lineRule="auto"/>
        <w:rPr>
          <w:sz w:val="20"/>
          <w:szCs w:val="20"/>
          <w:color w:val="auto"/>
        </w:rPr>
      </w:pPr>
      <w:r>
        <w:rPr>
          <w:rFonts w:ascii="Courier New" w:cs="Courier New" w:eastAsia="Courier New" w:hAnsi="Courier New"/>
          <w:sz w:val="17"/>
          <w:szCs w:val="17"/>
          <w:color w:val="auto"/>
        </w:rPr>
        <w:t>As a general rule, you should avoid conducting business or engaging in a transaction on behalf of the Company with a family member or significant other, or with a company or firm with which you or a family member or significant other is a significant owner or associated or employed in a significant role or position. "Family members" include any person related by blood, adoption or marriage, including grandparents, aunts, uncles, nieces, nephews, cousins, stepchildren, stepparents, and in-laws. "Significant others" include co-habitants, domestic partners, and persons with whom an employee has (or reasonably expects to have) a consensual romantic, sexual, intimate or dating relationship.</w:t>
      </w:r>
    </w:p>
    <w:p>
      <w:pPr>
        <w:spacing w:after="0" w:line="96" w:lineRule="exact"/>
        <w:rPr>
          <w:sz w:val="20"/>
          <w:szCs w:val="20"/>
          <w:color w:val="auto"/>
        </w:rPr>
      </w:pPr>
    </w:p>
    <w:p>
      <w:pPr>
        <w:ind w:right="1959" w:firstLine="619"/>
        <w:spacing w:after="0" w:line="256" w:lineRule="auto"/>
        <w:rPr>
          <w:sz w:val="20"/>
          <w:szCs w:val="20"/>
          <w:color w:val="auto"/>
        </w:rPr>
      </w:pPr>
      <w:r>
        <w:rPr>
          <w:rFonts w:ascii="Courier New" w:cs="Courier New" w:eastAsia="Courier New" w:hAnsi="Courier New"/>
          <w:sz w:val="17"/>
          <w:szCs w:val="17"/>
          <w:color w:val="auto"/>
        </w:rPr>
        <w:t>The Audit Committee must review and approve in advance all material related party transactions or business or professional relationships. All instances involving such potential related party transactions or business or professional relationships must be reported to the CFO who will assess the materiality of the transaction or relationship and elevate the matter to the Audit Committee as appropriate. You must not enter into, develop or continue any such material transaction or relationship without obtaining such prior Audit Committee approval. The Company must report all material related party transactions and business or professional relationships under applicable accounting rules and the Securities and Exchange Commission's (the "SEC") rules and regulations. Any dealings with a related party must be conducted in such a way as to avoid preferential treatment and assure that the terms obtained by the Company are no less favorable than could be obtained from unrelated parties on an arm's-length basis.</w:t>
      </w:r>
    </w:p>
    <w:p>
      <w:pPr>
        <w:spacing w:after="0" w:line="101" w:lineRule="exact"/>
        <w:rPr>
          <w:sz w:val="20"/>
          <w:szCs w:val="20"/>
          <w:color w:val="auto"/>
        </w:rPr>
      </w:pPr>
    </w:p>
    <w:p>
      <w:pPr>
        <w:ind w:right="1959" w:firstLine="619"/>
        <w:spacing w:after="0" w:line="288" w:lineRule="auto"/>
        <w:rPr>
          <w:sz w:val="20"/>
          <w:szCs w:val="20"/>
          <w:color w:val="auto"/>
        </w:rPr>
      </w:pPr>
      <w:r>
        <w:rPr>
          <w:rFonts w:ascii="Courier New" w:cs="Courier New" w:eastAsia="Courier New" w:hAnsi="Courier New"/>
          <w:sz w:val="17"/>
          <w:szCs w:val="17"/>
          <w:color w:val="auto"/>
        </w:rPr>
        <w:t>Conflicts of interest or the material nature of a transaction or relationship may not always be clear-cut; if questions arise, you should consult with management before entering into, developing or continuing a transaction that could reasonably be expected to give rise to a conflict of interest.</w:t>
      </w:r>
    </w:p>
    <w:p>
      <w:pPr>
        <w:spacing w:after="0" w:line="68" w:lineRule="exact"/>
        <w:rPr>
          <w:sz w:val="20"/>
          <w:szCs w:val="20"/>
          <w:color w:val="auto"/>
        </w:rPr>
      </w:pPr>
    </w:p>
    <w:p>
      <w:pPr>
        <w:ind w:left="1860" w:hanging="616"/>
        <w:spacing w:after="0"/>
        <w:tabs>
          <w:tab w:leader="none" w:pos="186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SITUATIONS</w:t>
      </w:r>
    </w:p>
    <w:p>
      <w:pPr>
        <w:spacing w:after="0" w:line="204" w:lineRule="exact"/>
        <w:rPr>
          <w:sz w:val="20"/>
          <w:szCs w:val="20"/>
          <w:color w:val="auto"/>
        </w:rPr>
      </w:pPr>
    </w:p>
    <w:p>
      <w:pPr>
        <w:ind w:right="2059" w:firstLine="619"/>
        <w:spacing w:after="0" w:line="288" w:lineRule="auto"/>
        <w:rPr>
          <w:sz w:val="20"/>
          <w:szCs w:val="20"/>
          <w:color w:val="auto"/>
        </w:rPr>
      </w:pPr>
      <w:r>
        <w:rPr>
          <w:rFonts w:ascii="Courier New" w:cs="Courier New" w:eastAsia="Courier New" w:hAnsi="Courier New"/>
          <w:sz w:val="17"/>
          <w:szCs w:val="17"/>
          <w:color w:val="auto"/>
        </w:rPr>
        <w:t>Because other conflicts of interest may arise, it would be impractical to attempt to list all possible situations. Any affiliate, employee, officer or director who becomes aware of a conflict of interest or a potential conflict of interest should bring it to the attention of a supervisor,</w:t>
      </w:r>
    </w:p>
    <w:p>
      <w:pPr>
        <w:spacing w:after="0" w:line="68"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480" w:right="1440" w:bottom="1440" w:gutter="0" w:footer="0" w:header="0"/>
        </w:sectPr>
      </w:pPr>
    </w:p>
    <w:bookmarkStart w:id="138" w:name="page139"/>
    <w:bookmarkEnd w:id="138"/>
    <w:p>
      <w:pPr>
        <w:ind w:right="2259"/>
        <w:spacing w:after="0" w:line="370" w:lineRule="auto"/>
        <w:rPr>
          <w:sz w:val="20"/>
          <w:szCs w:val="20"/>
          <w:color w:val="auto"/>
        </w:rPr>
      </w:pPr>
      <w:r>
        <w:rPr>
          <w:rFonts w:ascii="Courier New" w:cs="Courier New" w:eastAsia="Courier New" w:hAnsi="Courier New"/>
          <w:sz w:val="17"/>
          <w:szCs w:val="17"/>
          <w:color w:val="auto"/>
        </w:rPr>
        <w:t>manager or other appropriate personnel or consult the guidelines described in Section 21 of this Code.</w:t>
      </w:r>
    </w:p>
    <w:p>
      <w:pPr>
        <w:spacing w:after="0" w:line="2" w:lineRule="exact"/>
        <w:rPr>
          <w:sz w:val="20"/>
          <w:szCs w:val="20"/>
          <w:color w:val="auto"/>
        </w:rPr>
      </w:pPr>
    </w:p>
    <w:p>
      <w:pPr>
        <w:ind w:left="1240" w:hanging="615"/>
        <w:spacing w:after="0"/>
        <w:tabs>
          <w:tab w:leader="none" w:pos="124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PROTECTION AND PROPER USE OF COMPANY ASSETS</w:t>
      </w:r>
    </w:p>
    <w:p>
      <w:pPr>
        <w:spacing w:after="0" w:line="204" w:lineRule="exact"/>
        <w:rPr>
          <w:sz w:val="20"/>
          <w:szCs w:val="20"/>
          <w:color w:val="auto"/>
        </w:rPr>
      </w:pPr>
    </w:p>
    <w:p>
      <w:pPr>
        <w:ind w:right="1959" w:firstLine="619"/>
        <w:spacing w:after="0" w:line="258" w:lineRule="auto"/>
        <w:rPr>
          <w:sz w:val="20"/>
          <w:szCs w:val="20"/>
          <w:color w:val="auto"/>
        </w:rPr>
      </w:pPr>
      <w:r>
        <w:rPr>
          <w:rFonts w:ascii="Courier New" w:cs="Courier New" w:eastAsia="Courier New" w:hAnsi="Courier New"/>
          <w:sz w:val="17"/>
          <w:szCs w:val="17"/>
          <w:color w:val="auto"/>
        </w:rPr>
        <w:t>The Company is committed to the protection of its assets. Theft, carelessness, and waste have a direct impact on the Company's profitability. All associates, employees and officers have the responsibility to report to management the Company's vulnerability to theft and for recommending any controls necessary to reasonably protect company assets. In addition, associates, employees and officers are not authorized to use any merchandise, equipment, furnishings, or other item or property belonging to the Company or any of its divisions for any purpose other than the furtherance of the enterprise of the Company. This restriction applies especially to the use of such property for any purpose that is or could be competitive with the Company's interests. Any suspected incident of fraud or theft should be immediately reported for investigation pursuant to Section 21 of this Code.</w:t>
      </w:r>
    </w:p>
    <w:p>
      <w:pPr>
        <w:spacing w:after="0" w:line="95" w:lineRule="exact"/>
        <w:rPr>
          <w:sz w:val="20"/>
          <w:szCs w:val="20"/>
          <w:color w:val="auto"/>
        </w:rPr>
      </w:pPr>
    </w:p>
    <w:p>
      <w:pPr>
        <w:ind w:right="2379" w:firstLine="619"/>
        <w:spacing w:after="0" w:line="370" w:lineRule="auto"/>
        <w:rPr>
          <w:sz w:val="20"/>
          <w:szCs w:val="20"/>
          <w:color w:val="auto"/>
        </w:rPr>
      </w:pPr>
      <w:r>
        <w:rPr>
          <w:rFonts w:ascii="Courier New" w:cs="Courier New" w:eastAsia="Courier New" w:hAnsi="Courier New"/>
          <w:sz w:val="17"/>
          <w:szCs w:val="17"/>
          <w:color w:val="auto"/>
        </w:rPr>
        <w:t>The theft or misuse of the Company's assets of any kind, no matter how slight, by anyone at any level is prohibited.</w:t>
      </w:r>
    </w:p>
    <w:p>
      <w:pPr>
        <w:spacing w:after="0" w:line="2" w:lineRule="exact"/>
        <w:rPr>
          <w:sz w:val="20"/>
          <w:szCs w:val="20"/>
          <w:color w:val="auto"/>
        </w:rPr>
      </w:pPr>
    </w:p>
    <w:p>
      <w:pPr>
        <w:ind w:right="1959" w:firstLine="619"/>
        <w:spacing w:after="0" w:line="264" w:lineRule="auto"/>
        <w:rPr>
          <w:sz w:val="20"/>
          <w:szCs w:val="20"/>
          <w:color w:val="auto"/>
        </w:rPr>
      </w:pPr>
      <w:r>
        <w:rPr>
          <w:rFonts w:ascii="Courier New" w:cs="Courier New" w:eastAsia="Courier New" w:hAnsi="Courier New"/>
          <w:sz w:val="17"/>
          <w:szCs w:val="17"/>
          <w:color w:val="auto"/>
        </w:rPr>
        <w:t>The obligation of associates, employees, directors and officers to protect the Company's assets includes its proprietary information. Proprietary information includes intellectual property such as trade secrets, patents, trademarks and copyrights, as well as business, marketing and service plans, designs, databases, records, salary information and any unpublished financial data and reports. Unauthorized use or distribution of this information would violate Company policy. It could also be illegal and result in civil or even criminal penalties.</w:t>
      </w:r>
    </w:p>
    <w:p>
      <w:pPr>
        <w:spacing w:after="0" w:line="91" w:lineRule="exact"/>
        <w:rPr>
          <w:sz w:val="20"/>
          <w:szCs w:val="20"/>
          <w:color w:val="auto"/>
        </w:rPr>
      </w:pPr>
    </w:p>
    <w:p>
      <w:pPr>
        <w:ind w:right="1959" w:firstLine="619"/>
        <w:spacing w:after="0" w:line="278" w:lineRule="auto"/>
        <w:rPr>
          <w:sz w:val="20"/>
          <w:szCs w:val="20"/>
          <w:color w:val="auto"/>
        </w:rPr>
      </w:pPr>
      <w:r>
        <w:rPr>
          <w:rFonts w:ascii="Courier New" w:cs="Courier New" w:eastAsia="Courier New" w:hAnsi="Courier New"/>
          <w:sz w:val="17"/>
          <w:szCs w:val="17"/>
          <w:color w:val="auto"/>
        </w:rPr>
        <w:t>Unauthorized duplication of copyrighted documents or computer software violates the law. You must neither engage in nor tolerate the making or using of unauthorized documents or software copies and must comply with all license and purchase terms regulating the use of any document or software. The Company will provide all documents and software needed to meet legitimate needs.</w:t>
      </w:r>
    </w:p>
    <w:p>
      <w:pPr>
        <w:spacing w:after="0" w:line="75" w:lineRule="exact"/>
        <w:rPr>
          <w:sz w:val="20"/>
          <w:szCs w:val="20"/>
          <w:color w:val="auto"/>
        </w:rPr>
      </w:pPr>
    </w:p>
    <w:p>
      <w:pPr>
        <w:ind w:left="1240" w:hanging="615"/>
        <w:spacing w:after="0"/>
        <w:tabs>
          <w:tab w:leader="none" w:pos="124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CHARITABLE CONTRIBUTIONS</w:t>
      </w:r>
    </w:p>
    <w:p>
      <w:pPr>
        <w:spacing w:after="0" w:line="204" w:lineRule="exact"/>
        <w:rPr>
          <w:sz w:val="20"/>
          <w:szCs w:val="20"/>
          <w:color w:val="auto"/>
        </w:rPr>
      </w:pPr>
    </w:p>
    <w:p>
      <w:pPr>
        <w:ind w:right="1959" w:firstLine="619"/>
        <w:spacing w:after="0" w:line="271" w:lineRule="auto"/>
        <w:rPr>
          <w:sz w:val="20"/>
          <w:szCs w:val="20"/>
          <w:color w:val="auto"/>
        </w:rPr>
      </w:pPr>
      <w:r>
        <w:rPr>
          <w:rFonts w:ascii="Courier New" w:cs="Courier New" w:eastAsia="Courier New" w:hAnsi="Courier New"/>
          <w:sz w:val="17"/>
          <w:szCs w:val="17"/>
          <w:color w:val="auto"/>
        </w:rPr>
        <w:t>No associate, employee, director or officer may personally solicit contributions from any charity or similar organized endeavor unless approved by the Chief Executive Officer. Associates are permitted and encouraged to accept positions of responsibility in fund raising activities of well-organized and worthy charitable organizations, but the use of supplier lists for solicitations is strictly prohibited.</w:t>
      </w:r>
    </w:p>
    <w:p>
      <w:pPr>
        <w:spacing w:after="0" w:line="84" w:lineRule="exact"/>
        <w:rPr>
          <w:sz w:val="20"/>
          <w:szCs w:val="20"/>
          <w:color w:val="auto"/>
        </w:rPr>
      </w:pPr>
    </w:p>
    <w:p>
      <w:pPr>
        <w:ind w:left="1240" w:hanging="615"/>
        <w:spacing w:after="0"/>
        <w:tabs>
          <w:tab w:leader="none" w:pos="124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INSIDER TRADING</w:t>
      </w:r>
    </w:p>
    <w:p>
      <w:pPr>
        <w:spacing w:after="0" w:line="204" w:lineRule="exact"/>
        <w:rPr>
          <w:sz w:val="20"/>
          <w:szCs w:val="20"/>
          <w:color w:val="auto"/>
        </w:rPr>
      </w:pPr>
    </w:p>
    <w:p>
      <w:pPr>
        <w:ind w:right="1959" w:firstLine="619"/>
        <w:spacing w:after="0" w:line="258" w:lineRule="auto"/>
        <w:rPr>
          <w:sz w:val="20"/>
          <w:szCs w:val="20"/>
          <w:color w:val="auto"/>
        </w:rPr>
      </w:pPr>
      <w:r>
        <w:rPr>
          <w:rFonts w:ascii="Courier New" w:cs="Courier New" w:eastAsia="Courier New" w:hAnsi="Courier New"/>
          <w:sz w:val="17"/>
          <w:szCs w:val="17"/>
          <w:color w:val="auto"/>
        </w:rPr>
        <w:t>Associates, employees, officers and directors who have access to confidential information are not permitted to use or share that information for stock trading purposes or for any other purpose except the conduct of our business. All non-public information about the Company should be considered confidential information. To use non-public information about the Company or any other company for personal financial benefit or to "tip" others who might make an investment decision on the basis of this information is not only unethical but also illegal. Please refer to the Company's Statement of Company Policy Regarding Securities Trades. The purpose of such policy is to inform you of your legal responsibilities to make clear to you that the misuse of sensitive information is contrary to Company policies and to set forth procedures with respect to trading in the Company's securities.</w:t>
      </w:r>
    </w:p>
    <w:p>
      <w:pPr>
        <w:spacing w:after="0" w:line="95"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480" w:right="1440" w:bottom="1440" w:gutter="0" w:footer="0" w:header="0"/>
        </w:sectPr>
      </w:pPr>
    </w:p>
    <w:bookmarkStart w:id="139" w:name="page140"/>
    <w:bookmarkEnd w:id="139"/>
    <w:p>
      <w:pPr>
        <w:ind w:left="1240" w:hanging="615"/>
        <w:spacing w:after="0"/>
        <w:tabs>
          <w:tab w:leader="none" w:pos="124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PUBLIC DISCLOSURE</w:t>
      </w:r>
    </w:p>
    <w:p>
      <w:pPr>
        <w:spacing w:after="0" w:line="204" w:lineRule="exact"/>
        <w:rPr>
          <w:sz w:val="20"/>
          <w:szCs w:val="20"/>
          <w:color w:val="auto"/>
        </w:rPr>
      </w:pPr>
    </w:p>
    <w:p>
      <w:pPr>
        <w:ind w:right="1959" w:firstLine="619"/>
        <w:spacing w:after="0" w:line="256" w:lineRule="auto"/>
        <w:rPr>
          <w:sz w:val="20"/>
          <w:szCs w:val="20"/>
          <w:color w:val="auto"/>
        </w:rPr>
      </w:pPr>
      <w:r>
        <w:rPr>
          <w:rFonts w:ascii="Courier New" w:cs="Courier New" w:eastAsia="Courier New" w:hAnsi="Courier New"/>
          <w:sz w:val="17"/>
          <w:szCs w:val="17"/>
          <w:color w:val="auto"/>
        </w:rPr>
        <w:t>The Company is committed to providing full, fair, accurate, timely and understandable disclosure in the periodic reports and other information it files with or submits to the SEC and in other public communications, such as press releases, earnings conference calls and industry conferences, made by the Company. In meeting such standards for disclosure, the Company's executive officers and directors shall at all times strive to comply with the Company's disclosure obligations and, as necessary, appropriately consider and balance the need or desirability for confidentiality with respect to non-public negotiations or other business developments. The Company's CEO and CFO are responsible for establishing effective disclosure controls and procedures and internal controls over financial reporting within the meaning of applicable SEC rules and regulations. The Company expects the CEO and CFO to take a leadership role in implementing such controls and procedures and to position the Company to comply with its disclosure obligations and otherwise meet the foregoing standards for public disclosure.</w:t>
      </w:r>
    </w:p>
    <w:p>
      <w:pPr>
        <w:spacing w:after="0" w:line="94" w:lineRule="exact"/>
        <w:rPr>
          <w:sz w:val="20"/>
          <w:szCs w:val="20"/>
          <w:color w:val="auto"/>
        </w:rPr>
      </w:pPr>
    </w:p>
    <w:p>
      <w:pPr>
        <w:ind w:right="2059" w:firstLine="619"/>
        <w:spacing w:after="0" w:line="308" w:lineRule="auto"/>
        <w:rPr>
          <w:sz w:val="20"/>
          <w:szCs w:val="20"/>
          <w:color w:val="auto"/>
        </w:rPr>
      </w:pPr>
      <w:r>
        <w:rPr>
          <w:rFonts w:ascii="Courier New" w:cs="Courier New" w:eastAsia="Courier New" w:hAnsi="Courier New"/>
          <w:sz w:val="17"/>
          <w:szCs w:val="17"/>
          <w:color w:val="auto"/>
        </w:rPr>
        <w:t>No associate, employee, officer or director should interfere with, hinder or obstruct the Company's efforts to meet the standards for public disclosure set forth above.</w:t>
      </w:r>
    </w:p>
    <w:p>
      <w:pPr>
        <w:spacing w:after="0" w:line="52" w:lineRule="exact"/>
        <w:rPr>
          <w:sz w:val="20"/>
          <w:szCs w:val="20"/>
          <w:color w:val="auto"/>
        </w:rPr>
      </w:pPr>
    </w:p>
    <w:p>
      <w:pPr>
        <w:ind w:left="1240" w:hanging="615"/>
        <w:spacing w:after="0"/>
        <w:tabs>
          <w:tab w:leader="none" w:pos="124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OPPORTUNITIES</w:t>
      </w:r>
    </w:p>
    <w:p>
      <w:pPr>
        <w:spacing w:after="0" w:line="204" w:lineRule="exact"/>
        <w:rPr>
          <w:sz w:val="20"/>
          <w:szCs w:val="20"/>
          <w:color w:val="auto"/>
        </w:rPr>
      </w:pPr>
    </w:p>
    <w:p>
      <w:pPr>
        <w:ind w:right="1959" w:firstLine="619"/>
        <w:spacing w:after="0" w:line="262" w:lineRule="auto"/>
        <w:rPr>
          <w:sz w:val="20"/>
          <w:szCs w:val="20"/>
          <w:color w:val="auto"/>
        </w:rPr>
      </w:pPr>
      <w:r>
        <w:rPr>
          <w:rFonts w:ascii="Courier New" w:cs="Courier New" w:eastAsia="Courier New" w:hAnsi="Courier New"/>
          <w:sz w:val="17"/>
          <w:szCs w:val="17"/>
          <w:color w:val="auto"/>
        </w:rPr>
        <w:t>Associates, employees, officers and directors are prohibited from exploiting for their own personal gain opportunities that are discovered through the use of corporate property, information or position unless the opportunity is fully disclosed to the Board of Directors and the Board of Directors declines to pursue such opportunity. No associate, employee, officer or director may use corporate property, information, or position for improper personal gain, and no employee may compete with the Company directly or indirectly. Associates, employees, officers and directors owe a duty to the Company to advance the Company's legitimate interest when the opportunity to do so arises.</w:t>
      </w:r>
    </w:p>
    <w:p>
      <w:pPr>
        <w:spacing w:after="0" w:line="92" w:lineRule="exact"/>
        <w:rPr>
          <w:sz w:val="20"/>
          <w:szCs w:val="20"/>
          <w:color w:val="auto"/>
        </w:rPr>
      </w:pPr>
    </w:p>
    <w:p>
      <w:pPr>
        <w:ind w:left="1240" w:hanging="615"/>
        <w:spacing w:after="0"/>
        <w:tabs>
          <w:tab w:leader="none" w:pos="124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COMPETITION AND FAIR DEALING</w:t>
      </w:r>
    </w:p>
    <w:p>
      <w:pPr>
        <w:spacing w:after="0" w:line="204" w:lineRule="exact"/>
        <w:rPr>
          <w:sz w:val="20"/>
          <w:szCs w:val="20"/>
          <w:color w:val="auto"/>
        </w:rPr>
      </w:pPr>
    </w:p>
    <w:p>
      <w:pPr>
        <w:ind w:right="2059" w:firstLine="619"/>
        <w:spacing w:after="0" w:line="259" w:lineRule="auto"/>
        <w:rPr>
          <w:sz w:val="20"/>
          <w:szCs w:val="20"/>
          <w:color w:val="auto"/>
        </w:rPr>
      </w:pPr>
      <w:r>
        <w:rPr>
          <w:rFonts w:ascii="Courier New" w:cs="Courier New" w:eastAsia="Courier New" w:hAnsi="Courier New"/>
          <w:sz w:val="17"/>
          <w:szCs w:val="17"/>
          <w:color w:val="auto"/>
        </w:rPr>
        <w:t>We seek to outperform our competition fairly and honestly. We seek competitive advantages through superior performance, never through unethical or illegal business practices. Stealing proprietary information, possessing trade secret information that was obtained without the owner's consent, or inducing such disclosures by past or present employees of other companies is prohibited. Each associate, employee, director and officer should endeavor to respect the rights of and deal fairly with the Company's customers, suppliers, consultants, competitors and employees. No associate, employee, director or officer should take unfair advantage of anyone through manipulation, concealment, abuse of privileged information, misrepresentation of material facts, or any other intentional unfair-dealing practice.</w:t>
      </w:r>
    </w:p>
    <w:p>
      <w:pPr>
        <w:spacing w:after="0" w:line="95" w:lineRule="exact"/>
        <w:rPr>
          <w:sz w:val="20"/>
          <w:szCs w:val="20"/>
          <w:color w:val="auto"/>
        </w:rPr>
      </w:pPr>
    </w:p>
    <w:p>
      <w:pPr>
        <w:ind w:left="1240" w:hanging="615"/>
        <w:spacing w:after="0"/>
        <w:tabs>
          <w:tab w:leader="none" w:pos="124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DISCRIMINATION AND HARASSMENT</w:t>
      </w:r>
    </w:p>
    <w:p>
      <w:pPr>
        <w:spacing w:after="0" w:line="204" w:lineRule="exact"/>
        <w:rPr>
          <w:sz w:val="20"/>
          <w:szCs w:val="20"/>
          <w:color w:val="auto"/>
        </w:rPr>
      </w:pPr>
    </w:p>
    <w:p>
      <w:pPr>
        <w:ind w:right="1959" w:firstLine="619"/>
        <w:spacing w:after="0" w:line="260" w:lineRule="auto"/>
        <w:rPr>
          <w:sz w:val="20"/>
          <w:szCs w:val="20"/>
          <w:color w:val="auto"/>
        </w:rPr>
      </w:pPr>
      <w:r>
        <w:rPr>
          <w:rFonts w:ascii="Courier New" w:cs="Courier New" w:eastAsia="Courier New" w:hAnsi="Courier New"/>
          <w:sz w:val="17"/>
          <w:szCs w:val="17"/>
          <w:color w:val="auto"/>
        </w:rPr>
        <w:t>The diversity of the Company's employees is a tremendous asset. It is the Company's policy to provide equal employment opportunity for all applicants and employees. The Company does not unlawfully discriminate on the basis of race, color, religion, sex (including pregnancy, childbirth, or related medical conditions), national origin, age, disability, marital status, veteran status, or any other basis prohibited under federal, state or local law. In addition, the Company is committed to providing a workplace free of unlawful harassment. This includes not only sexual harassment, but also harassment on any of the bases set forth above. The Company strongly disapproves of and will not tolerate harassment of employees by managers,</w:t>
      </w:r>
    </w:p>
    <w:p>
      <w:pPr>
        <w:spacing w:after="0" w:line="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480" w:right="1440" w:bottom="1440" w:gutter="0" w:footer="0" w:header="0"/>
        </w:sectPr>
      </w:pPr>
    </w:p>
    <w:bookmarkStart w:id="140" w:name="page141"/>
    <w:bookmarkEnd w:id="140"/>
    <w:p>
      <w:pPr>
        <w:ind w:right="2059"/>
        <w:spacing w:after="0" w:line="278" w:lineRule="auto"/>
        <w:rPr>
          <w:sz w:val="20"/>
          <w:szCs w:val="20"/>
          <w:color w:val="auto"/>
        </w:rPr>
      </w:pPr>
      <w:r>
        <w:rPr>
          <w:rFonts w:ascii="Courier New" w:cs="Courier New" w:eastAsia="Courier New" w:hAnsi="Courier New"/>
          <w:sz w:val="17"/>
          <w:szCs w:val="17"/>
          <w:color w:val="auto"/>
        </w:rPr>
        <w:t>supervisors, co-workers or non-employees. Similarly, the Company will not tolerate harassment by its employees of non-employees with whom Company employees have a business, service, or professional relationship. For information about the Company's policies against discrimination and harassment, please refer to the Company's Employee Handbook.</w:t>
      </w:r>
    </w:p>
    <w:p>
      <w:pPr>
        <w:spacing w:after="0" w:line="75" w:lineRule="exact"/>
        <w:rPr>
          <w:sz w:val="20"/>
          <w:szCs w:val="20"/>
          <w:color w:val="auto"/>
        </w:rPr>
      </w:pPr>
    </w:p>
    <w:p>
      <w:pPr>
        <w:ind w:right="1959" w:firstLine="619"/>
        <w:spacing w:after="0" w:line="267" w:lineRule="auto"/>
        <w:rPr>
          <w:sz w:val="20"/>
          <w:szCs w:val="20"/>
          <w:color w:val="auto"/>
        </w:rPr>
      </w:pPr>
      <w:r>
        <w:rPr>
          <w:rFonts w:ascii="Courier New" w:cs="Courier New" w:eastAsia="Courier New" w:hAnsi="Courier New"/>
          <w:sz w:val="17"/>
          <w:szCs w:val="17"/>
          <w:color w:val="auto"/>
        </w:rPr>
        <w:t>All of our employees deserve a positive work environment where they will be respected and we are committed to providing an environment that supports honesty, integrity, respect, trust and responsibility. All of our employees should contribute to the creation and maintenance of such an environment and our executive officers and management and supervisory personnel should take a leadership role in achieving a work environment that meets our diversity standards and is free from the fear of retribution.</w:t>
      </w:r>
    </w:p>
    <w:p>
      <w:pPr>
        <w:spacing w:after="0" w:line="88" w:lineRule="exact"/>
        <w:rPr>
          <w:sz w:val="20"/>
          <w:szCs w:val="20"/>
          <w:color w:val="auto"/>
        </w:rPr>
      </w:pPr>
    </w:p>
    <w:p>
      <w:pPr>
        <w:ind w:left="1240" w:hanging="615"/>
        <w:spacing w:after="0"/>
        <w:tabs>
          <w:tab w:leader="none" w:pos="1240"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HEALTH AND SAFETY</w:t>
      </w:r>
    </w:p>
    <w:p>
      <w:pPr>
        <w:spacing w:after="0" w:line="204" w:lineRule="exact"/>
        <w:rPr>
          <w:sz w:val="20"/>
          <w:szCs w:val="20"/>
          <w:color w:val="auto"/>
        </w:rPr>
      </w:pPr>
    </w:p>
    <w:p>
      <w:pPr>
        <w:ind w:right="2059" w:firstLine="619"/>
        <w:spacing w:after="0" w:line="278" w:lineRule="auto"/>
        <w:rPr>
          <w:sz w:val="20"/>
          <w:szCs w:val="20"/>
          <w:color w:val="auto"/>
        </w:rPr>
      </w:pPr>
      <w:r>
        <w:rPr>
          <w:rFonts w:ascii="Courier New" w:cs="Courier New" w:eastAsia="Courier New" w:hAnsi="Courier New"/>
          <w:sz w:val="17"/>
          <w:szCs w:val="17"/>
          <w:color w:val="auto"/>
        </w:rPr>
        <w:t>The Company strives to provide each employee with a safe and healthful work environment. Each employee has a responsibility for maintaining a safe and healthy workplace for all employees by following safety and health rules and practices and reporting accidents, injuries and unsafe equipment, practices or conditions.</w:t>
      </w:r>
    </w:p>
    <w:p>
      <w:pPr>
        <w:spacing w:after="0" w:line="75" w:lineRule="exact"/>
        <w:rPr>
          <w:sz w:val="20"/>
          <w:szCs w:val="20"/>
          <w:color w:val="auto"/>
        </w:rPr>
      </w:pPr>
    </w:p>
    <w:p>
      <w:pPr>
        <w:ind w:right="2579" w:firstLine="619"/>
        <w:spacing w:after="0" w:line="288" w:lineRule="auto"/>
        <w:rPr>
          <w:sz w:val="20"/>
          <w:szCs w:val="20"/>
          <w:color w:val="auto"/>
        </w:rPr>
      </w:pPr>
      <w:r>
        <w:rPr>
          <w:rFonts w:ascii="Courier New" w:cs="Courier New" w:eastAsia="Courier New" w:hAnsi="Courier New"/>
          <w:sz w:val="17"/>
          <w:szCs w:val="17"/>
          <w:color w:val="auto"/>
        </w:rPr>
        <w:t>Violence and threatening behavior are not permitted, and the use of illegal drugs or alcohol in the workplace will not be tolerated. Employees should report to work in condition to perform their duties, free from the influence of illegal drugs or alcohol.</w:t>
      </w:r>
    </w:p>
    <w:p>
      <w:pPr>
        <w:spacing w:after="0" w:line="68" w:lineRule="exact"/>
        <w:rPr>
          <w:sz w:val="20"/>
          <w:szCs w:val="20"/>
          <w:color w:val="auto"/>
        </w:rPr>
      </w:pPr>
    </w:p>
    <w:p>
      <w:pPr>
        <w:ind w:left="1240" w:hanging="615"/>
        <w:spacing w:after="0"/>
        <w:tabs>
          <w:tab w:leader="none" w:pos="1240"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RECORD-KEEPING</w:t>
      </w:r>
    </w:p>
    <w:p>
      <w:pPr>
        <w:spacing w:after="0" w:line="204" w:lineRule="exact"/>
        <w:rPr>
          <w:sz w:val="20"/>
          <w:szCs w:val="20"/>
          <w:color w:val="auto"/>
        </w:rPr>
      </w:pPr>
    </w:p>
    <w:p>
      <w:pPr>
        <w:ind w:right="2059" w:firstLine="619"/>
        <w:spacing w:after="0" w:line="271" w:lineRule="auto"/>
        <w:rPr>
          <w:sz w:val="20"/>
          <w:szCs w:val="20"/>
          <w:color w:val="auto"/>
        </w:rPr>
      </w:pPr>
      <w:r>
        <w:rPr>
          <w:rFonts w:ascii="Courier New" w:cs="Courier New" w:eastAsia="Courier New" w:hAnsi="Courier New"/>
          <w:sz w:val="17"/>
          <w:szCs w:val="17"/>
          <w:color w:val="auto"/>
        </w:rPr>
        <w:t>The purpose of this policy is to set forth and convey the Company's requirements in managing records, including all recorded information regardless of medium or characteristics. Records include paper documents, CDs, DVDs, computer hard disks, email, floppy disks, microfiche, microfilm or all other media. The Company requires honest and accurate recording and reporting of information in order to make responsible business decisions.</w:t>
      </w:r>
    </w:p>
    <w:p>
      <w:pPr>
        <w:spacing w:after="0" w:line="84" w:lineRule="exact"/>
        <w:rPr>
          <w:sz w:val="20"/>
          <w:szCs w:val="20"/>
          <w:color w:val="auto"/>
        </w:rPr>
      </w:pPr>
    </w:p>
    <w:p>
      <w:pPr>
        <w:ind w:right="2059" w:firstLine="619"/>
        <w:spacing w:after="0" w:line="278" w:lineRule="auto"/>
        <w:rPr>
          <w:sz w:val="20"/>
          <w:szCs w:val="20"/>
          <w:color w:val="auto"/>
        </w:rPr>
      </w:pPr>
      <w:r>
        <w:rPr>
          <w:rFonts w:ascii="Courier New" w:cs="Courier New" w:eastAsia="Courier New" w:hAnsi="Courier New"/>
          <w:sz w:val="17"/>
          <w:szCs w:val="17"/>
          <w:color w:val="auto"/>
        </w:rPr>
        <w:t>Many employees, officers and directors regularly use business expense accounts, which must be documented and recorded accurately. If you are not sure whether a certain expense is legitimate, ask your supervisor or contact the Company's CFO. Please refer to the Company's business travel policy for further information regarding business expenses.</w:t>
      </w:r>
    </w:p>
    <w:p>
      <w:pPr>
        <w:spacing w:after="0" w:line="75" w:lineRule="exact"/>
        <w:rPr>
          <w:sz w:val="20"/>
          <w:szCs w:val="20"/>
          <w:color w:val="auto"/>
        </w:rPr>
      </w:pPr>
    </w:p>
    <w:p>
      <w:pPr>
        <w:ind w:right="2059" w:firstLine="619"/>
        <w:spacing w:after="0" w:line="262" w:lineRule="auto"/>
        <w:rPr>
          <w:sz w:val="20"/>
          <w:szCs w:val="20"/>
          <w:color w:val="auto"/>
        </w:rPr>
      </w:pPr>
      <w:r>
        <w:rPr>
          <w:rFonts w:ascii="Courier New" w:cs="Courier New" w:eastAsia="Courier New" w:hAnsi="Courier New"/>
          <w:sz w:val="17"/>
          <w:szCs w:val="17"/>
          <w:color w:val="auto"/>
        </w:rPr>
        <w:t>The Company's responsibilities to its stockholders and the investing public require that all of the Company's books, records, accounts and financial statements must be maintained in reasonable detail, must appropriately reflect the Company's transactions and must conform both to applicable legal requirements and to the Company's system of internal controls and generally accepted accounting practices and principles. No one should rationalize or even consider misrepresenting facts or falsifying records. Unrecorded or "off the books" funds or assets should not be maintained unless permitted by applicable law or regulation.</w:t>
      </w:r>
    </w:p>
    <w:p>
      <w:pPr>
        <w:spacing w:after="0" w:line="92" w:lineRule="exact"/>
        <w:rPr>
          <w:sz w:val="20"/>
          <w:szCs w:val="20"/>
          <w:color w:val="auto"/>
        </w:rPr>
      </w:pPr>
    </w:p>
    <w:p>
      <w:pPr>
        <w:ind w:right="2259" w:firstLine="619"/>
        <w:spacing w:after="0" w:line="260" w:lineRule="auto"/>
        <w:rPr>
          <w:sz w:val="20"/>
          <w:szCs w:val="20"/>
          <w:color w:val="auto"/>
        </w:rPr>
      </w:pPr>
      <w:r>
        <w:rPr>
          <w:rFonts w:ascii="Courier New" w:cs="Courier New" w:eastAsia="Courier New" w:hAnsi="Courier New"/>
          <w:sz w:val="17"/>
          <w:szCs w:val="17"/>
          <w:color w:val="auto"/>
        </w:rPr>
        <w:t>Business records and communications often become public, and we should avoid exaggeration, derogatory remarks, guesswork, or inappropriate characterizations of people and companies that can be misunderstood. This applies equally to e-mail, internal memos, and formal reports. Records should always be retained or destroyed according to the Company's record retention policies. No record or document shall be destroyed which is the subject of a subpoena or other legal process or if there is a reasonable belief that litigation proceedings or government investigative proceedings are likely to occur and it is anticipated that such record or document is relevant to such proceedings. All employees are expected to comply with all</w:t>
      </w:r>
    </w:p>
    <w:p>
      <w:pPr>
        <w:spacing w:after="0" w:line="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480" w:right="1440" w:bottom="1440" w:gutter="0" w:footer="0" w:header="0"/>
        </w:sectPr>
      </w:pPr>
    </w:p>
    <w:bookmarkStart w:id="141" w:name="page142"/>
    <w:bookmarkEnd w:id="141"/>
    <w:p>
      <w:pPr>
        <w:ind w:right="2059"/>
        <w:spacing w:after="0" w:line="370" w:lineRule="auto"/>
        <w:rPr>
          <w:sz w:val="20"/>
          <w:szCs w:val="20"/>
          <w:color w:val="auto"/>
        </w:rPr>
      </w:pPr>
      <w:r>
        <w:rPr>
          <w:rFonts w:ascii="Courier New" w:cs="Courier New" w:eastAsia="Courier New" w:hAnsi="Courier New"/>
          <w:sz w:val="17"/>
          <w:szCs w:val="17"/>
          <w:color w:val="auto"/>
        </w:rPr>
        <w:t>federal, state and industry-specific record retention rules and requirements as well as the Company's record retention policies.</w:t>
      </w:r>
    </w:p>
    <w:p>
      <w:pPr>
        <w:spacing w:after="0" w:line="2" w:lineRule="exact"/>
        <w:rPr>
          <w:sz w:val="20"/>
          <w:szCs w:val="20"/>
          <w:color w:val="auto"/>
        </w:rPr>
      </w:pPr>
    </w:p>
    <w:p>
      <w:pPr>
        <w:ind w:left="1240" w:hanging="615"/>
        <w:spacing w:after="0"/>
        <w:tabs>
          <w:tab w:leader="none" w:pos="124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PAYMENTS TO GOVERNMENT PERSONNEL</w:t>
      </w:r>
    </w:p>
    <w:p>
      <w:pPr>
        <w:spacing w:after="0" w:line="204" w:lineRule="exact"/>
        <w:rPr>
          <w:sz w:val="20"/>
          <w:szCs w:val="20"/>
          <w:color w:val="auto"/>
        </w:rPr>
      </w:pPr>
    </w:p>
    <w:p>
      <w:pPr>
        <w:ind w:right="2059" w:firstLine="619"/>
        <w:spacing w:after="0" w:line="262" w:lineRule="auto"/>
        <w:rPr>
          <w:sz w:val="20"/>
          <w:szCs w:val="20"/>
          <w:color w:val="auto"/>
        </w:rPr>
      </w:pPr>
      <w:r>
        <w:rPr>
          <w:rFonts w:ascii="Courier New" w:cs="Courier New" w:eastAsia="Courier New" w:hAnsi="Courier New"/>
          <w:sz w:val="17"/>
          <w:szCs w:val="17"/>
          <w:color w:val="auto"/>
        </w:rPr>
        <w:t>The Company encourages associates, employees, officers or directors, as individual citizens, to take an active interest in the political and governmental process. This interest may be evidenced in a variety of ways, such as voting, volunteering for campaigns, making personal contributions to candidates, and supporting efforts toward a particular referendum. However, the U.S. Foreign Corrupt Practices Act prohibits giving anything of value, directly or indirectly, to officials of foreign governments or foreign political candidates in order to obtain or retain business. It is strictly prohibited to make illegal payments to government officials of any country.</w:t>
      </w:r>
    </w:p>
    <w:p>
      <w:pPr>
        <w:spacing w:after="0" w:line="92" w:lineRule="exact"/>
        <w:rPr>
          <w:sz w:val="20"/>
          <w:szCs w:val="20"/>
          <w:color w:val="auto"/>
        </w:rPr>
      </w:pPr>
    </w:p>
    <w:p>
      <w:pPr>
        <w:ind w:right="1959" w:firstLine="619"/>
        <w:spacing w:after="0" w:line="267" w:lineRule="auto"/>
        <w:rPr>
          <w:sz w:val="20"/>
          <w:szCs w:val="20"/>
          <w:color w:val="auto"/>
        </w:rPr>
      </w:pPr>
      <w:r>
        <w:rPr>
          <w:rFonts w:ascii="Courier New" w:cs="Courier New" w:eastAsia="Courier New" w:hAnsi="Courier New"/>
          <w:sz w:val="17"/>
          <w:szCs w:val="17"/>
          <w:color w:val="auto"/>
        </w:rPr>
        <w:t>In addition, there are a number of federal and state laws and regulations regarding business gratuities which may be accepted by U.S. or state government personnel. The promise, offer or delivery to an official or employee of the U.S. government or a state government of a gift, favor or other gratuity in violation of these rules would not only violate Company policy but could also be a criminal offense. Local governments, as well as foreign governments, may have similar rules.</w:t>
      </w:r>
    </w:p>
    <w:p>
      <w:pPr>
        <w:spacing w:after="0" w:line="8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The following are specifically prohibited:</w:t>
      </w:r>
    </w:p>
    <w:p>
      <w:pPr>
        <w:spacing w:after="0" w:line="204" w:lineRule="exact"/>
        <w:rPr>
          <w:sz w:val="20"/>
          <w:szCs w:val="20"/>
          <w:color w:val="auto"/>
        </w:rPr>
      </w:pPr>
    </w:p>
    <w:p>
      <w:pPr>
        <w:ind w:left="620" w:right="2159" w:hanging="305"/>
        <w:spacing w:after="0" w:line="308" w:lineRule="auto"/>
        <w:tabs>
          <w:tab w:leader="none" w:pos="62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 contribution of Company funds to a particular political candidate or office holder, or to any organization whose primary purpose is to support a particular candidate or political cause;</w:t>
      </w:r>
    </w:p>
    <w:p>
      <w:pPr>
        <w:spacing w:after="0" w:line="52" w:lineRule="exact"/>
        <w:rPr>
          <w:rFonts w:ascii="Courier New" w:cs="Courier New" w:eastAsia="Courier New" w:hAnsi="Courier New"/>
          <w:sz w:val="17"/>
          <w:szCs w:val="17"/>
          <w:color w:val="auto"/>
        </w:rPr>
      </w:pPr>
    </w:p>
    <w:p>
      <w:pPr>
        <w:ind w:left="620" w:right="2579" w:hanging="305"/>
        <w:spacing w:after="0" w:line="370" w:lineRule="auto"/>
        <w:tabs>
          <w:tab w:leader="none" w:pos="62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political contributions through indirect channels such as suppliers, advertising agencies, law firms, etc.;</w:t>
      </w:r>
    </w:p>
    <w:p>
      <w:pPr>
        <w:spacing w:after="0" w:line="1" w:lineRule="exact"/>
        <w:rPr>
          <w:rFonts w:ascii="Courier New" w:cs="Courier New" w:eastAsia="Courier New" w:hAnsi="Courier New"/>
          <w:sz w:val="17"/>
          <w:szCs w:val="17"/>
          <w:color w:val="auto"/>
        </w:rPr>
      </w:pPr>
    </w:p>
    <w:p>
      <w:pPr>
        <w:ind w:left="620" w:right="2159" w:hanging="305"/>
        <w:spacing w:after="0" w:line="308" w:lineRule="auto"/>
        <w:tabs>
          <w:tab w:leader="none" w:pos="62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use of the Company's resources (such as Company vehicles, stationery, suppliers, postage and time during working hours) to support a political candidate or cause; and</w:t>
      </w:r>
    </w:p>
    <w:p>
      <w:pPr>
        <w:spacing w:after="0" w:line="52" w:lineRule="exact"/>
        <w:rPr>
          <w:rFonts w:ascii="Courier New" w:cs="Courier New" w:eastAsia="Courier New" w:hAnsi="Courier New"/>
          <w:sz w:val="17"/>
          <w:szCs w:val="17"/>
          <w:color w:val="auto"/>
        </w:rPr>
      </w:pPr>
    </w:p>
    <w:p>
      <w:pPr>
        <w:ind w:left="620" w:right="1959" w:hanging="305"/>
        <w:spacing w:after="0" w:line="370" w:lineRule="auto"/>
        <w:tabs>
          <w:tab w:leader="none" w:pos="62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reimbursement of individual political contributions through any subterfuge such as a salary increase and expense claims.</w:t>
      </w:r>
    </w:p>
    <w:p>
      <w:pPr>
        <w:spacing w:after="0" w:line="1"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You must consult with management if you have any questions or concerns.</w:t>
      </w:r>
    </w:p>
    <w:p>
      <w:pPr>
        <w:spacing w:after="0" w:line="204"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   WAIVERS OF THE CODE OF BUSINESS CONDUCT</w:t>
      </w:r>
    </w:p>
    <w:p>
      <w:pPr>
        <w:spacing w:after="0" w:line="200" w:lineRule="exact"/>
        <w:rPr>
          <w:sz w:val="20"/>
          <w:szCs w:val="20"/>
          <w:color w:val="auto"/>
        </w:rPr>
      </w:pPr>
    </w:p>
    <w:p>
      <w:pPr>
        <w:spacing w:after="0" w:line="203" w:lineRule="exact"/>
        <w:rPr>
          <w:sz w:val="20"/>
          <w:szCs w:val="20"/>
          <w:color w:val="auto"/>
        </w:rPr>
      </w:pPr>
    </w:p>
    <w:p>
      <w:pPr>
        <w:ind w:right="1959" w:firstLine="619"/>
        <w:spacing w:after="0" w:line="278" w:lineRule="auto"/>
        <w:rPr>
          <w:sz w:val="20"/>
          <w:szCs w:val="20"/>
          <w:color w:val="auto"/>
        </w:rPr>
      </w:pPr>
      <w:r>
        <w:rPr>
          <w:rFonts w:ascii="Courier New" w:cs="Courier New" w:eastAsia="Courier New" w:hAnsi="Courier New"/>
          <w:sz w:val="17"/>
          <w:szCs w:val="17"/>
          <w:color w:val="auto"/>
        </w:rPr>
        <w:t>Any waiver of any provision of this Code for executive officers or directors must be approved by the Audit Committee and the Board of Directors and will be promptly disclosed as required by applicable securities law or stock exchange regulation. With regard to employees who are not executive officers, waivers must be approved by the CEO.</w:t>
      </w:r>
    </w:p>
    <w:p>
      <w:pPr>
        <w:spacing w:after="0" w:line="75" w:lineRule="exact"/>
        <w:rPr>
          <w:sz w:val="20"/>
          <w:szCs w:val="20"/>
          <w:color w:val="auto"/>
        </w:rPr>
      </w:pPr>
    </w:p>
    <w:p>
      <w:pPr>
        <w:ind w:left="1240" w:hanging="615"/>
        <w:spacing w:after="0"/>
        <w:tabs>
          <w:tab w:leader="none" w:pos="124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REPORTING ANY ILLEGAL OR UNETHICAL BEHAVIOR; NO RETALIATION</w:t>
      </w:r>
    </w:p>
    <w:p>
      <w:pPr>
        <w:spacing w:after="0" w:line="204" w:lineRule="exact"/>
        <w:rPr>
          <w:sz w:val="20"/>
          <w:szCs w:val="20"/>
          <w:color w:val="auto"/>
        </w:rPr>
      </w:pPr>
    </w:p>
    <w:p>
      <w:pPr>
        <w:ind w:right="1959" w:firstLine="619"/>
        <w:spacing w:after="0" w:line="260" w:lineRule="auto"/>
        <w:rPr>
          <w:sz w:val="20"/>
          <w:szCs w:val="20"/>
          <w:color w:val="auto"/>
        </w:rPr>
      </w:pPr>
      <w:r>
        <w:rPr>
          <w:rFonts w:ascii="Courier New" w:cs="Courier New" w:eastAsia="Courier New" w:hAnsi="Courier New"/>
          <w:sz w:val="17"/>
          <w:szCs w:val="17"/>
          <w:color w:val="auto"/>
        </w:rPr>
        <w:t>It is your obligation and ethical responsibility to help enforce this Code, and to that end, you should promptly report violations of this Code in accordance with the guidelines set forth in Section 21 of this Code. Associates, employees, directors and officers are encouraged to report to supervisors, managers or his or her Human Resources representative about observed or suspected illegal, improper or unethical behavior and when in doubt about the best course of action in a particular situation. Disclosures may be reviewed by the Manager of Human Resources and by the Chief Executive Officer to determine if a conflict of interest does exist. You should know that reprisal, threats, retribution or retaliation against any person who has in</w:t>
      </w:r>
    </w:p>
    <w:p>
      <w:pPr>
        <w:spacing w:after="0" w:line="96"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480" w:right="1440" w:bottom="1440" w:gutter="0" w:footer="0" w:header="0"/>
        </w:sectPr>
      </w:pPr>
    </w:p>
    <w:bookmarkStart w:id="142" w:name="page143"/>
    <w:bookmarkEnd w:id="142"/>
    <w:p>
      <w:pPr>
        <w:ind w:right="2059"/>
        <w:spacing w:after="0" w:line="262" w:lineRule="auto"/>
        <w:rPr>
          <w:sz w:val="20"/>
          <w:szCs w:val="20"/>
          <w:color w:val="auto"/>
        </w:rPr>
      </w:pPr>
      <w:r>
        <w:rPr>
          <w:rFonts w:ascii="Courier New" w:cs="Courier New" w:eastAsia="Courier New" w:hAnsi="Courier New"/>
          <w:sz w:val="17"/>
          <w:szCs w:val="17"/>
          <w:color w:val="auto"/>
        </w:rPr>
        <w:t>good faith reported a violation or a suspected violation of law, this Code or other Company policies, or against any person who is assisting in any investigation or process with respect to such a violation, is both a violation of Company policy and is prohibited by a variety of state and federal civil and criminal laws including the Sarbanes-Oxley Act of 2002. Accordingly, it is the policy of the Company not to allow retaliation for reports of wrongdoing or misconduct by others made in good faith by employees. Associates, employees, directors and officers are expected to cooperate in internal investigations of wrongdoing or misconduct.</w:t>
      </w:r>
    </w:p>
    <w:p>
      <w:pPr>
        <w:spacing w:after="0" w:line="92" w:lineRule="exact"/>
        <w:rPr>
          <w:sz w:val="20"/>
          <w:szCs w:val="20"/>
          <w:color w:val="auto"/>
        </w:rPr>
      </w:pPr>
    </w:p>
    <w:p>
      <w:pPr>
        <w:ind w:left="1240" w:hanging="615"/>
        <w:spacing w:after="0"/>
        <w:tabs>
          <w:tab w:leader="none" w:pos="1240"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COMPLAINTS</w:t>
      </w:r>
    </w:p>
    <w:p>
      <w:pPr>
        <w:spacing w:after="0" w:line="204" w:lineRule="exact"/>
        <w:rPr>
          <w:sz w:val="20"/>
          <w:szCs w:val="20"/>
          <w:color w:val="auto"/>
        </w:rPr>
      </w:pPr>
    </w:p>
    <w:p>
      <w:pPr>
        <w:ind w:right="2059" w:firstLine="619"/>
        <w:spacing w:after="0" w:line="271" w:lineRule="auto"/>
        <w:rPr>
          <w:sz w:val="20"/>
          <w:szCs w:val="20"/>
          <w:color w:val="auto"/>
        </w:rPr>
      </w:pPr>
      <w:r>
        <w:rPr>
          <w:rFonts w:ascii="Courier New" w:cs="Courier New" w:eastAsia="Courier New" w:hAnsi="Courier New"/>
          <w:sz w:val="17"/>
          <w:szCs w:val="17"/>
          <w:color w:val="auto"/>
        </w:rPr>
        <w:t>The Company's policy is to comply with all applicable financial reporting and accounting regulations. If any director, officer, affiliate or employee of the Company has unresolved concerns or complaints regarding questionable accounting, internal control or auditing matters of the Company, then he or she is encouraged to submit those concerns or complaints in accordance with the Company's Complaint Procedures for Accounting and Auditing Matters.</w:t>
      </w:r>
    </w:p>
    <w:p>
      <w:pPr>
        <w:spacing w:after="0" w:line="84" w:lineRule="exact"/>
        <w:rPr>
          <w:sz w:val="20"/>
          <w:szCs w:val="20"/>
          <w:color w:val="auto"/>
        </w:rPr>
      </w:pPr>
    </w:p>
    <w:p>
      <w:pPr>
        <w:ind w:left="1240" w:hanging="615"/>
        <w:spacing w:after="0"/>
        <w:tabs>
          <w:tab w:leader="none" w:pos="124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PROCEDURES</w:t>
      </w:r>
    </w:p>
    <w:p>
      <w:pPr>
        <w:spacing w:after="0" w:line="204" w:lineRule="exact"/>
        <w:rPr>
          <w:sz w:val="20"/>
          <w:szCs w:val="20"/>
          <w:color w:val="auto"/>
        </w:rPr>
      </w:pPr>
    </w:p>
    <w:p>
      <w:pPr>
        <w:ind w:right="1959" w:firstLine="619"/>
        <w:spacing w:after="0" w:line="278" w:lineRule="auto"/>
        <w:rPr>
          <w:sz w:val="20"/>
          <w:szCs w:val="20"/>
          <w:color w:val="auto"/>
        </w:rPr>
      </w:pPr>
      <w:r>
        <w:rPr>
          <w:rFonts w:ascii="Courier New" w:cs="Courier New" w:eastAsia="Courier New" w:hAnsi="Courier New"/>
          <w:sz w:val="17"/>
          <w:szCs w:val="17"/>
          <w:color w:val="auto"/>
        </w:rPr>
        <w:t>We must all work to ensure prompt and consistent action against violations of this Code. However, in some situations it is difficult to know right from wrong. Since we cannot anticipate every situation that will arise, you should keep in mind the following steps as you consider a particular problem or concern.</w:t>
      </w:r>
    </w:p>
    <w:p>
      <w:pPr>
        <w:spacing w:after="0" w:line="75" w:lineRule="exact"/>
        <w:rPr>
          <w:sz w:val="20"/>
          <w:szCs w:val="20"/>
          <w:color w:val="auto"/>
        </w:rPr>
      </w:pPr>
    </w:p>
    <w:p>
      <w:pPr>
        <w:ind w:right="2059" w:firstLine="1244"/>
        <w:spacing w:after="0" w:line="370" w:lineRule="auto"/>
        <w:tabs>
          <w:tab w:leader="none" w:pos="1857"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sure you have all the facts. In order to reach the right solutions, we must be as fully informed as possible.</w:t>
      </w:r>
    </w:p>
    <w:p>
      <w:pPr>
        <w:spacing w:after="0" w:line="1" w:lineRule="exact"/>
        <w:rPr>
          <w:rFonts w:ascii="Courier New" w:cs="Courier New" w:eastAsia="Courier New" w:hAnsi="Courier New"/>
          <w:sz w:val="17"/>
          <w:szCs w:val="17"/>
          <w:color w:val="auto"/>
        </w:rPr>
      </w:pPr>
    </w:p>
    <w:p>
      <w:pPr>
        <w:ind w:right="2379" w:firstLine="1244"/>
        <w:spacing w:after="0" w:line="278" w:lineRule="auto"/>
        <w:tabs>
          <w:tab w:leader="none" w:pos="1857"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Ask yourself: What specifically am I being asked to do or ignore? Does it seem illegal, unethical or improper? This will enable you to focus on the specific question you are faced with, and the alternatives you have. Use your judgment and common sense; if something seems unethical or improper, it may very well be.</w:t>
      </w:r>
    </w:p>
    <w:p>
      <w:pPr>
        <w:spacing w:after="0" w:line="75" w:lineRule="exact"/>
        <w:rPr>
          <w:rFonts w:ascii="Courier New" w:cs="Courier New" w:eastAsia="Courier New" w:hAnsi="Courier New"/>
          <w:sz w:val="17"/>
          <w:szCs w:val="17"/>
          <w:color w:val="auto"/>
        </w:rPr>
      </w:pPr>
    </w:p>
    <w:p>
      <w:pPr>
        <w:ind w:right="1959" w:firstLine="1244"/>
        <w:spacing w:after="0" w:line="308" w:lineRule="auto"/>
        <w:tabs>
          <w:tab w:leader="none" w:pos="1857"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Clarify your responsibility and role. In most situations, there is shared responsibility. Are your colleagues informed? It may help to get others involved and discuss your concerns.</w:t>
      </w:r>
    </w:p>
    <w:p>
      <w:pPr>
        <w:spacing w:after="0" w:line="52" w:lineRule="exact"/>
        <w:rPr>
          <w:rFonts w:ascii="Courier New" w:cs="Courier New" w:eastAsia="Courier New" w:hAnsi="Courier New"/>
          <w:sz w:val="17"/>
          <w:szCs w:val="17"/>
          <w:color w:val="auto"/>
        </w:rPr>
      </w:pPr>
    </w:p>
    <w:p>
      <w:pPr>
        <w:ind w:right="2159" w:firstLine="1244"/>
        <w:spacing w:after="0" w:line="264" w:lineRule="auto"/>
        <w:tabs>
          <w:tab w:leader="none" w:pos="1857"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should report violations of this Code to or otherwise discuss your concerns in this regard with your supervisor or your Human Resources representative. In many cases, your supervisor will be more knowledgeable about the question or concern, and will appreciate being brought into the decision-making process. Remember that it is your supervisor's responsibility to help solve problems. Supervisors and Human Resources representatives are obligated to report violations of this Code to the Audit Committee.</w:t>
      </w:r>
    </w:p>
    <w:p>
      <w:pPr>
        <w:spacing w:after="0" w:line="91" w:lineRule="exact"/>
        <w:rPr>
          <w:rFonts w:ascii="Courier New" w:cs="Courier New" w:eastAsia="Courier New" w:hAnsi="Courier New"/>
          <w:sz w:val="17"/>
          <w:szCs w:val="17"/>
          <w:color w:val="auto"/>
        </w:rPr>
      </w:pPr>
    </w:p>
    <w:p>
      <w:pPr>
        <w:ind w:right="2059" w:firstLine="1244"/>
        <w:spacing w:after="0" w:line="264" w:lineRule="auto"/>
        <w:tabs>
          <w:tab w:leader="none" w:pos="1857"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where it may not be appropriate to report a violation to or discuss your concerns with your supervisor or your Human Resources representative, or where you do not feel comfortable approaching your supervisor to report a violation or discuss your concerns, you may report the violation or discuss your concerns with the CFO. If you prefer to report violations or your concerns in writing, on an anonymous basis, please address your concerns to our CFO at the following address: Citi Trends, Inc., 102 Fahm Street, Savannah, GA 31401.</w:t>
      </w:r>
    </w:p>
    <w:p>
      <w:pPr>
        <w:spacing w:after="0" w:line="91" w:lineRule="exact"/>
        <w:rPr>
          <w:rFonts w:ascii="Courier New" w:cs="Courier New" w:eastAsia="Courier New" w:hAnsi="Courier New"/>
          <w:sz w:val="17"/>
          <w:szCs w:val="17"/>
          <w:color w:val="auto"/>
        </w:rPr>
      </w:pPr>
    </w:p>
    <w:p>
      <w:pPr>
        <w:jc w:val="both"/>
        <w:ind w:right="1959" w:firstLine="1244"/>
        <w:spacing w:after="0" w:line="308" w:lineRule="auto"/>
        <w:tabs>
          <w:tab w:leader="none" w:pos="1857"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of violations of this Code or other complaints made to the persons referenced above will be reviewed by the Manager of Human Resources, the CFO or the CEO or</w:t>
      </w:r>
    </w:p>
    <w:p>
      <w:pPr>
        <w:spacing w:after="0" w:line="5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480" w:right="1440" w:bottom="1440" w:gutter="0" w:footer="0" w:header="0"/>
        </w:sectPr>
      </w:pPr>
    </w:p>
    <w:bookmarkStart w:id="143" w:name="page144"/>
    <w:bookmarkEnd w:id="143"/>
    <w:p>
      <w:pPr>
        <w:ind w:right="2159"/>
        <w:spacing w:after="0" w:line="278" w:lineRule="auto"/>
        <w:rPr>
          <w:sz w:val="20"/>
          <w:szCs w:val="20"/>
          <w:color w:val="auto"/>
        </w:rPr>
      </w:pPr>
      <w:r>
        <w:rPr>
          <w:rFonts w:ascii="Courier New" w:cs="Courier New" w:eastAsia="Courier New" w:hAnsi="Courier New"/>
          <w:sz w:val="17"/>
          <w:szCs w:val="17"/>
          <w:color w:val="auto"/>
        </w:rPr>
        <w:t>a designee, who shall either (i) conduct an investigation of the facts and circumstances as he or she deems appropriate and report his or her conclusions and remedial actions taken, if any, to the Audit Committee or (ii) report the alleged violation or other complaint to the Audit Committee for further direction.</w:t>
      </w:r>
    </w:p>
    <w:p>
      <w:pPr>
        <w:spacing w:after="0" w:line="75" w:lineRule="exact"/>
        <w:rPr>
          <w:sz w:val="20"/>
          <w:szCs w:val="20"/>
          <w:color w:val="auto"/>
        </w:rPr>
      </w:pPr>
    </w:p>
    <w:p>
      <w:pPr>
        <w:ind w:right="2159" w:firstLine="1244"/>
        <w:spacing w:after="0" w:line="308" w:lineRule="auto"/>
        <w:tabs>
          <w:tab w:leader="none" w:pos="1857"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 communications of violations or concerns will be kept confidential to the extent feasible and appropriate, and except as required by law.</w:t>
      </w:r>
    </w:p>
    <w:p>
      <w:pPr>
        <w:spacing w:after="0" w:line="52" w:lineRule="exact"/>
        <w:rPr>
          <w:rFonts w:ascii="Courier New" w:cs="Courier New" w:eastAsia="Courier New" w:hAnsi="Courier New"/>
          <w:sz w:val="17"/>
          <w:szCs w:val="17"/>
          <w:color w:val="auto"/>
        </w:rPr>
      </w:pPr>
    </w:p>
    <w:p>
      <w:pPr>
        <w:ind w:right="2059" w:firstLine="1244"/>
        <w:spacing w:after="0" w:line="308" w:lineRule="auto"/>
        <w:tabs>
          <w:tab w:leader="none" w:pos="1857"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reports of violations of the Code will be promptly investigated and addressed. If you are not satisfied with the response, you may contact the Audit Committee directly.</w:t>
      </w:r>
    </w:p>
    <w:p>
      <w:pPr>
        <w:spacing w:after="0" w:line="52" w:lineRule="exact"/>
        <w:rPr>
          <w:rFonts w:ascii="Courier New" w:cs="Courier New" w:eastAsia="Courier New" w:hAnsi="Courier New"/>
          <w:sz w:val="17"/>
          <w:szCs w:val="17"/>
          <w:color w:val="auto"/>
        </w:rPr>
      </w:pPr>
    </w:p>
    <w:p>
      <w:pPr>
        <w:ind w:right="2159" w:firstLine="1244"/>
        <w:spacing w:after="0" w:line="370" w:lineRule="auto"/>
        <w:tabs>
          <w:tab w:leader="none" w:pos="1857"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Always ask first, act later: If you are unsure of what to do in any situation, seek guidance before you act.</w:t>
      </w:r>
    </w:p>
    <w:p>
      <w:pPr>
        <w:spacing w:after="0" w:line="1" w:lineRule="exact"/>
        <w:rPr>
          <w:rFonts w:ascii="Courier New" w:cs="Courier New" w:eastAsia="Courier New" w:hAnsi="Courier New"/>
          <w:sz w:val="17"/>
          <w:szCs w:val="17"/>
          <w:color w:val="auto"/>
        </w:rPr>
      </w:pPr>
    </w:p>
    <w:p>
      <w:pPr>
        <w:ind w:left="1240" w:hanging="615"/>
        <w:spacing w:after="0"/>
        <w:tabs>
          <w:tab w:leader="none" w:pos="124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APPLICATION OF CODE OF BUSINESS CONDUCT/COMPLIANCE REQUIRED</w:t>
      </w:r>
    </w:p>
    <w:p>
      <w:pPr>
        <w:spacing w:after="0" w:line="204" w:lineRule="exact"/>
        <w:rPr>
          <w:sz w:val="20"/>
          <w:szCs w:val="20"/>
          <w:color w:val="auto"/>
        </w:rPr>
      </w:pPr>
    </w:p>
    <w:p>
      <w:pPr>
        <w:ind w:right="1959" w:firstLine="619"/>
        <w:spacing w:after="0" w:line="308" w:lineRule="auto"/>
        <w:rPr>
          <w:sz w:val="20"/>
          <w:szCs w:val="20"/>
          <w:color w:val="auto"/>
        </w:rPr>
      </w:pPr>
      <w:r>
        <w:rPr>
          <w:rFonts w:ascii="Courier New" w:cs="Courier New" w:eastAsia="Courier New" w:hAnsi="Courier New"/>
          <w:sz w:val="17"/>
          <w:szCs w:val="17"/>
          <w:color w:val="auto"/>
        </w:rPr>
        <w:t>The Code applies to all associates, employees, directors and officers. All managerial and exempt associates, employees, directors or officers are to be provided with a copy of this Code.</w:t>
      </w:r>
    </w:p>
    <w:p>
      <w:pPr>
        <w:spacing w:after="0" w:line="52" w:lineRule="exact"/>
        <w:rPr>
          <w:sz w:val="20"/>
          <w:szCs w:val="20"/>
          <w:color w:val="auto"/>
        </w:rPr>
      </w:pPr>
    </w:p>
    <w:p>
      <w:pPr>
        <w:ind w:right="2059" w:firstLine="619"/>
        <w:spacing w:after="0" w:line="278" w:lineRule="auto"/>
        <w:rPr>
          <w:sz w:val="20"/>
          <w:szCs w:val="20"/>
          <w:color w:val="auto"/>
        </w:rPr>
      </w:pPr>
      <w:r>
        <w:rPr>
          <w:rFonts w:ascii="Courier New" w:cs="Courier New" w:eastAsia="Courier New" w:hAnsi="Courier New"/>
          <w:sz w:val="17"/>
          <w:szCs w:val="17"/>
          <w:color w:val="auto"/>
        </w:rPr>
        <w:t>The matters covered in this Code are of the utmost importance to the Company, its stockholders and its business partners, and are essential to the Company's ability to conduct its business in accordance with its stated values. We expect all of our directors, officers, employees and associates to adhere to these rules in carrying out their duties for the Company.</w:t>
      </w:r>
    </w:p>
    <w:p>
      <w:pPr>
        <w:spacing w:after="0" w:line="75" w:lineRule="exact"/>
        <w:rPr>
          <w:sz w:val="20"/>
          <w:szCs w:val="20"/>
          <w:color w:val="auto"/>
        </w:rPr>
      </w:pPr>
    </w:p>
    <w:p>
      <w:pPr>
        <w:ind w:right="2059" w:firstLine="619"/>
        <w:spacing w:after="0" w:line="278" w:lineRule="auto"/>
        <w:rPr>
          <w:sz w:val="20"/>
          <w:szCs w:val="20"/>
          <w:color w:val="auto"/>
        </w:rPr>
      </w:pPr>
      <w:r>
        <w:rPr>
          <w:rFonts w:ascii="Courier New" w:cs="Courier New" w:eastAsia="Courier New" w:hAnsi="Courier New"/>
          <w:sz w:val="17"/>
          <w:szCs w:val="17"/>
          <w:color w:val="auto"/>
        </w:rPr>
        <w:t>Any individual whose actions are found to violate these policies or any other policies of the Company will be subject to disciplinary action, up to and including immediate termination of employment or business relationship. Where the Company has suffered a loss, it may pursue its legal remedies against the individuals or entities responsible.</w:t>
      </w:r>
    </w:p>
    <w:p>
      <w:pPr>
        <w:spacing w:after="0" w:line="75" w:lineRule="exact"/>
        <w:rPr>
          <w:sz w:val="20"/>
          <w:szCs w:val="20"/>
          <w:color w:val="auto"/>
        </w:rPr>
      </w:pPr>
    </w:p>
    <w:p>
      <w:pPr>
        <w:ind w:right="1959" w:firstLine="619"/>
        <w:spacing w:after="0" w:line="288" w:lineRule="auto"/>
        <w:rPr>
          <w:sz w:val="20"/>
          <w:szCs w:val="20"/>
          <w:color w:val="auto"/>
        </w:rPr>
      </w:pPr>
      <w:r>
        <w:rPr>
          <w:rFonts w:ascii="Courier New" w:cs="Courier New" w:eastAsia="Courier New" w:hAnsi="Courier New"/>
          <w:sz w:val="17"/>
          <w:szCs w:val="17"/>
          <w:color w:val="auto"/>
        </w:rPr>
        <w:t>This Code will be administered by the Manager of Human Resources and the Human Resources Department. A full disclosure of all reported conflicts and violations will be made to the Chief Executive Officer, Chief Financial Officer, and the Manager of Human Resources.</w:t>
      </w:r>
    </w:p>
    <w:p>
      <w:pPr>
        <w:spacing w:after="0" w:line="68"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480" w:right="1440" w:bottom="1440" w:gutter="0" w:footer="0" w:header="0"/>
        </w:sectPr>
      </w:pPr>
    </w:p>
    <w:bookmarkStart w:id="144" w:name="page145"/>
    <w:bookmarkEnd w:id="144"/>
    <w:p>
      <w:pPr>
        <w:jc w:val="right"/>
        <w:ind w:right="1959"/>
        <w:spacing w:after="0"/>
        <w:rPr>
          <w:sz w:val="20"/>
          <w:szCs w:val="20"/>
          <w:color w:val="auto"/>
        </w:rPr>
      </w:pPr>
      <w:r>
        <w:rPr>
          <w:rFonts w:ascii="Courier New" w:cs="Courier New" w:eastAsia="Courier New" w:hAnsi="Courier New"/>
          <w:sz w:val="17"/>
          <w:szCs w:val="17"/>
          <w:color w:val="auto"/>
        </w:rPr>
        <w:t>EXHIBIT A</w:t>
      </w:r>
    </w:p>
    <w:p>
      <w:pPr>
        <w:spacing w:after="0" w:line="204"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ACKNOWLEDGMENT OF RECEIPT OF CODE</w:t>
      </w:r>
    </w:p>
    <w:p>
      <w:pPr>
        <w:spacing w:after="0" w:line="204"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OF BUSINESS CONDUCT</w:t>
      </w:r>
    </w:p>
    <w:p>
      <w:pPr>
        <w:spacing w:after="0" w:line="204" w:lineRule="exact"/>
        <w:rPr>
          <w:sz w:val="20"/>
          <w:szCs w:val="20"/>
          <w:color w:val="auto"/>
        </w:rPr>
      </w:pPr>
    </w:p>
    <w:p>
      <w:pPr>
        <w:ind w:right="1959" w:firstLine="619"/>
        <w:spacing w:after="0" w:line="278" w:lineRule="auto"/>
        <w:rPr>
          <w:sz w:val="20"/>
          <w:szCs w:val="20"/>
          <w:color w:val="auto"/>
        </w:rPr>
      </w:pPr>
      <w:r>
        <w:rPr>
          <w:rFonts w:ascii="Courier New" w:cs="Courier New" w:eastAsia="Courier New" w:hAnsi="Courier New"/>
          <w:sz w:val="17"/>
          <w:szCs w:val="17"/>
          <w:color w:val="auto"/>
        </w:rPr>
        <w:t>I have received and read the Citi Trends, Inc. Code of Business Conduct (the "Code"). I understand the standards and policies contained in the Code and understand that there may be additional policies or laws specific to my position as an employee, associate, officer or director of the Company. I further agree to comply with the Code.</w:t>
      </w:r>
    </w:p>
    <w:p>
      <w:pPr>
        <w:spacing w:after="0" w:line="75" w:lineRule="exact"/>
        <w:rPr>
          <w:sz w:val="20"/>
          <w:szCs w:val="20"/>
          <w:color w:val="auto"/>
        </w:rPr>
      </w:pPr>
    </w:p>
    <w:p>
      <w:pPr>
        <w:ind w:right="1959" w:firstLine="619"/>
        <w:spacing w:after="0" w:line="260" w:lineRule="auto"/>
        <w:rPr>
          <w:sz w:val="20"/>
          <w:szCs w:val="20"/>
          <w:color w:val="auto"/>
        </w:rPr>
      </w:pPr>
      <w:r>
        <w:rPr>
          <w:rFonts w:ascii="Courier New" w:cs="Courier New" w:eastAsia="Courier New" w:hAnsi="Courier New"/>
          <w:sz w:val="17"/>
          <w:szCs w:val="17"/>
          <w:color w:val="auto"/>
        </w:rPr>
        <w:t>I have disclosed on the next page of this acknowledgement form any possible violations of the Code, and I understand that I have the responsibility of informing the Manager of Human Resources, Chief Financial Officer or Chief Executive Officer of any additional possible conflicts as soon as possible after such a situation arises. I further understand that if a question concerning compliance with the Code should arise, I will promptly furnish a written statement outlining the details to the Manager of Human Resources. I acknowledge the right of the Chief Executive Officer to determine whether conflicts of interest do occur, and to take necessary steps to protect the interest of the Company.</w:t>
      </w:r>
    </w:p>
    <w:p>
      <w:pPr>
        <w:spacing w:after="0" w:line="96" w:lineRule="exact"/>
        <w:rPr>
          <w:sz w:val="20"/>
          <w:szCs w:val="20"/>
          <w:color w:val="auto"/>
        </w:rPr>
      </w:pPr>
    </w:p>
    <w:p>
      <w:pPr>
        <w:jc w:val="both"/>
        <w:ind w:right="1959" w:firstLine="619"/>
        <w:spacing w:after="0" w:line="288" w:lineRule="auto"/>
        <w:rPr>
          <w:sz w:val="20"/>
          <w:szCs w:val="20"/>
          <w:color w:val="auto"/>
        </w:rPr>
      </w:pPr>
      <w:r>
        <w:rPr>
          <w:rFonts w:ascii="Courier New" w:cs="Courier New" w:eastAsia="Courier New" w:hAnsi="Courier New"/>
          <w:sz w:val="17"/>
          <w:szCs w:val="17"/>
          <w:color w:val="auto"/>
        </w:rPr>
        <w:t>I further understand that my failure to properly disclose any conflicts of interest or other violations of this Code could result in actions of discipline, termination or other legal means by the Company as a protection of the Company's reputation.</w:t>
      </w:r>
    </w:p>
    <w:p>
      <w:pPr>
        <w:spacing w:after="0" w:line="68" w:lineRule="exact"/>
        <w:rPr>
          <w:sz w:val="20"/>
          <w:szCs w:val="20"/>
          <w:color w:val="auto"/>
        </w:rPr>
      </w:pPr>
    </w:p>
    <w:p>
      <w:pPr>
        <w:ind w:right="1959" w:firstLine="619"/>
        <w:spacing w:after="0" w:line="271" w:lineRule="auto"/>
        <w:rPr>
          <w:sz w:val="20"/>
          <w:szCs w:val="20"/>
          <w:color w:val="auto"/>
        </w:rPr>
      </w:pPr>
      <w:r>
        <w:rPr>
          <w:rFonts w:ascii="Courier New" w:cs="Courier New" w:eastAsia="Courier New" w:hAnsi="Courier New"/>
          <w:sz w:val="17"/>
          <w:szCs w:val="17"/>
          <w:color w:val="auto"/>
        </w:rPr>
        <w:t>If I have questions concerning the meaning or application of the Code, any Company policies, or the legal and regulatory requirements applicable to my position, I know I can consult my supervisor, my Human Resources representative, the Chief Financial Officer or the Chief Executive Officer knowing that my questions or reports to these sources will be maintained in confidence to the extent feasible and appropriate.</w:t>
      </w:r>
    </w:p>
    <w:p>
      <w:pPr>
        <w:spacing w:after="0" w:line="84" w:lineRule="exact"/>
        <w:rPr>
          <w:sz w:val="20"/>
          <w:szCs w:val="20"/>
          <w:color w:val="auto"/>
        </w:rPr>
      </w:pPr>
    </w:p>
    <w:p>
      <w:pPr>
        <w:ind w:left="220" w:hanging="214"/>
        <w:spacing w:after="0"/>
        <w:tabs>
          <w:tab w:leader="none" w:pos="22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Name and store or cost center number</w:t>
      </w:r>
    </w:p>
    <w:p>
      <w:pPr>
        <w:spacing w:after="0" w:line="172"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Signature</w:t>
      </w:r>
    </w:p>
    <w:p>
      <w:pPr>
        <w:spacing w:after="0" w:line="172"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7"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Date</w:t>
      </w:r>
    </w:p>
    <w:p>
      <w:pPr>
        <w:sectPr>
          <w:pgSz w:w="11900" w:h="16838" w:orient="portrait"/>
          <w:cols w:equalWidth="0" w:num="1">
            <w:col w:w="10219"/>
          </w:cols>
          <w:pgMar w:left="240" w:top="480"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7"/>
          <w:szCs w:val="17"/>
          <w:color w:val="auto"/>
        </w:rPr>
        <w:t>Listed below are items, which I believe could be in conflict with this Code: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(Please indicate "None" if there are no items or potential or known conflict.)</w:t>
      </w:r>
    </w:p>
    <w:p>
      <w:pPr>
        <w:spacing w:after="0" w:line="204" w:lineRule="exact"/>
        <w:rPr>
          <w:sz w:val="20"/>
          <w:szCs w:val="20"/>
          <w:color w:val="auto"/>
        </w:rPr>
      </w:pPr>
    </w:p>
    <w:p>
      <w:pPr>
        <w:ind w:right="1959"/>
        <w:spacing w:after="0" w:line="370" w:lineRule="auto"/>
        <w:rPr>
          <w:sz w:val="20"/>
          <w:szCs w:val="20"/>
          <w:color w:val="auto"/>
        </w:rPr>
      </w:pPr>
      <w:r>
        <w:rPr>
          <w:rFonts w:ascii="Courier New" w:cs="Courier New" w:eastAsia="Courier New" w:hAnsi="Courier New"/>
          <w:sz w:val="17"/>
          <w:szCs w:val="17"/>
          <w:color w:val="auto"/>
        </w:rPr>
        <w:t>Return this signed copy to the Manager of Human Resources in Home Office of Citi Trends, Inc.</w:t>
      </w:r>
    </w:p>
    <w:p>
      <w:pPr>
        <w:spacing w:after="0" w:line="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480" w:right="1440" w:bottom="1440" w:gutter="0" w:footer="0" w:header="0"/>
        </w:sectPr>
      </w:pPr>
    </w:p>
    <w:bookmarkStart w:id="146" w:name="page147"/>
    <w:bookmarkEnd w:id="146"/>
    <w:p>
      <w:pPr>
        <w:jc w:val="right"/>
        <w:ind w:right="195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CONSENT OF INDEPENDENT REGISTERED PUBLIC ACCOUNTING FIRM</w:t>
      </w:r>
    </w:p>
    <w:p>
      <w:pPr>
        <w:spacing w:after="0" w:line="204" w:lineRule="exact"/>
        <w:rPr>
          <w:sz w:val="20"/>
          <w:szCs w:val="20"/>
          <w:color w:val="auto"/>
        </w:rPr>
      </w:pPr>
    </w:p>
    <w:p>
      <w:pPr>
        <w:ind w:right="2379"/>
        <w:spacing w:after="0" w:line="308" w:lineRule="auto"/>
        <w:rPr>
          <w:sz w:val="20"/>
          <w:szCs w:val="20"/>
          <w:color w:val="auto"/>
        </w:rPr>
      </w:pPr>
      <w:r>
        <w:rPr>
          <w:rFonts w:ascii="Courier New" w:cs="Courier New" w:eastAsia="Courier New" w:hAnsi="Courier New"/>
          <w:sz w:val="17"/>
          <w:szCs w:val="17"/>
          <w:color w:val="auto"/>
        </w:rPr>
        <w:t>When the transaction referred to in Note 12(d) of the notes to the financial statements has been consummated, we will be in a position to render the following consent.</w:t>
      </w:r>
    </w:p>
    <w:p>
      <w:pPr>
        <w:spacing w:after="0" w:line="52" w:lineRule="exact"/>
        <w:rPr>
          <w:sz w:val="20"/>
          <w:szCs w:val="20"/>
          <w:color w:val="auto"/>
        </w:rPr>
      </w:pPr>
    </w:p>
    <w:p>
      <w:pPr>
        <w:jc w:val="right"/>
        <w:ind w:right="1959"/>
        <w:spacing w:after="0"/>
        <w:rPr>
          <w:sz w:val="20"/>
          <w:szCs w:val="20"/>
          <w:color w:val="auto"/>
        </w:rPr>
      </w:pPr>
      <w:r>
        <w:rPr>
          <w:rFonts w:ascii="Courier New" w:cs="Courier New" w:eastAsia="Courier New" w:hAnsi="Courier New"/>
          <w:sz w:val="17"/>
          <w:szCs w:val="17"/>
          <w:color w:val="auto"/>
        </w:rPr>
        <w:t>/S/ KPMG LLP</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and Stockholders</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Citi Trends, Inc.:</w:t>
      </w:r>
    </w:p>
    <w:p>
      <w:pPr>
        <w:spacing w:after="0" w:line="371" w:lineRule="exact"/>
        <w:rPr>
          <w:sz w:val="20"/>
          <w:szCs w:val="20"/>
          <w:color w:val="auto"/>
        </w:rPr>
      </w:pPr>
    </w:p>
    <w:p>
      <w:pPr>
        <w:ind w:right="2059"/>
        <w:spacing w:after="0" w:line="267" w:lineRule="auto"/>
        <w:rPr>
          <w:sz w:val="20"/>
          <w:szCs w:val="20"/>
          <w:color w:val="auto"/>
        </w:rPr>
      </w:pPr>
      <w:r>
        <w:rPr>
          <w:rFonts w:ascii="Courier New" w:cs="Courier New" w:eastAsia="Courier New" w:hAnsi="Courier New"/>
          <w:sz w:val="17"/>
          <w:szCs w:val="17"/>
          <w:color w:val="auto"/>
        </w:rPr>
        <w:t>We consent to the use of our report dated March 30, 2005, except as to Note 12(c) which is as of April 28, 2005 and Note 12(d) which is as of May __, 2005, with respect to the balance sheets of Citi Trends, Inc. as of January 29, 2005 and January 31, 2004, and the related statements of income, stockholders' equity, and cash flows for the years ended January 29, 2005, January 31, 2004 and February 1, 2003, incorporated herein by reference and to the reference to our firm under the heading "Experts" in the prospectus.</w:t>
      </w:r>
    </w:p>
    <w:p>
      <w:pPr>
        <w:spacing w:after="0" w:line="88" w:lineRule="exact"/>
        <w:rPr>
          <w:sz w:val="20"/>
          <w:szCs w:val="20"/>
          <w:color w:val="auto"/>
        </w:rPr>
      </w:pPr>
    </w:p>
    <w:p>
      <w:pPr>
        <w:ind w:right="1959"/>
        <w:spacing w:after="0" w:line="308" w:lineRule="auto"/>
        <w:rPr>
          <w:sz w:val="20"/>
          <w:szCs w:val="20"/>
          <w:color w:val="auto"/>
        </w:rPr>
      </w:pPr>
      <w:r>
        <w:rPr>
          <w:rFonts w:ascii="Courier New" w:cs="Courier New" w:eastAsia="Courier New" w:hAnsi="Courier New"/>
          <w:sz w:val="17"/>
          <w:szCs w:val="17"/>
          <w:color w:val="auto"/>
        </w:rPr>
        <w:t>Our report refers to the adoption of Statement of Financial Accounting Standards No. 150, "Accounting for Certain Financial Instruments with Characteristics of Both Liabilities and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Jacksonville, Florida</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April 28, 2005</w:t>
      </w:r>
    </w:p>
    <w:p>
      <w:pPr>
        <w:sectPr>
          <w:pgSz w:w="11900" w:h="16838" w:orient="portrait"/>
          <w:cols w:equalWidth="0" w:num="1">
            <w:col w:w="10219"/>
          </w:cols>
          <w:pgMar w:left="240" w:top="308" w:right="1440" w:bottom="1440" w:gutter="0" w:footer="0" w:header="0"/>
        </w:sectPr>
      </w:pPr>
    </w:p>
    <w:bookmarkStart w:id="147" w:name="page148"/>
    <w:bookmarkEnd w:id="147"/>
    <w:p>
      <w:pPr>
        <w:ind w:left="860"/>
        <w:spacing w:after="0"/>
        <w:rPr>
          <w:sz w:val="20"/>
          <w:szCs w:val="20"/>
          <w:color w:val="auto"/>
        </w:rPr>
      </w:pPr>
      <w:r>
        <w:rPr>
          <w:rFonts w:ascii="Courier New" w:cs="Courier New" w:eastAsia="Courier New" w:hAnsi="Courier New"/>
          <w:sz w:val="17"/>
          <w:szCs w:val="17"/>
          <w:color w:val="auto"/>
        </w:rPr>
        <w:t>April 29, 2005</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7"/>
          <w:szCs w:val="17"/>
          <w:color w:val="auto"/>
        </w:rPr>
        <w:t>VIA EDGAR AND U.S. MAIL</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8" w:lineRule="exact"/>
        <w:rPr>
          <w:sz w:val="20"/>
          <w:szCs w:val="20"/>
          <w:color w:val="auto"/>
        </w:rPr>
      </w:pPr>
    </w:p>
    <w:p>
      <w:pPr>
        <w:ind w:left="860"/>
        <w:spacing w:after="0"/>
        <w:rPr>
          <w:sz w:val="20"/>
          <w:szCs w:val="20"/>
          <w:color w:val="auto"/>
        </w:rPr>
      </w:pPr>
      <w:r>
        <w:rPr>
          <w:rFonts w:ascii="Courier New" w:cs="Courier New" w:eastAsia="Courier New" w:hAnsi="Courier New"/>
          <w:sz w:val="17"/>
          <w:szCs w:val="17"/>
          <w:color w:val="auto"/>
        </w:rPr>
        <w:t>Division of Corporate Finance</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7"/>
          <w:szCs w:val="17"/>
          <w:color w:val="auto"/>
        </w:rPr>
        <w:t>450 Fifth Street, N.W.</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7"/>
          <w:szCs w:val="17"/>
          <w:color w:val="auto"/>
        </w:rPr>
        <w:t>Mail Stop 0308</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7"/>
          <w:szCs w:val="17"/>
          <w:color w:val="auto"/>
        </w:rPr>
        <w:t>Washington, D.C. 20549</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7"/>
          <w:szCs w:val="17"/>
          <w:color w:val="auto"/>
        </w:rPr>
        <w:t>Attn: H. Christopher Owings, Assistant Director</w:t>
      </w:r>
    </w:p>
    <w:p>
      <w:pPr>
        <w:spacing w:after="0" w:line="172" w:lineRule="exact"/>
        <w:rPr>
          <w:sz w:val="20"/>
          <w:szCs w:val="20"/>
          <w:color w:val="auto"/>
        </w:rPr>
      </w:pPr>
    </w:p>
    <w:p>
      <w:pPr>
        <w:ind w:left="860"/>
        <w:spacing w:after="0"/>
        <w:tabs>
          <w:tab w:leader="none" w:pos="15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CITI TRENDS, INC.</w:t>
      </w:r>
    </w:p>
    <w:p>
      <w:pPr>
        <w:spacing w:after="0" w:line="38"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AMENDMENT NO. 1 TO REGISTRATION STATEMENT ON FORM S-1</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FILED APRIL 7, 2005</w:t>
      </w:r>
    </w:p>
    <w:p>
      <w:pPr>
        <w:spacing w:after="0" w:line="6"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FILE NO. 333-123028</w:t>
      </w:r>
    </w:p>
    <w:p>
      <w:pPr>
        <w:spacing w:after="0" w:line="172" w:lineRule="exact"/>
        <w:rPr>
          <w:sz w:val="20"/>
          <w:szCs w:val="20"/>
          <w:color w:val="auto"/>
        </w:rPr>
      </w:pPr>
    </w:p>
    <w:p>
      <w:pPr>
        <w:ind w:left="760"/>
        <w:spacing w:after="0"/>
        <w:rPr>
          <w:sz w:val="20"/>
          <w:szCs w:val="20"/>
          <w:color w:val="auto"/>
        </w:rPr>
      </w:pPr>
      <w:r>
        <w:rPr>
          <w:rFonts w:ascii="Courier New" w:cs="Courier New" w:eastAsia="Courier New" w:hAnsi="Courier New"/>
          <w:sz w:val="17"/>
          <w:szCs w:val="17"/>
          <w:color w:val="auto"/>
        </w:rPr>
        <w:t>Dear Mr. Owings:</w:t>
      </w:r>
    </w:p>
    <w:p>
      <w:pPr>
        <w:spacing w:after="0" w:line="204" w:lineRule="exact"/>
        <w:rPr>
          <w:sz w:val="20"/>
          <w:szCs w:val="20"/>
          <w:color w:val="auto"/>
        </w:rPr>
      </w:pPr>
    </w:p>
    <w:p>
      <w:pPr>
        <w:ind w:left="860" w:right="1959" w:firstLine="619"/>
        <w:spacing w:after="0" w:line="264" w:lineRule="auto"/>
        <w:rPr>
          <w:sz w:val="20"/>
          <w:szCs w:val="20"/>
          <w:color w:val="auto"/>
        </w:rPr>
      </w:pPr>
      <w:r>
        <w:rPr>
          <w:rFonts w:ascii="Courier New" w:cs="Courier New" w:eastAsia="Courier New" w:hAnsi="Courier New"/>
          <w:sz w:val="17"/>
          <w:szCs w:val="17"/>
          <w:color w:val="auto"/>
        </w:rPr>
        <w:t>On behalf of Citi Trends, Inc., a Delaware corporation (the "Company"), we hereby submit three copies of the Company's responses to the Staff's comments conveyed in a letter to the Company dated April 15, 2005 in connection with the Staff's review of the Company's Amendment No. 1 to the Registration Statement on Form S-1 filed with the Securities and Exchange Commission (the "Commission") on April 7, 2005 (the "Registration Statement").</w:t>
      </w:r>
    </w:p>
    <w:p>
      <w:pPr>
        <w:spacing w:after="0" w:line="91" w:lineRule="exact"/>
        <w:rPr>
          <w:sz w:val="20"/>
          <w:szCs w:val="20"/>
          <w:color w:val="auto"/>
        </w:rPr>
      </w:pPr>
    </w:p>
    <w:p>
      <w:pPr>
        <w:ind w:left="860" w:right="1959" w:firstLine="619"/>
        <w:spacing w:after="0" w:line="271" w:lineRule="auto"/>
        <w:rPr>
          <w:sz w:val="20"/>
          <w:szCs w:val="20"/>
          <w:color w:val="auto"/>
        </w:rPr>
      </w:pPr>
      <w:r>
        <w:rPr>
          <w:rFonts w:ascii="Courier New" w:cs="Courier New" w:eastAsia="Courier New" w:hAnsi="Courier New"/>
          <w:sz w:val="17"/>
          <w:szCs w:val="17"/>
          <w:color w:val="auto"/>
        </w:rPr>
        <w:t>This letter is submitted along with four copies of Amendment No. 2 to the Registration Statement ("Amendment No. 2"). All such copies have been marked to show changes from Amendment No.1 to the Registration Statement. Amendment No. 2 was transmitted for filing with the Commission as of the date hereof.</w:t>
      </w:r>
    </w:p>
    <w:p>
      <w:pPr>
        <w:spacing w:after="0" w:line="84" w:lineRule="exact"/>
        <w:rPr>
          <w:sz w:val="20"/>
          <w:szCs w:val="20"/>
          <w:color w:val="auto"/>
        </w:rPr>
      </w:pPr>
    </w:p>
    <w:p>
      <w:pPr>
        <w:ind w:left="860" w:right="2059" w:firstLine="619"/>
        <w:spacing w:after="0" w:line="267" w:lineRule="auto"/>
        <w:rPr>
          <w:sz w:val="20"/>
          <w:szCs w:val="20"/>
          <w:color w:val="auto"/>
        </w:rPr>
      </w:pPr>
      <w:r>
        <w:rPr>
          <w:rFonts w:ascii="Courier New" w:cs="Courier New" w:eastAsia="Courier New" w:hAnsi="Courier New"/>
          <w:sz w:val="17"/>
          <w:szCs w:val="17"/>
          <w:color w:val="auto"/>
        </w:rPr>
        <w:t>Capitalized terms used herein and not otherwise defined have the meanings specified in the Registration Statement. For your convenience, we have repeated each of the Staff's comments in bold prior to the Company's response. Unless otherwise indicated, all page number references in the responses below are to the internal pages of Amendment No. 2.</w:t>
      </w:r>
    </w:p>
    <w:p>
      <w:pPr>
        <w:sectPr>
          <w:pgSz w:w="11900" w:h="16838" w:orient="portrait"/>
          <w:cols w:equalWidth="0" w:num="1">
            <w:col w:w="9019"/>
          </w:cols>
          <w:pgMar w:left="1440" w:top="903"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7"/>
          <w:szCs w:val="17"/>
          <w:color w:val="auto"/>
        </w:rPr>
        <w:t>April 29, 2005</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4" w:lineRule="exact"/>
        <w:rPr>
          <w:sz w:val="20"/>
          <w:szCs w:val="20"/>
          <w:color w:val="auto"/>
        </w:rPr>
      </w:pPr>
    </w:p>
    <w:p>
      <w:pPr>
        <w:ind w:left="1240" w:right="1959" w:hanging="615"/>
        <w:spacing w:after="0" w:line="260" w:lineRule="auto"/>
        <w:tabs>
          <w:tab w:leader="none" w:pos="124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3. IN THE SUPPLEMENTAL INFORMATION YOU PROVIDED, YOU STATE THAT YOU OFFER 20% TO 60% DISCOUNTS ON THE SAME MERCHANDISE AS DEPARTMENT AND SPECIALTY STORES BECAUSE DEPARTMENT AND SPECIALTY STORES OFFER THEIR MERCHANDISE AT THE MANUFACTURER'S SUGGESTED RETAIL PRICE. THEREFORE, PLEASE PROVIDE A BASIS FOR YOUR BELIEF THAT SPECIALTY AND DEPARTMENT STORES OFFER THEIR PRODUCTS FOR THE MANUFACTURER'S SUGGESTED RETAIL PRICE, OR CONSIDER REVISING YOUR DOCUMENT TO STATE THAT YOU OFFER NATIONALLY RECOGNIZED BRANDED MERCHANDISE AT 20% TO 60% DISCOUNTS OFF THE MANUFACTURER'S SUGGESTED RETAIL PRICE.</w:t>
      </w:r>
    </w:p>
    <w:p>
      <w:pPr>
        <w:spacing w:after="0" w:line="96" w:lineRule="exact"/>
        <w:rPr>
          <w:sz w:val="20"/>
          <w:szCs w:val="20"/>
          <w:color w:val="auto"/>
        </w:rPr>
      </w:pPr>
    </w:p>
    <w:p>
      <w:pPr>
        <w:ind w:left="1240" w:right="2059"/>
        <w:spacing w:after="0" w:line="278" w:lineRule="auto"/>
        <w:rPr>
          <w:sz w:val="20"/>
          <w:szCs w:val="20"/>
          <w:color w:val="auto"/>
        </w:rPr>
      </w:pPr>
      <w:r>
        <w:rPr>
          <w:rFonts w:ascii="Courier New" w:cs="Courier New" w:eastAsia="Courier New" w:hAnsi="Courier New"/>
          <w:sz w:val="17"/>
          <w:szCs w:val="17"/>
          <w:color w:val="auto"/>
        </w:rPr>
        <w:t>The Company supplementally informs the Staff that based on the Company's frequent comparative shopping of specialty and department stores, the Company's management believes that specialty and department stores regularly offer their products for the manufacturer's suggested retail price.</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 Factors, page 6</w:t>
      </w:r>
    </w:p>
    <w:p>
      <w:pPr>
        <w:spacing w:after="0" w:line="204" w:lineRule="exact"/>
        <w:rPr>
          <w:sz w:val="20"/>
          <w:szCs w:val="20"/>
          <w:color w:val="auto"/>
        </w:rPr>
      </w:pPr>
    </w:p>
    <w:p>
      <w:pPr>
        <w:ind w:left="1240" w:right="2159" w:hanging="615"/>
        <w:spacing w:after="0" w:line="278" w:lineRule="auto"/>
        <w:tabs>
          <w:tab w:leader="none" w:pos="124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7. IN YOUR THIRD RISK FACTOR ON PAGE 7 AND YOUR FIRST FULL RISK FACTOR ON PAGE 9, PLEASE CONSIDER EITHER REMOVING THE BULLET POINT ELEMENTS OF THESE SUBSECTIONS OR DISCUSSING HOW EACH OF THESE ELEMENTS IS A RISK TO YOUR BUSINESS.</w:t>
      </w:r>
    </w:p>
    <w:p>
      <w:pPr>
        <w:spacing w:after="0" w:line="75" w:lineRule="exact"/>
        <w:rPr>
          <w:rFonts w:ascii="Courier New" w:cs="Courier New" w:eastAsia="Courier New" w:hAnsi="Courier New"/>
          <w:sz w:val="17"/>
          <w:szCs w:val="17"/>
          <w:color w:val="auto"/>
        </w:rPr>
      </w:pPr>
    </w:p>
    <w:p>
      <w:pPr>
        <w:ind w:left="1240" w:right="2259"/>
        <w:spacing w:after="0" w:line="3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risk factors on pages 7 and 9 of the prospectus.</w:t>
      </w:r>
    </w:p>
    <w:p>
      <w:pPr>
        <w:spacing w:after="0" w:line="2" w:lineRule="exact"/>
        <w:rPr>
          <w:sz w:val="20"/>
          <w:szCs w:val="20"/>
          <w:color w:val="auto"/>
        </w:rPr>
      </w:pPr>
    </w:p>
    <w:p>
      <w:pPr>
        <w:ind w:right="1959"/>
        <w:spacing w:after="0" w:line="370" w:lineRule="auto"/>
        <w:rPr>
          <w:sz w:val="20"/>
          <w:szCs w:val="20"/>
          <w:color w:val="auto"/>
        </w:rPr>
      </w:pPr>
      <w:r>
        <w:rPr>
          <w:rFonts w:ascii="Courier New" w:cs="Courier New" w:eastAsia="Courier New" w:hAnsi="Courier New"/>
          <w:sz w:val="17"/>
          <w:szCs w:val="17"/>
          <w:color w:val="auto"/>
        </w:rPr>
        <w:t>We depend on the experience and expertise of our senior management team..., page 11</w:t>
      </w:r>
    </w:p>
    <w:p>
      <w:pPr>
        <w:spacing w:after="0" w:line="200" w:lineRule="exact"/>
        <w:rPr>
          <w:sz w:val="20"/>
          <w:szCs w:val="20"/>
          <w:color w:val="auto"/>
        </w:rPr>
      </w:pPr>
    </w:p>
    <w:p>
      <w:pPr>
        <w:ind w:left="1240" w:right="1959" w:hanging="615"/>
        <w:spacing w:after="0" w:line="278" w:lineRule="auto"/>
        <w:tabs>
          <w:tab w:leader="none" w:pos="124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10. PLEASE CONSIDER SEPARATING THIS RISK FACTOR INTO TWO RISK FACTORS. ONE RISK FACTOR SHOULD DISCUSS YOUR DEPENDENCE ON YOUR TWO KEY EMPLOYEES, R. EDWARD ANDERSON AND GEORGE BELLINO, AND THE OTHER FACTOR SHOULD DISCUSS THE RISKS RELATING TO YOUR HIGH EMPLOYEE TURNOVER RATES.</w:t>
      </w:r>
    </w:p>
    <w:p>
      <w:pPr>
        <w:spacing w:after="0" w:line="75" w:lineRule="exact"/>
        <w:rPr>
          <w:sz w:val="20"/>
          <w:szCs w:val="20"/>
          <w:color w:val="auto"/>
        </w:rPr>
      </w:pPr>
    </w:p>
    <w:p>
      <w:pPr>
        <w:ind w:left="1240" w:right="2259"/>
        <w:spacing w:after="0" w:line="370" w:lineRule="auto"/>
        <w:rPr>
          <w:sz w:val="20"/>
          <w:szCs w:val="20"/>
          <w:color w:val="auto"/>
        </w:rPr>
      </w:pPr>
      <w:r>
        <w:rPr>
          <w:rFonts w:ascii="Courier New" w:cs="Courier New" w:eastAsia="Courier New" w:hAnsi="Courier New"/>
          <w:sz w:val="17"/>
          <w:szCs w:val="17"/>
          <w:color w:val="auto"/>
        </w:rPr>
        <w:t>The Company has complied with the Staff's comment by revising the disclosure on page 11 of the prospectus.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Proceeds, page 17</w:t>
      </w:r>
    </w:p>
    <w:p>
      <w:pPr>
        <w:spacing w:after="0" w:line="204" w:lineRule="exact"/>
        <w:rPr>
          <w:sz w:val="20"/>
          <w:szCs w:val="20"/>
          <w:color w:val="auto"/>
        </w:rPr>
      </w:pPr>
    </w:p>
    <w:p>
      <w:pPr>
        <w:ind w:left="1240" w:right="2059" w:hanging="615"/>
        <w:spacing w:after="0" w:line="278" w:lineRule="auto"/>
        <w:tabs>
          <w:tab w:leader="none" w:pos="1240"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13. PLEASE ESTIMATE YOUR OUTSTANDING INDEBTEDNESS UNDER YOUR REVOLVING LINES OF CREDIT THAT YOU WILL HAVE TO PAY THE BANK OF AMERICA AND CONGRESS FINANCIAL. IF YOU ARE UNABLE TO ESTIMATE THE AMOUNTS YOU OWE ON YOUR REVOLVING LINES OF</w:t>
      </w:r>
    </w:p>
    <w:p>
      <w:pPr>
        <w:sectPr>
          <w:pgSz w:w="11900" w:h="16838" w:orient="portrait"/>
          <w:cols w:equalWidth="0" w:num="1">
            <w:col w:w="10219"/>
          </w:cols>
          <w:pgMar w:left="240" w:top="480" w:right="1440" w:bottom="1440" w:gutter="0" w:footer="0" w:header="0"/>
        </w:sectPr>
      </w:pPr>
    </w:p>
    <w:bookmarkStart w:id="149" w:name="page150"/>
    <w:bookmarkEnd w:id="149"/>
    <w:p>
      <w:pPr>
        <w:spacing w:after="0"/>
        <w:rPr>
          <w:sz w:val="20"/>
          <w:szCs w:val="20"/>
          <w:color w:val="auto"/>
        </w:rPr>
      </w:pPr>
      <w:r>
        <w:rPr>
          <w:rFonts w:ascii="Courier New" w:cs="Courier New" w:eastAsia="Courier New" w:hAnsi="Courier New"/>
          <w:sz w:val="17"/>
          <w:szCs w:val="17"/>
          <w:color w:val="auto"/>
        </w:rPr>
        <w:t>April 29, 2005</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3</w:t>
      </w:r>
    </w:p>
    <w:p>
      <w:pPr>
        <w:spacing w:after="0" w:line="172" w:lineRule="exact"/>
        <w:rPr>
          <w:sz w:val="20"/>
          <w:szCs w:val="20"/>
          <w:color w:val="auto"/>
        </w:rPr>
      </w:pPr>
    </w:p>
    <w:p>
      <w:pPr>
        <w:ind w:left="1240" w:right="1959"/>
        <w:spacing w:after="0" w:line="271" w:lineRule="auto"/>
        <w:rPr>
          <w:sz w:val="20"/>
          <w:szCs w:val="20"/>
          <w:color w:val="auto"/>
        </w:rPr>
      </w:pPr>
      <w:r>
        <w:rPr>
          <w:rFonts w:ascii="Courier New" w:cs="Courier New" w:eastAsia="Courier New" w:hAnsi="Courier New"/>
          <w:sz w:val="17"/>
          <w:szCs w:val="17"/>
          <w:color w:val="auto"/>
        </w:rPr>
        <w:t>CREDIT, PLEASE DISCLOSE THIS IN YOUR DOCUMENT. FURTHER, PLEASE TELL US IF YOUR $1.6 MILLION DEBT TO THE NATIONAL BANK OF COMMERCE WAS INCURRED WITHIN THE LAST YEAR. IF SO, PLEASE DESCRIBE THE USE OF THE PROCEEDS OF THIS INDEBTEDNESS FOR ANYTHING OTHER THAN SHORT-TERM BORROWINGS USED FOR WORKING CAPITAL. SEE INSTRUCTION 4 TO ITEM 504 OF REGULATION S-K.</w:t>
      </w:r>
    </w:p>
    <w:p>
      <w:pPr>
        <w:spacing w:after="0" w:line="84" w:lineRule="exact"/>
        <w:rPr>
          <w:sz w:val="20"/>
          <w:szCs w:val="20"/>
          <w:color w:val="auto"/>
        </w:rPr>
      </w:pPr>
    </w:p>
    <w:p>
      <w:pPr>
        <w:ind w:left="1240" w:right="1959"/>
        <w:spacing w:after="0" w:line="264" w:lineRule="auto"/>
        <w:rPr>
          <w:sz w:val="20"/>
          <w:szCs w:val="20"/>
          <w:color w:val="auto"/>
        </w:rPr>
      </w:pPr>
      <w:r>
        <w:rPr>
          <w:rFonts w:ascii="Courier New" w:cs="Courier New" w:eastAsia="Courier New" w:hAnsi="Courier New"/>
          <w:sz w:val="17"/>
          <w:szCs w:val="17"/>
          <w:color w:val="auto"/>
        </w:rPr>
        <w:t>The Company has complied with the Staff's comment by revising the disclosure on page 17 of the prospectus. The Company supplementally advises the Staff that there are currently no outstanding balances under, and prior to the consummation of the offering the Company does not expect to incur any indebtedness under, the Bank of America or Congress Financial revolving lines of credit, and, therefore, such repayment will not be a use of the net proceeds from the offering.</w:t>
      </w:r>
    </w:p>
    <w:p>
      <w:pPr>
        <w:spacing w:after="0" w:line="91" w:lineRule="exact"/>
        <w:rPr>
          <w:sz w:val="20"/>
          <w:szCs w:val="20"/>
          <w:color w:val="auto"/>
        </w:rPr>
      </w:pPr>
    </w:p>
    <w:p>
      <w:pPr>
        <w:ind w:left="1240" w:right="2159"/>
        <w:spacing w:after="0" w:line="308" w:lineRule="auto"/>
        <w:rPr>
          <w:sz w:val="20"/>
          <w:szCs w:val="20"/>
          <w:color w:val="auto"/>
        </w:rPr>
      </w:pPr>
      <w:r>
        <w:rPr>
          <w:rFonts w:ascii="Courier New" w:cs="Courier New" w:eastAsia="Courier New" w:hAnsi="Courier New"/>
          <w:sz w:val="17"/>
          <w:szCs w:val="17"/>
          <w:color w:val="auto"/>
        </w:rPr>
        <w:t>The Company supplementally informs the Staff that the $1.6 million debt to the National Bank of Commerce was not incurred within the last year.</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Selected Financial and Operating Data, page 20</w:t>
      </w:r>
    </w:p>
    <w:p>
      <w:pPr>
        <w:spacing w:after="0" w:line="204" w:lineRule="exact"/>
        <w:rPr>
          <w:sz w:val="20"/>
          <w:szCs w:val="20"/>
          <w:color w:val="auto"/>
        </w:rPr>
      </w:pPr>
    </w:p>
    <w:p>
      <w:pPr>
        <w:jc w:val="both"/>
        <w:ind w:left="1240" w:right="2159" w:hanging="615"/>
        <w:spacing w:after="0" w:line="308" w:lineRule="auto"/>
        <w:tabs>
          <w:tab w:leader="none" w:pos="1240"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16. PLEASE INCLUDE YOUR "NET INCOME PER COMMON SHARE" AND "WEIGHTED AVERAGE SHARE" IN THIS SECTION.</w:t>
      </w:r>
    </w:p>
    <w:p>
      <w:pPr>
        <w:spacing w:after="0" w:line="52" w:lineRule="exact"/>
        <w:rPr>
          <w:rFonts w:ascii="Courier New" w:cs="Courier New" w:eastAsia="Courier New" w:hAnsi="Courier New"/>
          <w:sz w:val="17"/>
          <w:szCs w:val="17"/>
          <w:color w:val="auto"/>
        </w:rPr>
      </w:pPr>
    </w:p>
    <w:p>
      <w:pPr>
        <w:jc w:val="both"/>
        <w:ind w:left="1240" w:right="2259"/>
        <w:spacing w:after="0" w:line="30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20 of the prospectus to include the net income per common share and the weighted average share data.</w:t>
      </w:r>
    </w:p>
    <w:p>
      <w:pPr>
        <w:spacing w:after="0" w:line="52" w:lineRule="exact"/>
        <w:rPr>
          <w:rFonts w:ascii="Courier New" w:cs="Courier New" w:eastAsia="Courier New" w:hAnsi="Courier New"/>
          <w:sz w:val="17"/>
          <w:szCs w:val="17"/>
          <w:color w:val="auto"/>
        </w:rPr>
      </w:pPr>
    </w:p>
    <w:p>
      <w:pPr>
        <w:ind w:left="1240" w:right="2059" w:hanging="615"/>
        <w:spacing w:after="0" w:line="288" w:lineRule="auto"/>
        <w:tabs>
          <w:tab w:leader="none" w:pos="1240"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17. HOWEVER, IT DOES NOT APPEAR THAT YOU SHOW MANDATORILY REDEEMABLE PREFERRED STOCK AS A LIABILITY IN THE YEARS PRIOR TO THE RECLASSIFICATION. PLEASE REVISE OR ADVISE.</w:t>
      </w:r>
    </w:p>
    <w:p>
      <w:pPr>
        <w:spacing w:after="0" w:line="67" w:lineRule="exact"/>
        <w:rPr>
          <w:rFonts w:ascii="Courier New" w:cs="Courier New" w:eastAsia="Courier New" w:hAnsi="Courier New"/>
          <w:sz w:val="17"/>
          <w:szCs w:val="17"/>
          <w:color w:val="auto"/>
        </w:rPr>
      </w:pPr>
    </w:p>
    <w:p>
      <w:pPr>
        <w:ind w:left="1240" w:right="2259"/>
        <w:spacing w:after="0" w:line="28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20 of the prospectus so that the mandatorily redeemable preferred stock is shown as a liability in the years prior to the reclassification.</w:t>
      </w:r>
    </w:p>
    <w:p>
      <w:pPr>
        <w:spacing w:after="0" w:line="67" w:lineRule="exact"/>
        <w:rPr>
          <w:rFonts w:ascii="Courier New" w:cs="Courier New" w:eastAsia="Courier New" w:hAnsi="Courier New"/>
          <w:sz w:val="17"/>
          <w:szCs w:val="17"/>
          <w:color w:val="auto"/>
        </w:rPr>
      </w:pPr>
    </w:p>
    <w:p>
      <w:pPr>
        <w:ind w:left="1240" w:right="1959" w:hanging="615"/>
        <w:spacing w:after="0" w:line="308" w:lineRule="auto"/>
        <w:tabs>
          <w:tab w:leader="none" w:pos="1240"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PLEASE EXPAND YOUR DISCLOSURES RELATING TO STORE OPERATING PROFIT TO INDICATE THE NATURE OF THE EXPENSES INCLUDED IN STORE OPERATING EXPENSES.</w:t>
      </w:r>
    </w:p>
    <w:p>
      <w:pPr>
        <w:spacing w:after="0" w:line="52" w:lineRule="exact"/>
        <w:rPr>
          <w:rFonts w:ascii="Courier New" w:cs="Courier New" w:eastAsia="Courier New" w:hAnsi="Courier New"/>
          <w:sz w:val="17"/>
          <w:szCs w:val="17"/>
          <w:color w:val="auto"/>
        </w:rPr>
      </w:pPr>
    </w:p>
    <w:p>
      <w:pPr>
        <w:jc w:val="both"/>
        <w:ind w:left="1240" w:right="2259"/>
        <w:spacing w:after="0" w:line="30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21 of the prospectus to indicate the nature of the expenses included in store operating expenses.</w:t>
      </w:r>
    </w:p>
    <w:p>
      <w:pPr>
        <w:sectPr>
          <w:pgSz w:w="11900" w:h="16838" w:orient="portrait"/>
          <w:cols w:equalWidth="0" w:num="1">
            <w:col w:w="10219"/>
          </w:cols>
          <w:pgMar w:left="240" w:top="480"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7"/>
          <w:szCs w:val="17"/>
          <w:color w:val="auto"/>
        </w:rPr>
        <w:t>April 29, 2005</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 page 22</w:t>
      </w:r>
    </w:p>
    <w:p>
      <w:pPr>
        <w:spacing w:after="0" w:line="204" w:lineRule="exact"/>
        <w:rPr>
          <w:sz w:val="20"/>
          <w:szCs w:val="20"/>
          <w:color w:val="auto"/>
        </w:rPr>
      </w:pPr>
    </w:p>
    <w:p>
      <w:pPr>
        <w:ind w:left="1240" w:right="2059" w:hanging="615"/>
        <w:spacing w:after="0" w:line="288" w:lineRule="auto"/>
        <w:tabs>
          <w:tab w:leader="none" w:pos="124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23. PLEASE DISCLOSE THE INJUNCTIVE ORDER IMPOSED BY THE U.S. COURT OF INTERNATIONAL TRADE STOPPING THE U.S. GOVERNMENT FROM INSTITUTING SAFEGUARD MEASURES ON TWELVE CATEGORIES OF TEXTILES AND APPAREL.</w:t>
      </w:r>
    </w:p>
    <w:p>
      <w:pPr>
        <w:spacing w:after="0" w:line="67" w:lineRule="exact"/>
        <w:rPr>
          <w:rFonts w:ascii="Courier New" w:cs="Courier New" w:eastAsia="Courier New" w:hAnsi="Courier New"/>
          <w:sz w:val="17"/>
          <w:szCs w:val="17"/>
          <w:color w:val="auto"/>
        </w:rPr>
      </w:pPr>
    </w:p>
    <w:p>
      <w:pPr>
        <w:ind w:left="1240" w:right="2059"/>
        <w:spacing w:after="0" w:line="27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22 of the prospectus to disclose the injunctive order imposed by the U.S. Court of International Trade stopping the U.S. government from instituting safeguard measures on twelve categories of textiles and apparel.</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Quarterly Results of Operations, page 26</w:t>
      </w:r>
    </w:p>
    <w:p>
      <w:pPr>
        <w:spacing w:after="0" w:line="204" w:lineRule="exact"/>
        <w:rPr>
          <w:sz w:val="20"/>
          <w:szCs w:val="20"/>
          <w:color w:val="auto"/>
        </w:rPr>
      </w:pPr>
    </w:p>
    <w:p>
      <w:pPr>
        <w:ind w:left="1240" w:right="2059" w:hanging="615"/>
        <w:spacing w:after="0" w:line="308" w:lineRule="auto"/>
        <w:tabs>
          <w:tab w:leader="none" w:pos="124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25. PLEASE ADD PER SHARE DATA TO YOUR QUARTERLY RESULTS OF OPERATIONS AS REQUIRED BY ITEM 302(A)(1) OF REGULATION S-K.</w:t>
      </w:r>
    </w:p>
    <w:p>
      <w:pPr>
        <w:spacing w:after="0" w:line="52" w:lineRule="exact"/>
        <w:rPr>
          <w:rFonts w:ascii="Courier New" w:cs="Courier New" w:eastAsia="Courier New" w:hAnsi="Courier New"/>
          <w:sz w:val="17"/>
          <w:szCs w:val="17"/>
          <w:color w:val="auto"/>
        </w:rPr>
      </w:pPr>
    </w:p>
    <w:p>
      <w:pPr>
        <w:ind w:left="1240" w:right="2259"/>
        <w:spacing w:after="0" w:line="30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27 of the prospectus to include the per share data to the Company's quarterly results of operations.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 page 27</w:t>
      </w:r>
    </w:p>
    <w:p>
      <w:pPr>
        <w:spacing w:after="0" w:line="204" w:lineRule="exact"/>
        <w:rPr>
          <w:sz w:val="20"/>
          <w:szCs w:val="20"/>
          <w:color w:val="auto"/>
        </w:rPr>
      </w:pPr>
    </w:p>
    <w:p>
      <w:pPr>
        <w:ind w:left="1240" w:right="2059" w:hanging="615"/>
        <w:spacing w:after="0" w:line="267" w:lineRule="auto"/>
        <w:tabs>
          <w:tab w:leader="none" w:pos="124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YOUR DESCRIPTION OF THE CHANGE IN NET CASH PROVIDED BY OPERATING ACTIVITIES FOR FISCAL 2004 AS COMPARED TO FISCAL 2003, PLEASE DISCUSS ALL MATERIAL FACTORS CONTRIBUTING TO THE INCREASE. FOR EXAMPLE, WE NOTE THAT YOU DISCUSS THE INCREASE IN NET INCOME AS A PRIMARY FACTOR, BUT ALSO DISCUSS OTHER SIGNIFICANT FACTORS SUCH AS THE CHANGE IN INVENTORY, CHANGE IN ACCOUNTS PAYABLE, AND CHANGE IN ACCRUED EXPENSES AND ACCRUED COMPENSATION.</w:t>
      </w:r>
    </w:p>
    <w:p>
      <w:pPr>
        <w:spacing w:after="0" w:line="88" w:lineRule="exact"/>
        <w:rPr>
          <w:sz w:val="20"/>
          <w:szCs w:val="20"/>
          <w:color w:val="auto"/>
        </w:rPr>
      </w:pPr>
    </w:p>
    <w:p>
      <w:pPr>
        <w:ind w:left="1240" w:right="2259"/>
        <w:spacing w:after="0" w:line="308" w:lineRule="auto"/>
        <w:rPr>
          <w:sz w:val="20"/>
          <w:szCs w:val="20"/>
          <w:color w:val="auto"/>
        </w:rPr>
      </w:pPr>
      <w:r>
        <w:rPr>
          <w:rFonts w:ascii="Courier New" w:cs="Courier New" w:eastAsia="Courier New" w:hAnsi="Courier New"/>
          <w:sz w:val="17"/>
          <w:szCs w:val="17"/>
          <w:color w:val="auto"/>
        </w:rPr>
        <w:t>The Company has complied with the Staff's comment by revising the disclosure on page 28 of the prospectus to discuss all material factors contributing to the increase.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Growth Strategy, page 35</w:t>
      </w:r>
    </w:p>
    <w:p>
      <w:pPr>
        <w:spacing w:after="0" w:line="204" w:lineRule="exact"/>
        <w:rPr>
          <w:sz w:val="20"/>
          <w:szCs w:val="20"/>
          <w:color w:val="auto"/>
        </w:rPr>
      </w:pPr>
    </w:p>
    <w:p>
      <w:pPr>
        <w:ind w:left="1240" w:right="2159" w:hanging="615"/>
        <w:spacing w:after="0" w:line="370" w:lineRule="auto"/>
        <w:tabs>
          <w:tab w:leader="none" w:pos="124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32. PLEASE INCLUDE THE DEFINITIONS IN YOUR RESPONSE TO US IN YOUR REGISTRATION STATEMENT.</w:t>
      </w:r>
    </w:p>
    <w:p>
      <w:pPr>
        <w:sectPr>
          <w:pgSz w:w="11900" w:h="16838" w:orient="portrait"/>
          <w:cols w:equalWidth="0" w:num="1">
            <w:col w:w="10219"/>
          </w:cols>
          <w:pgMar w:left="240" w:top="480"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7"/>
          <w:szCs w:val="17"/>
          <w:color w:val="auto"/>
        </w:rPr>
        <w:t>April 29, 2005</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5</w:t>
      </w:r>
    </w:p>
    <w:p>
      <w:pPr>
        <w:spacing w:after="0" w:line="172" w:lineRule="exact"/>
        <w:rPr>
          <w:sz w:val="20"/>
          <w:szCs w:val="20"/>
          <w:color w:val="auto"/>
        </w:rPr>
      </w:pPr>
    </w:p>
    <w:p>
      <w:pPr>
        <w:ind w:left="1240" w:right="2259"/>
        <w:spacing w:after="0" w:line="308" w:lineRule="auto"/>
        <w:rPr>
          <w:sz w:val="20"/>
          <w:szCs w:val="20"/>
          <w:color w:val="auto"/>
        </w:rPr>
      </w:pPr>
      <w:r>
        <w:rPr>
          <w:rFonts w:ascii="Courier New" w:cs="Courier New" w:eastAsia="Courier New" w:hAnsi="Courier New"/>
          <w:sz w:val="17"/>
          <w:szCs w:val="17"/>
          <w:color w:val="auto"/>
        </w:rPr>
        <w:t>The Company has complied with the Staff's comment by revising the disclosure on page 36 of the prospectus to include the Company's response to prior comment #32.</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Legal Proceedings, page 41</w:t>
      </w:r>
    </w:p>
    <w:p>
      <w:pPr>
        <w:spacing w:after="0" w:line="204" w:lineRule="exact"/>
        <w:rPr>
          <w:sz w:val="20"/>
          <w:szCs w:val="20"/>
          <w:color w:val="auto"/>
        </w:rPr>
      </w:pPr>
    </w:p>
    <w:p>
      <w:pPr>
        <w:ind w:left="1240" w:right="2579" w:hanging="615"/>
        <w:spacing w:after="0" w:line="370" w:lineRule="auto"/>
        <w:tabs>
          <w:tab w:leader="none" w:pos="1240"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PRIOR COMMENT 40. PLEASE IDENTIFY THE PARTIES TO THE LITIGATION. SEE ITEM 103 OF REGULATION S-K.</w:t>
      </w:r>
    </w:p>
    <w:p>
      <w:pPr>
        <w:spacing w:after="0" w:line="1" w:lineRule="exact"/>
        <w:rPr>
          <w:rFonts w:ascii="Courier New" w:cs="Courier New" w:eastAsia="Courier New" w:hAnsi="Courier New"/>
          <w:sz w:val="17"/>
          <w:szCs w:val="17"/>
          <w:color w:val="auto"/>
        </w:rPr>
      </w:pPr>
    </w:p>
    <w:p>
      <w:pPr>
        <w:ind w:left="1240" w:right="2059"/>
        <w:spacing w:after="0" w:line="27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42 of the prospectus. The Company supplementally informs the Staff that the other litigation previously disclosed brought by the former manager-in-training has been settled for a de minimus amount, and the Company has revised the prospectus accordingly.</w:t>
      </w:r>
    </w:p>
    <w:p>
      <w:pPr>
        <w:spacing w:after="0" w:line="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Officers and Directors, page 42</w:t>
      </w:r>
    </w:p>
    <w:p>
      <w:pPr>
        <w:spacing w:after="0" w:line="204" w:lineRule="exact"/>
        <w:rPr>
          <w:sz w:val="20"/>
          <w:szCs w:val="20"/>
          <w:color w:val="auto"/>
        </w:rPr>
      </w:pPr>
    </w:p>
    <w:p>
      <w:pPr>
        <w:ind w:left="1240" w:right="2159" w:hanging="615"/>
        <w:spacing w:after="0" w:line="308" w:lineRule="auto"/>
        <w:tabs>
          <w:tab w:leader="none" w:pos="124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42. PLEASE DISCLOSE THE POSITIONS HELD BY MR. GOFF AS AN EMPLOYEE OF HAMPSHIRE. SEE ITEM 401(E) OF REGULATION S-K.</w:t>
      </w:r>
    </w:p>
    <w:p>
      <w:pPr>
        <w:spacing w:after="0" w:line="52" w:lineRule="exact"/>
        <w:rPr>
          <w:rFonts w:ascii="Courier New" w:cs="Courier New" w:eastAsia="Courier New" w:hAnsi="Courier New"/>
          <w:sz w:val="17"/>
          <w:szCs w:val="17"/>
          <w:color w:val="auto"/>
        </w:rPr>
      </w:pPr>
    </w:p>
    <w:p>
      <w:pPr>
        <w:jc w:val="both"/>
        <w:ind w:left="1240" w:right="2259"/>
        <w:spacing w:after="0" w:line="30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44 of the prospectus to disclose the positions held by Mr. Goff as an employee of Hampshire.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of Directors Composition After the Offering, page 43</w:t>
      </w:r>
    </w:p>
    <w:p>
      <w:pPr>
        <w:spacing w:after="0" w:line="204" w:lineRule="exact"/>
        <w:rPr>
          <w:sz w:val="20"/>
          <w:szCs w:val="20"/>
          <w:color w:val="auto"/>
        </w:rPr>
      </w:pPr>
    </w:p>
    <w:p>
      <w:pPr>
        <w:jc w:val="both"/>
        <w:ind w:left="1240" w:right="2259" w:hanging="615"/>
        <w:spacing w:after="0" w:line="308" w:lineRule="auto"/>
        <w:tabs>
          <w:tab w:leader="none" w:pos="124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44. PLEASE DISCLOSE IN YOUR REGISTRATION STATEMENT THAT YOUR THREE INDEPENDENT DIRECTORS WILL BE JOHN LUPO, TRACY NOLL, AND THE DIRECTOR NOMINEE.</w:t>
      </w:r>
    </w:p>
    <w:p>
      <w:pPr>
        <w:spacing w:after="0" w:line="52" w:lineRule="exact"/>
        <w:rPr>
          <w:rFonts w:ascii="Courier New" w:cs="Courier New" w:eastAsia="Courier New" w:hAnsi="Courier New"/>
          <w:sz w:val="17"/>
          <w:szCs w:val="17"/>
          <w:color w:val="auto"/>
        </w:rPr>
      </w:pPr>
    </w:p>
    <w:p>
      <w:pPr>
        <w:ind w:left="1240" w:right="2059"/>
        <w:spacing w:after="0" w:line="27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44 of the prospectus to disclose that the independent directors will be John Lupo and Tracy Noll. The Company has also disclosed that the vacant board position will be filled by an independent director.</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Compensation, page 46</w:t>
      </w:r>
    </w:p>
    <w:p>
      <w:pPr>
        <w:spacing w:after="0" w:line="204" w:lineRule="exact"/>
        <w:rPr>
          <w:sz w:val="20"/>
          <w:szCs w:val="20"/>
          <w:color w:val="auto"/>
        </w:rPr>
      </w:pPr>
    </w:p>
    <w:p>
      <w:pPr>
        <w:ind w:left="1240" w:right="2059" w:hanging="615"/>
        <w:spacing w:after="0" w:line="288" w:lineRule="auto"/>
        <w:tabs>
          <w:tab w:leader="none" w:pos="124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45. PLEASE DISCLOSE THE AMOUNT OF OPTIONS AND THE EXERCISE PRICE YOU ANTICIPATE GIVING YOUR INDEPENDENT DIRECTORS IN THE FUTURE. SEE ITEM 402(G) OF REGULATION S-K.</w:t>
      </w:r>
    </w:p>
    <w:p>
      <w:pPr>
        <w:spacing w:after="0" w:line="67" w:lineRule="exact"/>
        <w:rPr>
          <w:rFonts w:ascii="Courier New" w:cs="Courier New" w:eastAsia="Courier New" w:hAnsi="Courier New"/>
          <w:sz w:val="17"/>
          <w:szCs w:val="17"/>
          <w:color w:val="auto"/>
        </w:rPr>
      </w:pPr>
    </w:p>
    <w:p>
      <w:pPr>
        <w:ind w:left="1240" w:right="2159"/>
        <w:spacing w:after="0" w:line="28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page 47 of the prospectus to disclose the amount of options and the exercise price the Company anticipates giving its independent directors in the future.</w:t>
      </w:r>
    </w:p>
    <w:p>
      <w:pPr>
        <w:sectPr>
          <w:pgSz w:w="11900" w:h="16838" w:orient="portrait"/>
          <w:cols w:equalWidth="0" w:num="1">
            <w:col w:w="10219"/>
          </w:cols>
          <w:pgMar w:left="240" w:top="480"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7"/>
          <w:szCs w:val="17"/>
          <w:color w:val="auto"/>
        </w:rPr>
        <w:t>April 29, 2005</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6</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Lock-Up Agreements, page 62</w:t>
      </w:r>
    </w:p>
    <w:p>
      <w:pPr>
        <w:spacing w:after="0" w:line="204" w:lineRule="exact"/>
        <w:rPr>
          <w:sz w:val="20"/>
          <w:szCs w:val="20"/>
          <w:color w:val="auto"/>
        </w:rPr>
      </w:pPr>
    </w:p>
    <w:p>
      <w:pPr>
        <w:ind w:left="1240" w:right="2159" w:hanging="615"/>
        <w:spacing w:after="0" w:line="370" w:lineRule="auto"/>
        <w:tabs>
          <w:tab w:leader="none" w:pos="124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49. PLEASE INCLUDE YOUR RESPONSE TO US IN YOUR REGISTRATION STATEMENT.</w:t>
      </w:r>
    </w:p>
    <w:p>
      <w:pPr>
        <w:spacing w:after="0" w:line="1" w:lineRule="exact"/>
        <w:rPr>
          <w:rFonts w:ascii="Courier New" w:cs="Courier New" w:eastAsia="Courier New" w:hAnsi="Courier New"/>
          <w:sz w:val="17"/>
          <w:szCs w:val="17"/>
          <w:color w:val="auto"/>
        </w:rPr>
      </w:pPr>
    </w:p>
    <w:p>
      <w:pPr>
        <w:ind w:left="1240" w:right="2259"/>
        <w:spacing w:after="0" w:line="30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65 of the prospectus to include the Company's response to prior comment #49.</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STATEMENTS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 Summary of Significant Accounting Policies, page F-7</w:t>
      </w:r>
    </w:p>
    <w:p>
      <w:pPr>
        <w:spacing w:after="0" w:line="204" w:lineRule="exact"/>
        <w:rPr>
          <w:sz w:val="20"/>
          <w:szCs w:val="20"/>
          <w:color w:val="auto"/>
        </w:rPr>
      </w:pPr>
    </w:p>
    <w:p>
      <w:pPr>
        <w:ind w:left="1240" w:right="2059" w:hanging="615"/>
        <w:spacing w:after="0" w:line="258" w:lineRule="auto"/>
        <w:tabs>
          <w:tab w:leader="none" w:pos="124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NOTE YOUR RESPONSE TO OUR PRIOR COMMENT 54. IT DOES NOT APPEAR THAT YOU REVISED YOUR MANAGEMENT'S DISCUSSION AND ANALYSIS SECTION CONCERNING HANDLING AND DISTRIBUTION COSTS AS INDICATED IN YOUR RESPONSE. ALSO, IN YOUR MANAGEMENT'S DISCUSSION AND ANALYSIS SECTION, PLEASE DISCLOSE THAT YOUR GROSS MARGINS MAY NOT BE COMPARABLE TO OTHERS SINCE SOME ENTITIES INCLUDE THE COSTS RELATED TO THEIR DISTRIBUTION NETWORK IN COST OF GOODS SOLD, AND OTHERS, LIKE YOU, EXCLUDE ALL OR A PORTION OF THEM FROM GROSS MARGIN, INCLUDING THEM INSTEAD IN A LINE ITEM SUCH AS SELLING, GENERAL, AND ADMINISTRATIVE EXPENSES. FURTHER, AS PREVIOUSLY REQUESTED, PLEASE DISCLOSE THE AMOUNTS EXCLUDED FROM COST OF SALES FOR EACH PERIOD PRESENTED.</w:t>
      </w:r>
    </w:p>
    <w:p>
      <w:pPr>
        <w:spacing w:after="0" w:line="95" w:lineRule="exact"/>
        <w:rPr>
          <w:rFonts w:ascii="Courier New" w:cs="Courier New" w:eastAsia="Courier New" w:hAnsi="Courier New"/>
          <w:sz w:val="17"/>
          <w:szCs w:val="17"/>
          <w:color w:val="auto"/>
        </w:rPr>
      </w:pPr>
    </w:p>
    <w:p>
      <w:pPr>
        <w:ind w:left="1240" w:right="1959"/>
        <w:spacing w:after="0" w:line="26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respectfully submits that the Company did revise its Management's Discussion and Analysis of Financial Condition and Results of Operations for prior comment #54 in Amendment No. 1 to the Registration Statement. Please see the "Basis of the Presentation" section on page 23 of the prospectus. We noted that "Selling, general and administrative expense is comprised of store costs, including salaries and store occupancy costs, handling costs, corporate and distribution center costs and advertising costs."</w:t>
      </w:r>
    </w:p>
    <w:p>
      <w:pPr>
        <w:spacing w:after="0" w:line="91" w:lineRule="exact"/>
        <w:rPr>
          <w:rFonts w:ascii="Courier New" w:cs="Courier New" w:eastAsia="Courier New" w:hAnsi="Courier New"/>
          <w:sz w:val="17"/>
          <w:szCs w:val="17"/>
          <w:color w:val="auto"/>
        </w:rPr>
      </w:pPr>
    </w:p>
    <w:p>
      <w:pPr>
        <w:ind w:left="1240" w:right="2259"/>
        <w:spacing w:after="0" w:line="30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24 of the prospectus to disclose that the Company's gross margins may not be comparable to other retailers.</w:t>
      </w:r>
    </w:p>
    <w:p>
      <w:pPr>
        <w:spacing w:after="0" w:line="52" w:lineRule="exact"/>
        <w:rPr>
          <w:rFonts w:ascii="Courier New" w:cs="Courier New" w:eastAsia="Courier New" w:hAnsi="Courier New"/>
          <w:sz w:val="17"/>
          <w:szCs w:val="17"/>
          <w:color w:val="auto"/>
        </w:rPr>
      </w:pPr>
    </w:p>
    <w:p>
      <w:pPr>
        <w:ind w:left="1240" w:right="2159"/>
        <w:spacing w:after="0" w:line="26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respectfully submits that disclosing the handling and distribution costs excluded from cost of sales for each period presented will not be useful to investors and could potentially be misleading. As discussed in the Staff's comment, the cost of sales line item is not uniform among retailers, and different retailers include occupancy, buying labor, and advertising costs (or some permutation of these costs) in costs of sales, in addition to handling</w:t>
      </w:r>
    </w:p>
    <w:p>
      <w:pPr>
        <w:sectPr>
          <w:pgSz w:w="11900" w:h="16838" w:orient="portrait"/>
          <w:cols w:equalWidth="0" w:num="1">
            <w:col w:w="10219"/>
          </w:cols>
          <w:pgMar w:left="240" w:top="480"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7"/>
          <w:szCs w:val="17"/>
          <w:color w:val="auto"/>
        </w:rPr>
        <w:t>April 29, 2005</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7</w:t>
      </w:r>
    </w:p>
    <w:p>
      <w:pPr>
        <w:spacing w:after="0" w:line="172" w:lineRule="exact"/>
        <w:rPr>
          <w:sz w:val="20"/>
          <w:szCs w:val="20"/>
          <w:color w:val="auto"/>
        </w:rPr>
      </w:pPr>
    </w:p>
    <w:p>
      <w:pPr>
        <w:ind w:left="1240" w:right="2159"/>
        <w:spacing w:after="0" w:line="308" w:lineRule="auto"/>
        <w:rPr>
          <w:sz w:val="20"/>
          <w:szCs w:val="20"/>
          <w:color w:val="auto"/>
        </w:rPr>
      </w:pPr>
      <w:r>
        <w:rPr>
          <w:rFonts w:ascii="Courier New" w:cs="Courier New" w:eastAsia="Courier New" w:hAnsi="Courier New"/>
          <w:sz w:val="17"/>
          <w:szCs w:val="17"/>
          <w:color w:val="auto"/>
        </w:rPr>
        <w:t>and distribution center costs. Therefore, disclosing the aforementioned amounts will not facilitate a greater understanding of our gross margins.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8, Stockholders' Equity, page F-15</w:t>
      </w:r>
    </w:p>
    <w:p>
      <w:pPr>
        <w:spacing w:after="0" w:line="204" w:lineRule="exact"/>
        <w:rPr>
          <w:sz w:val="20"/>
          <w:szCs w:val="20"/>
          <w:color w:val="auto"/>
        </w:rPr>
      </w:pPr>
    </w:p>
    <w:p>
      <w:pPr>
        <w:ind w:left="1240" w:right="1959" w:hanging="615"/>
        <w:spacing w:after="0" w:line="256" w:lineRule="auto"/>
        <w:tabs>
          <w:tab w:leader="none" w:pos="124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PLEASE EXPAND YOUR DISCLOSURE TO INCLUDE, FOR EACH GRANT DATE, THE NUMBER OF OPTIONS OR SHARES GRANTED, THE EXERCISE PRICE, THE FAIR VALUE OF THE COMMON STOCK, AND THE INTRINSIC VALUE, IF ANY, PER OPTION. PLEASE INDICATE WHETHER THE VALUATION YOU USED TO DETERMINE THE FAIR VALUE WAS CONTEMPORANEOUS OR RESPECTIVE. IN ADDITION, PLEASE EXPAND YOUR MANAGEMENT'S DISCUSSION AND ANALYSIS SECTION TO DISCLOSE THE INTRINSIC VALUE OF OUTSTANDING OPTIONS, VESTED AND UNVESTED, BASED ON THE ESTIMATED INITIAL PUBLIC OFFERING PRICE. FURTHER, PLEASE DISCUSS THE FACTORS, ASSUMPTIONS, AND METHODOLOGIES YOU USED IN DETERMINING FAIR VALUE AND THE FACTORS CONTRIBUTING TO THE DIFFERENCE BETWEEN THE FAIR VALUE AS OF THE DATE OF EACH GRANT AND THE ESTIMATED INITIAL PUBLIC OFFERING PRICE. PLEASE INDICATE THE REASON MANAGEMENT CHOSE NOT TO OBTAIN A CONTEMPORANEOUS VALUATION BY AN UNRELATED VALUATION SPECIALIST.</w:t>
      </w:r>
    </w:p>
    <w:p>
      <w:pPr>
        <w:spacing w:after="0" w:line="100" w:lineRule="exact"/>
        <w:rPr>
          <w:rFonts w:ascii="Courier New" w:cs="Courier New" w:eastAsia="Courier New" w:hAnsi="Courier New"/>
          <w:sz w:val="17"/>
          <w:szCs w:val="17"/>
          <w:color w:val="auto"/>
        </w:rPr>
      </w:pPr>
    </w:p>
    <w:p>
      <w:pPr>
        <w:ind w:left="1240" w:right="1959"/>
        <w:spacing w:after="0" w:line="27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revising the disclosure on page F-16 to include the dates of grants and the intrinsic values. The fair market values equal the exercise price of the grants except for one grant issued in December 2001, as noted in the disclosure. The fair values were determined for the quarters immediately preceding the dates of the grants.</w:t>
      </w:r>
    </w:p>
    <w:p>
      <w:pPr>
        <w:spacing w:after="0" w:line="84" w:lineRule="exact"/>
        <w:rPr>
          <w:rFonts w:ascii="Courier New" w:cs="Courier New" w:eastAsia="Courier New" w:hAnsi="Courier New"/>
          <w:sz w:val="17"/>
          <w:szCs w:val="17"/>
          <w:color w:val="auto"/>
        </w:rPr>
      </w:pPr>
    </w:p>
    <w:p>
      <w:pPr>
        <w:ind w:left="1240" w:right="215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complied with the Staff's comment by expanding its Management's Discussion and Analysis section to disclose the intrinsic value of outstanding options based on the estimated initial public offering price. In addition, the Company has disclosed the assumptions and factors used in determining the fair values as of the date of the grants and why this differs from the estimated initial public offering price. In addition, the Company disclosed the reason for not obtaining a contemporaneous valuation at each grant date. The Company has revised the disclosure on page 31 of the prospectus to include these statements.</w:t>
      </w:r>
    </w:p>
    <w:p>
      <w:pPr>
        <w:spacing w:after="0" w:line="9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 * * * * *</w:t>
      </w:r>
    </w:p>
    <w:p>
      <w:pPr>
        <w:spacing w:after="0" w:line="204" w:lineRule="exact"/>
        <w:rPr>
          <w:sz w:val="20"/>
          <w:szCs w:val="20"/>
          <w:color w:val="auto"/>
        </w:rPr>
      </w:pPr>
    </w:p>
    <w:p>
      <w:pPr>
        <w:ind w:right="2059" w:firstLine="619"/>
        <w:spacing w:after="0" w:line="288" w:lineRule="auto"/>
        <w:rPr>
          <w:sz w:val="20"/>
          <w:szCs w:val="20"/>
          <w:color w:val="auto"/>
        </w:rPr>
      </w:pPr>
      <w:r>
        <w:rPr>
          <w:rFonts w:ascii="Courier New" w:cs="Courier New" w:eastAsia="Courier New" w:hAnsi="Courier New"/>
          <w:sz w:val="17"/>
          <w:szCs w:val="17"/>
          <w:color w:val="auto"/>
        </w:rPr>
        <w:t>We would greatly appreciate your prompt attention in resolving any remaining open issues. If you have any questions regarding the responses to the Staff's comments, please do not hesitate to contact the undersigned at (212) 318-6400.</w:t>
      </w:r>
    </w:p>
    <w:p>
      <w:pPr>
        <w:sectPr>
          <w:pgSz w:w="11900" w:h="16838" w:orient="portrait"/>
          <w:cols w:equalWidth="0" w:num="1">
            <w:col w:w="10219"/>
          </w:cols>
          <w:pgMar w:left="240" w:top="480"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7"/>
          <w:szCs w:val="17"/>
          <w:color w:val="auto"/>
        </w:rPr>
        <w:t>April 29, 2005</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Page 8</w:t>
      </w:r>
    </w:p>
    <w:p>
      <w:pPr>
        <w:spacing w:after="0" w:line="172" w:lineRule="exact"/>
        <w:rPr>
          <w:sz w:val="20"/>
          <w:szCs w:val="20"/>
          <w:color w:val="auto"/>
        </w:rPr>
      </w:pPr>
    </w:p>
    <w:p>
      <w:pPr>
        <w:ind w:right="2479" w:firstLine="619"/>
        <w:spacing w:after="0" w:line="308" w:lineRule="auto"/>
        <w:rPr>
          <w:sz w:val="20"/>
          <w:szCs w:val="20"/>
          <w:color w:val="auto"/>
        </w:rPr>
      </w:pPr>
      <w:r>
        <w:rPr>
          <w:rFonts w:ascii="Courier New" w:cs="Courier New" w:eastAsia="Courier New" w:hAnsi="Courier New"/>
          <w:sz w:val="17"/>
          <w:szCs w:val="17"/>
          <w:color w:val="auto"/>
        </w:rPr>
        <w:t>Kindly acknowledge receipt of the foregoing responses by stamping the enclosed additional copy of this letter and returning the same to the undersigned.</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Sincerely,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F. Schwitter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PAUL, HASTINGS, JANOFSKY &amp; WALKER LLP</w:t>
      </w:r>
    </w:p>
    <w:p>
      <w:pPr>
        <w:spacing w:after="0" w:line="200" w:lineRule="exact"/>
        <w:rPr>
          <w:sz w:val="20"/>
          <w:szCs w:val="20"/>
          <w:color w:val="auto"/>
        </w:rPr>
      </w:pPr>
    </w:p>
    <w:p>
      <w:pPr>
        <w:spacing w:after="0" w:line="203" w:lineRule="exact"/>
        <w:rPr>
          <w:sz w:val="20"/>
          <w:szCs w:val="20"/>
          <w:color w:val="auto"/>
        </w:rPr>
      </w:pPr>
    </w:p>
    <w:p>
      <w:pPr>
        <w:ind w:left="940" w:hanging="934"/>
        <w:spacing w:after="0"/>
        <w:tabs>
          <w:tab w:leader="none" w:pos="94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 Edward Anderson</w:t>
      </w:r>
    </w:p>
    <w:p>
      <w:pPr>
        <w:spacing w:after="0" w:line="3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John Fieldsend, Staff Attorney</w:t>
      </w:r>
    </w:p>
    <w:sectPr>
      <w:pgSz w:w="11900" w:h="16838" w:orient="portrait"/>
      <w:cols w:equalWidth="0" w:num="1">
        <w:col w:w="10219"/>
      </w:cols>
      <w:pgMar w:left="24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decimal"/>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1)"/>
      <w:numFmt w:val="decimal"/>
      <w:start w:val="912"/>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1)"/>
      <w:numFmt w:val="decimal"/>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1)"/>
      <w:numFmt w:val="decimal"/>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1)"/>
      <w:numFmt w:val="decimal"/>
      <w:start w:val="1"/>
    </w:lvl>
  </w:abstractNum>
  <w:abstractNum w:abstractNumId="16">
    <w:nsid w:val="1716703B"/>
    <w:multiLevelType w:val="hybridMultilevel"/>
    <w:lvl w:ilvl="0">
      <w:lvlJc w:val="left"/>
      <w:lvlText w:val="(%1)"/>
      <w:numFmt w:val="decimal"/>
      <w:start w:val="1"/>
    </w:lvl>
  </w:abstractNum>
  <w:abstractNum w:abstractNumId="17">
    <w:nsid w:val="14E17E33"/>
    <w:multiLevelType w:val="hybridMultilevel"/>
    <w:lvl w:ilvl="0">
      <w:lvlJc w:val="left"/>
      <w:lvlText w:val="(%1)"/>
      <w:numFmt w:val="decimal"/>
      <w:start w:val="1"/>
    </w:lvl>
  </w:abstractNum>
  <w:abstractNum w:abstractNumId="18">
    <w:nsid w:val="3222E7CD"/>
    <w:multiLevelType w:val="hybridMultilevel"/>
    <w:lvl w:ilvl="0">
      <w:lvlJc w:val="left"/>
      <w:lvlText w:val="(%1)"/>
      <w:numFmt w:val="lowerRoman"/>
      <w:start w:val="6"/>
    </w:lvl>
  </w:abstractNum>
  <w:abstractNum w:abstractNumId="19">
    <w:nsid w:val="74DE0EE3"/>
    <w:multiLevelType w:val="hybridMultilevel"/>
    <w:lvl w:ilvl="0">
      <w:lvlJc w:val="left"/>
      <w:lvlText w:val="(%1)"/>
      <w:numFmt w:val="decimal"/>
      <w:start w:val="1"/>
    </w:lvl>
  </w:abstractNum>
  <w:abstractNum w:abstractNumId="20">
    <w:nsid w:val="68EBC550"/>
    <w:multiLevelType w:val="hybridMultilevel"/>
    <w:lvl w:ilvl="0">
      <w:lvlJc w:val="left"/>
      <w:lvlText w:val="(%1)"/>
      <w:numFmt w:val="lowerRoman"/>
      <w:start w:val="3"/>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1"/>
      <w:numFmt w:val="upperLetter"/>
      <w:start w:val="1"/>
    </w:lvl>
    <w:lvl w:ilvl="1">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1)"/>
      <w:numFmt w:val="decimal"/>
      <w:start w:val="1"/>
    </w:lvl>
  </w:abstractNum>
  <w:abstractNum w:abstractNumId="30">
    <w:nsid w:val="7F01579B"/>
    <w:multiLevelType w:val="hybridMultilevel"/>
    <w:lvl w:ilvl="0">
      <w:lvlJc w:val="left"/>
      <w:lvlText w:val="(%1)"/>
      <w:numFmt w:val="decimal"/>
      <w:start w:val="1"/>
    </w:lvl>
  </w:abstractNum>
  <w:abstractNum w:abstractNumId="31">
    <w:nsid w:val="49DA307D"/>
    <w:multiLevelType w:val="hybridMultilevel"/>
    <w:lvl w:ilvl="0">
      <w:lvlJc w:val="left"/>
      <w:lvlText w:val="(%1)"/>
      <w:numFmt w:val="decimal"/>
      <w:start w:val="1"/>
    </w:lvl>
  </w:abstractNum>
  <w:abstractNum w:abstractNumId="32">
    <w:nsid w:val="7055A5F5"/>
    <w:multiLevelType w:val="hybridMultilevel"/>
    <w:lvl w:ilvl="0">
      <w:lvlJc w:val="left"/>
      <w:lvlText w:val="(%1)"/>
      <w:numFmt w:val="lowerLetter"/>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1)"/>
      <w:numFmt w:val="decimal"/>
      <w:start w:val="1"/>
    </w:lvl>
    <w:lvl w:ilvl="1">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1)"/>
      <w:numFmt w:val="decimal"/>
      <w:start w:val="1"/>
    </w:lvl>
  </w:abstractNum>
  <w:abstractNum w:abstractNumId="46">
    <w:nsid w:val="3FA62ACA"/>
    <w:multiLevelType w:val="hybridMultilevel"/>
    <w:lvl w:ilvl="0">
      <w:lvlJc w:val="left"/>
      <w:lvlText w:val="(%1)"/>
      <w:numFmt w:val="decimal"/>
      <w:start w:val="2"/>
    </w:lvl>
  </w:abstractNum>
  <w:abstractNum w:abstractNumId="47">
    <w:nsid w:val="14FCE74E"/>
    <w:multiLevelType w:val="hybridMultilevel"/>
    <w:lvl w:ilvl="0">
      <w:lvlJc w:val="left"/>
      <w:lvlText w:val="(%1)"/>
      <w:numFmt w:val="lowerLetter"/>
      <w:start w:val="1"/>
    </w:lvl>
  </w:abstractNum>
  <w:abstractNum w:abstractNumId="48">
    <w:nsid w:val="6A3DD3E8"/>
    <w:multiLevelType w:val="hybridMultilevel"/>
    <w:lvl w:ilvl="0">
      <w:lvlJc w:val="left"/>
      <w:lvlText w:val="(%1)"/>
      <w:numFmt w:val="lowerLetter"/>
      <w:start w:val="2"/>
    </w:lvl>
  </w:abstractNum>
  <w:abstractNum w:abstractNumId="49">
    <w:nsid w:val="71C91298"/>
    <w:multiLevelType w:val="hybridMultilevel"/>
    <w:lvl w:ilvl="0">
      <w:lvlJc w:val="left"/>
      <w:lvlText w:val="(%1)"/>
      <w:numFmt w:val="lowerLetter"/>
      <w:start w:val="3"/>
    </w:lvl>
  </w:abstractNum>
  <w:abstractNum w:abstractNumId="50">
    <w:nsid w:val="9DAF632"/>
    <w:multiLevelType w:val="hybridMultilevel"/>
    <w:lvl w:ilvl="0">
      <w:lvlJc w:val="left"/>
      <w:lvlText w:val="(%1)"/>
      <w:numFmt w:val="lowerLetter"/>
      <w:start w:val="4"/>
    </w:lvl>
  </w:abstractNum>
  <w:abstractNum w:abstractNumId="51">
    <w:nsid w:val="53299938"/>
    <w:multiLevelType w:val="hybridMultilevel"/>
    <w:lvl w:ilvl="0">
      <w:lvlJc w:val="left"/>
      <w:lvlText w:val="(%1)"/>
      <w:numFmt w:val="lowerLetter"/>
      <w:start w:val="5"/>
    </w:lvl>
  </w:abstractNum>
  <w:abstractNum w:abstractNumId="52">
    <w:nsid w:val="1FBFE8E0"/>
    <w:multiLevelType w:val="hybridMultilevel"/>
    <w:lvl w:ilvl="0">
      <w:lvlJc w:val="left"/>
      <w:lvlText w:val="(%1)"/>
      <w:numFmt w:val="lowerLetter"/>
      <w:start w:val="6"/>
    </w:lvl>
  </w:abstractNum>
  <w:abstractNum w:abstractNumId="53">
    <w:nsid w:val="5092CA79"/>
    <w:multiLevelType w:val="hybridMultilevel"/>
    <w:lvl w:ilvl="0">
      <w:lvlJc w:val="left"/>
      <w:lvlText w:val="(%1)"/>
      <w:numFmt w:val="lowerLetter"/>
      <w:start w:val="7"/>
    </w:lvl>
  </w:abstractNum>
  <w:abstractNum w:abstractNumId="54">
    <w:nsid w:val="1D545C4D"/>
    <w:multiLevelType w:val="hybridMultilevel"/>
    <w:lvl w:ilvl="0">
      <w:lvlJc w:val="left"/>
      <w:lvlText w:val="(%1)"/>
      <w:numFmt w:val="lowerLetter"/>
      <w:start w:val="8"/>
    </w:lvl>
  </w:abstractNum>
  <w:abstractNum w:abstractNumId="55">
    <w:nsid w:val="59ADEA3D"/>
    <w:multiLevelType w:val="hybridMultilevel"/>
    <w:lvl w:ilvl="0">
      <w:lvlJc w:val="left"/>
      <w:lvlText w:val="(%1)"/>
      <w:numFmt w:val="lowerRoman"/>
      <w:start w:val="1"/>
    </w:lvl>
  </w:abstractNum>
  <w:abstractNum w:abstractNumId="56">
    <w:nsid w:val="288F1A34"/>
    <w:multiLevelType w:val="hybridMultilevel"/>
    <w:lvl w:ilvl="0">
      <w:lvlJc w:val="left"/>
      <w:lvlText w:val="(%1)"/>
      <w:numFmt w:val="lowerLetter"/>
      <w:start w:val="10"/>
    </w:lvl>
  </w:abstractNum>
  <w:abstractNum w:abstractNumId="57">
    <w:nsid w:val="2A155DBC"/>
    <w:multiLevelType w:val="hybridMultilevel"/>
    <w:lvl w:ilvl="0">
      <w:lvlJc w:val="left"/>
      <w:lvlText w:val="(%1)"/>
      <w:numFmt w:val="lowerLetter"/>
      <w:start w:val="11"/>
    </w:lvl>
  </w:abstractNum>
  <w:abstractNum w:abstractNumId="58">
    <w:nsid w:val="1D9F6E5F"/>
    <w:multiLevelType w:val="hybridMultilevel"/>
    <w:lvl w:ilvl="0">
      <w:lvlJc w:val="left"/>
      <w:lvlText w:val="(%1)"/>
      <w:numFmt w:val="lowerLetter"/>
      <w:start w:val="12"/>
    </w:lvl>
  </w:abstractNum>
  <w:abstractNum w:abstractNumId="59">
    <w:nsid w:val="97E1B4E"/>
    <w:multiLevelType w:val="hybridMultilevel"/>
    <w:lvl w:ilvl="0">
      <w:lvlJc w:val="left"/>
      <w:lvlText w:val="(%1)"/>
      <w:numFmt w:val="lowerLetter"/>
      <w:start w:val="13"/>
    </w:lvl>
  </w:abstractNum>
  <w:abstractNum w:abstractNumId="60">
    <w:nsid w:val="51088277"/>
    <w:multiLevelType w:val="hybridMultilevel"/>
    <w:lvl w:ilvl="0">
      <w:lvlJc w:val="left"/>
      <w:lvlText w:val="(%1)"/>
      <w:numFmt w:val="lowerLetter"/>
      <w:start w:val="14"/>
    </w:lvl>
  </w:abstractNum>
  <w:abstractNum w:abstractNumId="61">
    <w:nsid w:val="1CA0C5FA"/>
    <w:multiLevelType w:val="hybridMultilevel"/>
    <w:lvl w:ilvl="0">
      <w:lvlJc w:val="left"/>
      <w:lvlText w:val="(%1)"/>
      <w:numFmt w:val="lowerLetter"/>
      <w:start w:val="15"/>
    </w:lvl>
  </w:abstractNum>
  <w:abstractNum w:abstractNumId="62">
    <w:nsid w:val="53584BCB"/>
    <w:multiLevelType w:val="hybridMultilevel"/>
    <w:lvl w:ilvl="0">
      <w:lvlJc w:val="left"/>
      <w:lvlText w:val="(%1)"/>
      <w:numFmt w:val="lowerLetter"/>
      <w:start w:val="16"/>
    </w:lvl>
  </w:abstractNum>
  <w:abstractNum w:abstractNumId="63">
    <w:nsid w:val="415E286C"/>
    <w:multiLevelType w:val="hybridMultilevel"/>
    <w:lvl w:ilvl="0">
      <w:lvlJc w:val="left"/>
      <w:lvlText w:val="(%1)"/>
      <w:numFmt w:val="lowerLetter"/>
      <w:start w:val="17"/>
    </w:lvl>
  </w:abstractNum>
  <w:abstractNum w:abstractNumId="64">
    <w:nsid w:val="7C58FD05"/>
    <w:multiLevelType w:val="hybridMultilevel"/>
    <w:lvl w:ilvl="0">
      <w:lvlJc w:val="left"/>
      <w:lvlText w:val="(%1)"/>
      <w:numFmt w:val="lowerLetter"/>
      <w:start w:val="18"/>
    </w:lvl>
  </w:abstractNum>
  <w:abstractNum w:abstractNumId="65">
    <w:nsid w:val="23D86AAC"/>
    <w:multiLevelType w:val="hybridMultilevel"/>
    <w:lvl w:ilvl="0">
      <w:lvlJc w:val="left"/>
      <w:lvlText w:val="(%1)"/>
      <w:numFmt w:val="lowerLetter"/>
      <w:start w:val="19"/>
    </w:lvl>
  </w:abstractNum>
  <w:abstractNum w:abstractNumId="66">
    <w:nsid w:val="45E6D486"/>
    <w:multiLevelType w:val="hybridMultilevel"/>
    <w:lvl w:ilvl="0">
      <w:lvlJc w:val="left"/>
      <w:lvlText w:val="(%1)"/>
      <w:numFmt w:val="decimal"/>
      <w:start w:val="4"/>
    </w:lvl>
  </w:abstractNum>
  <w:abstractNum w:abstractNumId="67">
    <w:nsid w:val="5C10FE21"/>
    <w:multiLevelType w:val="hybridMultilevel"/>
    <w:lvl w:ilvl="0">
      <w:lvlJc w:val="left"/>
      <w:lvlText w:val="(%1)"/>
      <w:numFmt w:val="decimal"/>
      <w:start w:val="5"/>
    </w:lvl>
  </w:abstractNum>
  <w:abstractNum w:abstractNumId="68">
    <w:nsid w:val="E7FFA2B"/>
    <w:multiLevelType w:val="hybridMultilevel"/>
    <w:lvl w:ilvl="0">
      <w:lvlJc w:val="left"/>
      <w:lvlText w:val="(%1)"/>
      <w:numFmt w:val="decimal"/>
      <w:start w:val="7"/>
    </w:lvl>
  </w:abstractNum>
  <w:abstractNum w:abstractNumId="69">
    <w:nsid w:val="3C5991AA"/>
    <w:multiLevelType w:val="hybridMultilevel"/>
    <w:lvl w:ilvl="0">
      <w:lvlJc w:val="left"/>
      <w:lvlText w:val="(%1)"/>
      <w:numFmt w:val="decimal"/>
      <w:start w:val="8"/>
    </w:lvl>
    <w:lvl w:ilvl="1">
      <w:lvlJc w:val="left"/>
      <w:lvlText w:val="(%2)"/>
      <w:numFmt w:val="lowerLetter"/>
      <w:start w:val="1"/>
    </w:lvl>
  </w:abstractNum>
  <w:abstractNum w:abstractNumId="70">
    <w:nsid w:val="4BD8591A"/>
    <w:multiLevelType w:val="hybridMultilevel"/>
    <w:lvl w:ilvl="0">
      <w:lvlJc w:val="left"/>
      <w:lvlText w:val="(%1)"/>
      <w:numFmt w:val="lowerLetter"/>
      <w:start w:val="2"/>
    </w:lvl>
  </w:abstractNum>
  <w:abstractNum w:abstractNumId="71">
    <w:nsid w:val="78DF6A55"/>
    <w:multiLevelType w:val="hybridMultilevel"/>
    <w:lvl w:ilvl="0">
      <w:lvlJc w:val="left"/>
      <w:lvlText w:val="(%1)"/>
      <w:numFmt w:val="lowerLetter"/>
      <w:start w:val="3"/>
    </w:lvl>
  </w:abstractNum>
  <w:abstractNum w:abstractNumId="72">
    <w:nsid w:val="39B7AAA2"/>
    <w:multiLevelType w:val="hybridMultilevel"/>
    <w:lvl w:ilvl="0">
      <w:lvlJc w:val="left"/>
      <w:lvlText w:val="(%1)"/>
      <w:numFmt w:val="lowerLetter"/>
      <w:start w:val="4"/>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1)"/>
      <w:numFmt w:val="decimal"/>
      <w:start w:val="9"/>
    </w:lvl>
  </w:abstractNum>
  <w:abstractNum w:abstractNumId="75">
    <w:nsid w:val="379E21B5"/>
    <w:multiLevelType w:val="hybridMultilevel"/>
    <w:lvl w:ilvl="0">
      <w:lvlJc w:val="left"/>
      <w:lvlText w:val="(%1)"/>
      <w:numFmt w:val="decimal"/>
      <w:start w:val="10"/>
    </w:lvl>
  </w:abstractNum>
  <w:abstractNum w:abstractNumId="76">
    <w:nsid w:val="69E373"/>
    <w:multiLevelType w:val="hybridMultilevel"/>
    <w:lvl w:ilvl="0">
      <w:lvlJc w:val="left"/>
      <w:lvlText w:val="(%1)"/>
      <w:numFmt w:val="decimal"/>
      <w:start w:val="12"/>
    </w:lvl>
    <w:lvl w:ilvl="1">
      <w:lvlJc w:val="left"/>
      <w:lvlText w:val="(%2)"/>
      <w:numFmt w:val="lowerLetter"/>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abstractNum>
  <w:abstractNum w:abstractNumId="79">
    <w:nsid w:val="6AA7B75C"/>
    <w:multiLevelType w:val="hybridMultilevel"/>
    <w:lvl w:ilvl="0">
      <w:lvlJc w:val="left"/>
      <w:lvlText w:val="(%1)"/>
      <w:numFmt w:val="lowerLetter"/>
      <w:start w:val="1"/>
    </w:lvl>
  </w:abstractNum>
  <w:abstractNum w:abstractNumId="80">
    <w:nsid w:val="1DF029D3"/>
    <w:multiLevelType w:val="hybridMultilevel"/>
    <w:lvl w:ilvl="0">
      <w:lvlJc w:val="left"/>
      <w:lvlText w:val="%1"/>
      <w:numFmt w:val="decimal"/>
      <w:start w:val="1"/>
    </w:lvl>
    <w:lvl w:ilvl="1">
      <w:lvlJc w:val="left"/>
      <w:lvlText w:val="(%2)"/>
      <w:numFmt w:val="decimal"/>
      <w:start w:val="1"/>
    </w:lvl>
  </w:abstractNum>
  <w:abstractNum w:abstractNumId="81">
    <w:nsid w:val="5675FF36"/>
    <w:multiLevelType w:val="hybridMultilevel"/>
    <w:lvl w:ilvl="0">
      <w:lvlJc w:val="left"/>
      <w:lvlText w:val="(%1)"/>
      <w:numFmt w:val="decimal"/>
      <w:start w:val="4"/>
    </w:lvl>
    <w:lvl w:ilvl="1">
      <w:lvlJc w:val="left"/>
      <w:lvlText w:val="(%2)"/>
      <w:numFmt w:val="decimal"/>
      <w:start w:val="2"/>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1)"/>
      <w:numFmt w:val="lowerRoman"/>
      <w:start w:val="3"/>
    </w:lvl>
  </w:abstractNum>
  <w:abstractNum w:abstractNumId="84">
    <w:nsid w:val="2708C9AF"/>
    <w:multiLevelType w:val="hybridMultilevel"/>
    <w:lvl w:ilvl="0">
      <w:lvlJc w:val="left"/>
      <w:lvlText w:val="%1."/>
      <w:numFmt w:val="decimal"/>
      <w:start w:val="1"/>
    </w:lvl>
  </w:abstractNum>
  <w:abstractNum w:abstractNumId="85">
    <w:nsid w:val="5B25ACE2"/>
    <w:multiLevelType w:val="hybridMultilevel"/>
    <w:lvl w:ilvl="0">
      <w:lvlJc w:val="left"/>
      <w:lvlText w:val="%1."/>
      <w:numFmt w:val="decimal"/>
      <w:start w:val="1"/>
    </w:lvl>
  </w:abstractNum>
  <w:abstractNum w:abstractNumId="86">
    <w:nsid w:val="175DFCF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87">
    <w:nsid w:val="4F97E3E4"/>
    <w:multiLevelType w:val="hybridMultilevel"/>
    <w:lvl w:ilvl="0">
      <w:lvlJc w:val="left"/>
      <w:lvlText w:val="(%1)"/>
      <w:numFmt w:val="lowerRoman"/>
      <w:start w:val="2"/>
    </w:lvl>
  </w:abstractNum>
  <w:abstractNum w:abstractNumId="88">
    <w:nsid w:val="53B0A9E"/>
    <w:multiLevelType w:val="hybridMultilevel"/>
    <w:lvl w:ilvl="0">
      <w:lvlJc w:val="left"/>
      <w:lvlText w:val="(%1)"/>
      <w:numFmt w:val="lowerRoman"/>
      <w:start w:val="5"/>
    </w:lvl>
  </w:abstractNum>
  <w:abstractNum w:abstractNumId="89">
    <w:nsid w:val="34FD6B4F"/>
    <w:multiLevelType w:val="hybridMultilevel"/>
    <w:lvl w:ilvl="0">
      <w:lvlJc w:val="left"/>
      <w:lvlText w:val="(%1)"/>
      <w:numFmt w:val="lowerLetter"/>
      <w:start w:val="3"/>
    </w:lvl>
  </w:abstractNum>
  <w:abstractNum w:abstractNumId="90">
    <w:nsid w:val="5915FF32"/>
    <w:multiLevelType w:val="hybridMultilevel"/>
    <w:lvl w:ilvl="0">
      <w:lvlJc w:val="left"/>
      <w:lvlText w:val="(%1)"/>
      <w:numFmt w:val="lowerLetter"/>
      <w:start w:val="4"/>
    </w:lvl>
    <w:lvl w:ilvl="1">
      <w:lvlJc w:val="left"/>
      <w:lvlText w:val="(%2)"/>
      <w:numFmt w:val="lowerRoman"/>
      <w:start w:val="1"/>
    </w:lvl>
  </w:abstractNum>
  <w:abstractNum w:abstractNumId="91">
    <w:nsid w:val="56438D15"/>
    <w:multiLevelType w:val="hybridMultilevel"/>
    <w:lvl w:ilvl="0">
      <w:lvlJc w:val="left"/>
      <w:lvlText w:val="(%1)"/>
      <w:numFmt w:val="lowerLetter"/>
      <w:start w:val="2"/>
    </w:lvl>
    <w:lvl w:ilvl="1">
      <w:lvlJc w:val="left"/>
      <w:lvlText w:val="%2."/>
      <w:numFmt w:val="decimal"/>
      <w:start w:val="2"/>
    </w:lvl>
    <w:lvl w:ilvl="2">
      <w:lvlJc w:val="left"/>
      <w:lvlText w:val="(%3)"/>
      <w:numFmt w:val="lowerLetter"/>
      <w:start w:val="6"/>
    </w:lvl>
  </w:abstractNum>
  <w:abstractNum w:abstractNumId="92">
    <w:nsid w:val="519E314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3">
    <w:nsid w:val="2C6E4AFD"/>
    <w:multiLevelType w:val="hybridMultilevel"/>
    <w:lvl w:ilvl="0">
      <w:lvlJc w:val="left"/>
      <w:lvlText w:val="%1"/>
      <w:numFmt w:val="lowerLetter"/>
      <w:start w:val="1"/>
    </w:lvl>
    <w:lvl w:ilvl="1">
      <w:lvlJc w:val="left"/>
      <w:lvlText w:val="(%2)"/>
      <w:numFmt w:val="lowerLetter"/>
      <w:start w:val="3"/>
    </w:lvl>
  </w:abstractNum>
  <w:abstractNum w:abstractNumId="94">
    <w:nsid w:val="17A1B582"/>
    <w:multiLevelType w:val="hybridMultilevel"/>
    <w:lvl w:ilvl="0">
      <w:lvlJc w:val="left"/>
      <w:lvlText w:val="(%1)"/>
      <w:numFmt w:val="lowerLetter"/>
      <w:start w:val="35"/>
    </w:lvl>
    <w:lvl w:ilvl="1">
      <w:lvlJc w:val="left"/>
      <w:lvlText w:val="%2"/>
      <w:numFmt w:val="lowerLetter"/>
      <w:start w:val="1"/>
    </w:lvl>
  </w:abstractNum>
  <w:abstractNum w:abstractNumId="95">
    <w:nsid w:val="4DF72E4E"/>
    <w:multiLevelType w:val="hybridMultilevel"/>
    <w:lvl w:ilvl="0">
      <w:lvlJc w:val="left"/>
      <w:lvlText w:val="(%1)"/>
      <w:numFmt w:val="lowerLetter"/>
      <w:start w:val="6"/>
    </w:lvl>
  </w:abstractNum>
  <w:abstractNum w:abstractNumId="96">
    <w:nsid w:val="5046B5A9"/>
    <w:multiLevelType w:val="hybridMultilevel"/>
    <w:lvl w:ilvl="0">
      <w:lvlJc w:val="left"/>
      <w:lvlText w:val="(%1)"/>
      <w:numFmt w:val="lowerLetter"/>
      <w:start w:val="8"/>
    </w:lvl>
    <w:lvl w:ilvl="1">
      <w:lvlJc w:val="left"/>
      <w:lvlText w:val="(%2)"/>
      <w:numFmt w:val="lowerLetter"/>
      <w:start w:val="12"/>
    </w:lvl>
  </w:abstractNum>
  <w:abstractNum w:abstractNumId="97">
    <w:nsid w:val="5D888A08"/>
    <w:multiLevelType w:val="hybridMultilevel"/>
    <w:lvl w:ilvl="0">
      <w:lvlJc w:val="left"/>
      <w:lvlText w:val="%1"/>
      <w:numFmt w:val="decimal"/>
      <w:start w:val="1"/>
    </w:lvl>
    <w:lvl w:ilvl="1">
      <w:lvlJc w:val="left"/>
      <w:lvlText w:val="(%2)"/>
      <w:numFmt w:val="lowerLetter"/>
      <w:start w:val="13"/>
    </w:lvl>
  </w:abstractNum>
  <w:abstractNum w:abstractNumId="98">
    <w:nsid w:val="2A082C70"/>
    <w:multiLevelType w:val="hybridMultilevel"/>
    <w:lvl w:ilvl="0">
      <w:lvlJc w:val="left"/>
      <w:lvlText w:val="%1."/>
      <w:numFmt w:val="decimal"/>
      <w:start w:val="4"/>
    </w:lvl>
    <w:lvl w:ilvl="1">
      <w:lvlJc w:val="left"/>
      <w:lvlText w:val="%2"/>
      <w:numFmt w:val="lowerLetter"/>
      <w:start w:val="1"/>
    </w:lvl>
  </w:abstractNum>
  <w:abstractNum w:abstractNumId="99">
    <w:nsid w:val="5EC6AFD4"/>
    <w:multiLevelType w:val="hybridMultilevel"/>
    <w:lvl w:ilvl="0">
      <w:lvlJc w:val="left"/>
      <w:lvlText w:val="%1."/>
      <w:numFmt w:val="decimal"/>
      <w:start w:val="5"/>
    </w:lvl>
    <w:lvl w:ilvl="1">
      <w:lvlJc w:val="left"/>
      <w:lvlText w:val="(%2)"/>
      <w:numFmt w:val="lowerLetter"/>
      <w:start w:val="1"/>
    </w:lvl>
  </w:abstractNum>
  <w:abstractNum w:abstractNumId="100">
    <w:nsid w:val="19E21BB2"/>
    <w:multiLevelType w:val="hybridMultilevel"/>
    <w:lvl w:ilvl="0">
      <w:lvlJc w:val="left"/>
      <w:lvlText w:val="%1"/>
      <w:numFmt w:val="decimal"/>
      <w:start w:val="1"/>
    </w:lvl>
    <w:lvl w:ilvl="1">
      <w:lvlJc w:val="left"/>
      <w:lvlText w:val="(%2)"/>
      <w:numFmt w:val="lowerLetter"/>
      <w:start w:val="2"/>
    </w:lvl>
  </w:abstractNum>
  <w:abstractNum w:abstractNumId="101">
    <w:nsid w:val="75E0858A"/>
    <w:multiLevelType w:val="hybridMultilevel"/>
    <w:lvl w:ilvl="0">
      <w:lvlJc w:val="left"/>
      <w:lvlText w:val="%1."/>
      <w:numFmt w:val="decimal"/>
      <w:start w:val="6"/>
    </w:lvl>
    <w:lvl w:ilvl="1">
      <w:lvlJc w:val="left"/>
      <w:lvlText w:val="(%2)"/>
      <w:numFmt w:val="lowerLetter"/>
      <w:start w:val="1"/>
    </w:lvl>
  </w:abstractNum>
  <w:abstractNum w:abstractNumId="102">
    <w:nsid w:val="57A61A29"/>
    <w:multiLevelType w:val="hybridMultilevel"/>
    <w:lvl w:ilvl="0">
      <w:lvlJc w:val="left"/>
      <w:lvlText w:val="(%1)"/>
      <w:numFmt w:val="lowerLetter"/>
      <w:start w:val="61"/>
    </w:lvl>
    <w:lvl w:ilvl="1">
      <w:lvlJc w:val="left"/>
      <w:lvlText w:val="(%2)"/>
      <w:numFmt w:val="lowerLetter"/>
      <w:start w:val="2"/>
    </w:lvl>
  </w:abstractNum>
  <w:abstractNum w:abstractNumId="103">
    <w:nsid w:val="5399C654"/>
    <w:multiLevelType w:val="hybridMultilevel"/>
    <w:lvl w:ilvl="0">
      <w:lvlJc w:val="left"/>
      <w:lvlText w:val="%1"/>
      <w:numFmt w:val="decimal"/>
      <w:start w:val="1"/>
    </w:lvl>
    <w:lvl w:ilvl="1">
      <w:lvlJc w:val="left"/>
      <w:lvlText w:val="(%2)"/>
      <w:numFmt w:val="lowerLetter"/>
      <w:start w:val="4"/>
    </w:lvl>
  </w:abstractNum>
  <w:abstractNum w:abstractNumId="104">
    <w:nsid w:val="20EE1348"/>
    <w:multiLevelType w:val="hybridMultilevel"/>
    <w:lvl w:ilvl="0">
      <w:lvlJc w:val="left"/>
      <w:lvlText w:val="%1."/>
      <w:numFmt w:val="decimal"/>
      <w:start w:val="7"/>
    </w:lvl>
    <w:lvl w:ilvl="1">
      <w:lvlJc w:val="left"/>
      <w:lvlText w:val="%2"/>
      <w:numFmt w:val="lowerLetter"/>
      <w:start w:val="1"/>
    </w:lvl>
  </w:abstractNum>
  <w:abstractNum w:abstractNumId="105">
    <w:nsid w:val="4427069A"/>
    <w:multiLevelType w:val="hybridMultilevel"/>
    <w:lvl w:ilvl="0">
      <w:lvlJc w:val="left"/>
      <w:lvlText w:val="(%1)"/>
      <w:numFmt w:val="lowerLetter"/>
      <w:start w:val="1"/>
    </w:lvl>
  </w:abstractNum>
  <w:abstractNum w:abstractNumId="106">
    <w:nsid w:val="B37E80A"/>
    <w:multiLevelType w:val="hybridMultilevel"/>
    <w:lvl w:ilvl="0">
      <w:lvlJc w:val="left"/>
      <w:lvlText w:val="(%1)"/>
      <w:numFmt w:val="lowerLetter"/>
      <w:start w:val="4"/>
    </w:lvl>
  </w:abstractNum>
  <w:abstractNum w:abstractNumId="107">
    <w:nsid w:val="2157F6BC"/>
    <w:multiLevelType w:val="hybridMultilevel"/>
    <w:lvl w:ilvl="0">
      <w:lvlJc w:val="left"/>
      <w:lvlText w:val="(%1)"/>
      <w:numFmt w:val="lowerLetter"/>
      <w:start w:val="6"/>
    </w:lvl>
  </w:abstractNum>
  <w:abstractNum w:abstractNumId="108">
    <w:nsid w:val="704E1DD5"/>
    <w:multiLevelType w:val="hybridMultilevel"/>
    <w:lvl w:ilvl="0">
      <w:lvlJc w:val="left"/>
      <w:lvlText w:val="(%1)"/>
      <w:numFmt w:val="lowerLetter"/>
      <w:start w:val="12"/>
    </w:lvl>
  </w:abstractNum>
  <w:abstractNum w:abstractNumId="109">
    <w:nsid w:val="57D2F10E"/>
    <w:multiLevelType w:val="hybridMultilevel"/>
    <w:lvl w:ilvl="0">
      <w:lvlJc w:val="left"/>
      <w:lvlText w:val="%1."/>
      <w:numFmt w:val="decimal"/>
      <w:start w:val="1"/>
    </w:lvl>
  </w:abstractNum>
  <w:abstractNum w:abstractNumId="110">
    <w:nsid w:val="BFFAE18"/>
    <w:multiLevelType w:val="hybridMultilevel"/>
    <w:lvl w:ilvl="0">
      <w:lvlJc w:val="left"/>
      <w:lvlText w:val="%1."/>
      <w:numFmt w:val="decimal"/>
      <w:start w:val="5"/>
    </w:lvl>
  </w:abstractNum>
  <w:abstractNum w:abstractNumId="111">
    <w:nsid w:val="E3E47A8"/>
    <w:multiLevelType w:val="hybridMultilevel"/>
    <w:lvl w:ilvl="0">
      <w:lvlJc w:val="left"/>
      <w:lvlText w:val="%1."/>
      <w:numFmt w:val="decimal"/>
      <w:start w:val="9"/>
    </w:lvl>
  </w:abstractNum>
  <w:abstractNum w:abstractNumId="112">
    <w:nsid w:val="2E48F044"/>
    <w:multiLevelType w:val="hybridMultilevel"/>
    <w:lvl w:ilvl="0">
      <w:lvlJc w:val="left"/>
      <w:lvlText w:val="%1."/>
      <w:numFmt w:val="decimal"/>
      <w:start w:val="1"/>
    </w:lvl>
  </w:abstractNum>
  <w:abstractNum w:abstractNumId="113">
    <w:nsid w:val="49D0FEAC"/>
    <w:multiLevelType w:val="hybridMultilevel"/>
    <w:lvl w:ilvl="0">
      <w:lvlJc w:val="left"/>
      <w:lvlText w:val="%1."/>
      <w:numFmt w:val="decimal"/>
      <w:start w:val="2"/>
    </w:lvl>
  </w:abstractNum>
  <w:abstractNum w:abstractNumId="114">
    <w:nsid w:val="4BEE5A5B"/>
    <w:multiLevelType w:val="hybridMultilevel"/>
    <w:lvl w:ilvl="0">
      <w:lvlJc w:val="left"/>
      <w:lvlText w:val="%1."/>
      <w:numFmt w:val="decimal"/>
      <w:start w:val="3"/>
    </w:lvl>
  </w:abstractNum>
  <w:abstractNum w:abstractNumId="115">
    <w:nsid w:val="5551B9F3"/>
    <w:multiLevelType w:val="hybridMultilevel"/>
    <w:lvl w:ilvl="0">
      <w:lvlJc w:val="left"/>
      <w:lvlText w:val="%1."/>
      <w:numFmt w:val="decimal"/>
      <w:start w:val="4"/>
    </w:lvl>
  </w:abstractNum>
  <w:abstractNum w:abstractNumId="116">
    <w:nsid w:val="24F6AB8E"/>
    <w:multiLevelType w:val="hybridMultilevel"/>
    <w:lvl w:ilvl="0">
      <w:lvlJc w:val="left"/>
      <w:lvlText w:val="%1."/>
      <w:numFmt w:val="decimal"/>
      <w:start w:val="5"/>
    </w:lvl>
  </w:abstractNum>
  <w:abstractNum w:abstractNumId="117">
    <w:nsid w:val="634C574C"/>
    <w:multiLevelType w:val="hybridMultilevel"/>
    <w:lvl w:ilvl="0">
      <w:lvlJc w:val="left"/>
      <w:lvlText w:val="%1."/>
      <w:numFmt w:val="decimal"/>
      <w:start w:val="6"/>
    </w:lvl>
  </w:abstractNum>
  <w:abstractNum w:abstractNumId="118">
    <w:nsid w:val="24E99DD7"/>
    <w:multiLevelType w:val="hybridMultilevel"/>
    <w:lvl w:ilvl="0">
      <w:lvlJc w:val="left"/>
      <w:lvlText w:val="%1."/>
      <w:numFmt w:val="decimal"/>
      <w:start w:val="7"/>
    </w:lvl>
  </w:abstractNum>
  <w:abstractNum w:abstractNumId="119">
    <w:nsid w:val="2A31B62D"/>
    <w:multiLevelType w:val="hybridMultilevel"/>
    <w:lvl w:ilvl="0">
      <w:lvlJc w:val="left"/>
      <w:lvlText w:val="(%1)"/>
      <w:numFmt w:val="lowerLetter"/>
      <w:start w:val="1"/>
    </w:lvl>
  </w:abstractNum>
  <w:abstractNum w:abstractNumId="120">
    <w:nsid w:val="1849C29B"/>
    <w:multiLevelType w:val="hybridMultilevel"/>
    <w:lvl w:ilvl="0">
      <w:lvlJc w:val="left"/>
      <w:lvlText w:val="(%1)"/>
      <w:numFmt w:val="lowerLetter"/>
      <w:start w:val="2"/>
    </w:lvl>
  </w:abstractNum>
  <w:abstractNum w:abstractNumId="121">
    <w:nsid w:val="7DFF9D09"/>
    <w:multiLevelType w:val="hybridMultilevel"/>
    <w:lvl w:ilvl="0">
      <w:lvlJc w:val="left"/>
      <w:lvlText w:val="(%1)"/>
      <w:numFmt w:val="lowerLetter"/>
      <w:start w:val="3"/>
    </w:lvl>
  </w:abstractNum>
  <w:abstractNum w:abstractNumId="122">
    <w:nsid w:val="754342"/>
    <w:multiLevelType w:val="hybridMultilevel"/>
    <w:lvl w:ilvl="0">
      <w:lvlJc w:val="left"/>
      <w:lvlText w:val="(%1)"/>
      <w:numFmt w:val="lowerLetter"/>
      <w:start w:val="4"/>
    </w:lvl>
  </w:abstractNum>
  <w:abstractNum w:abstractNumId="123">
    <w:nsid w:val="69E7F3E5"/>
    <w:multiLevelType w:val="hybridMultilevel"/>
    <w:lvl w:ilvl="0">
      <w:lvlJc w:val="left"/>
      <w:lvlText w:val="(%1)"/>
      <w:numFmt w:val="lowerLetter"/>
      <w:start w:val="5"/>
    </w:lvl>
  </w:abstractNum>
  <w:abstractNum w:abstractNumId="124">
    <w:nsid w:val="2A6DE806"/>
    <w:multiLevelType w:val="hybridMultilevel"/>
    <w:lvl w:ilvl="0">
      <w:lvlJc w:val="left"/>
      <w:lvlText w:val="%1."/>
      <w:numFmt w:val="decimal"/>
      <w:start w:val="8"/>
    </w:lvl>
  </w:abstractNum>
  <w:abstractNum w:abstractNumId="125">
    <w:nsid w:val="1816F8C4"/>
    <w:multiLevelType w:val="hybridMultilevel"/>
    <w:lvl w:ilvl="0">
      <w:lvlJc w:val="left"/>
      <w:lvlText w:val="%1."/>
      <w:numFmt w:val="decimal"/>
      <w:start w:val="9"/>
    </w:lvl>
  </w:abstractNum>
  <w:abstractNum w:abstractNumId="126">
    <w:nsid w:val="37DF2233"/>
    <w:multiLevelType w:val="hybridMultilevel"/>
    <w:lvl w:ilvl="0">
      <w:lvlJc w:val="left"/>
      <w:lvlText w:val="%1."/>
      <w:numFmt w:val="decimal"/>
      <w:start w:val="10"/>
    </w:lvl>
  </w:abstractNum>
  <w:abstractNum w:abstractNumId="127">
    <w:nsid w:val="7AB49DAF"/>
    <w:multiLevelType w:val="hybridMultilevel"/>
    <w:lvl w:ilvl="0">
      <w:lvlJc w:val="left"/>
      <w:lvlText w:val="%1."/>
      <w:numFmt w:val="decimal"/>
      <w:start w:val="11"/>
    </w:lvl>
  </w:abstractNum>
  <w:abstractNum w:abstractNumId="128">
    <w:nsid w:val="759F82CD"/>
    <w:multiLevelType w:val="hybridMultilevel"/>
    <w:lvl w:ilvl="0">
      <w:lvlJc w:val="left"/>
      <w:lvlText w:val="%1."/>
      <w:numFmt w:val="decimal"/>
      <w:start w:val="12"/>
    </w:lvl>
  </w:abstractNum>
  <w:abstractNum w:abstractNumId="129">
    <w:nsid w:val="61E74EA3"/>
    <w:multiLevelType w:val="hybridMultilevel"/>
    <w:lvl w:ilvl="0">
      <w:lvlJc w:val="left"/>
      <w:lvlText w:val="%1."/>
      <w:numFmt w:val="decimal"/>
      <w:start w:val="13"/>
    </w:lvl>
  </w:abstractNum>
  <w:abstractNum w:abstractNumId="130">
    <w:nsid w:val="597B4D84"/>
    <w:multiLevelType w:val="hybridMultilevel"/>
    <w:lvl w:ilvl="0">
      <w:lvlJc w:val="left"/>
      <w:lvlText w:val="%1."/>
      <w:numFmt w:val="decimal"/>
      <w:start w:val="14"/>
    </w:lvl>
  </w:abstractNum>
  <w:abstractNum w:abstractNumId="131">
    <w:nsid w:val="F819E7F"/>
    <w:multiLevelType w:val="hybridMultilevel"/>
    <w:lvl w:ilvl="0">
      <w:lvlJc w:val="left"/>
      <w:lvlText w:val="%1."/>
      <w:numFmt w:val="decimal"/>
      <w:start w:val="15"/>
    </w:lvl>
  </w:abstractNum>
  <w:abstractNum w:abstractNumId="132">
    <w:nsid w:val="57C7D42D"/>
    <w:multiLevelType w:val="hybridMultilevel"/>
    <w:lvl w:ilvl="0">
      <w:lvlJc w:val="left"/>
      <w:lvlText w:val="%1."/>
      <w:numFmt w:val="decimal"/>
      <w:start w:val="16"/>
    </w:lvl>
  </w:abstractNum>
  <w:abstractNum w:abstractNumId="133">
    <w:nsid w:val="312167AD"/>
    <w:multiLevelType w:val="hybridMultilevel"/>
    <w:lvl w:ilvl="0">
      <w:lvlJc w:val="left"/>
      <w:lvlText w:val="%1."/>
      <w:numFmt w:val="decimal"/>
      <w:start w:val="17"/>
    </w:lvl>
  </w:abstractNum>
  <w:abstractNum w:abstractNumId="134">
    <w:nsid w:val="631B64D4"/>
    <w:multiLevelType w:val="hybridMultilevel"/>
    <w:lvl w:ilvl="0">
      <w:lvlJc w:val="left"/>
      <w:lvlText w:val="%1)"/>
      <w:numFmt w:val="decimal"/>
      <w:start w:val="1"/>
    </w:lvl>
  </w:abstractNum>
  <w:abstractNum w:abstractNumId="135">
    <w:nsid w:val="78B5E776"/>
    <w:multiLevelType w:val="hybridMultilevel"/>
    <w:lvl w:ilvl="0">
      <w:lvlJc w:val="left"/>
      <w:lvlText w:val="%1."/>
      <w:numFmt w:val="decimal"/>
      <w:start w:val="19"/>
    </w:lvl>
  </w:abstractNum>
  <w:abstractNum w:abstractNumId="136">
    <w:nsid w:val="75486E47"/>
    <w:multiLevelType w:val="hybridMultilevel"/>
    <w:lvl w:ilvl="0">
      <w:lvlJc w:val="left"/>
      <w:lvlText w:val="%1."/>
      <w:numFmt w:val="decimal"/>
      <w:start w:val="20"/>
    </w:lvl>
  </w:abstractNum>
  <w:abstractNum w:abstractNumId="137">
    <w:nsid w:val="6E534CDE"/>
    <w:multiLevelType w:val="hybridMultilevel"/>
    <w:lvl w:ilvl="0">
      <w:lvlJc w:val="left"/>
      <w:lvlText w:val="%1."/>
      <w:numFmt w:val="decimal"/>
      <w:start w:val="21"/>
    </w:lvl>
  </w:abstractNum>
  <w:abstractNum w:abstractNumId="138">
    <w:nsid w:val="1A0DDE32"/>
    <w:multiLevelType w:val="hybridMultilevel"/>
    <w:lvl w:ilvl="0">
      <w:lvlJc w:val="left"/>
      <w:lvlText w:val="(%1)"/>
      <w:numFmt w:val="lowerLetter"/>
      <w:start w:val="1"/>
    </w:lvl>
  </w:abstractNum>
  <w:abstractNum w:abstractNumId="139">
    <w:nsid w:val="65968C1C"/>
    <w:multiLevelType w:val="hybridMultilevel"/>
    <w:lvl w:ilvl="0">
      <w:lvlJc w:val="left"/>
      <w:lvlText w:val="%1"/>
      <w:numFmt w:val="decimal"/>
      <w:start w:val="1"/>
    </w:lvl>
    <w:lvl w:ilvl="1">
      <w:lvlJc w:val="left"/>
      <w:lvlText w:val="(%2)"/>
      <w:numFmt w:val="lowerLetter"/>
      <w:start w:val="7"/>
    </w:lvl>
  </w:abstractNum>
  <w:abstractNum w:abstractNumId="140">
    <w:nsid w:val="46263DEC"/>
    <w:multiLevelType w:val="hybridMultilevel"/>
    <w:lvl w:ilvl="0">
      <w:lvlJc w:val="left"/>
      <w:lvlText w:val="%1."/>
      <w:numFmt w:val="decimal"/>
      <w:start w:val="22"/>
    </w:lvl>
    <w:lvl w:ilvl="1">
      <w:lvlJc w:val="left"/>
      <w:lvlText w:val="%2"/>
      <w:numFmt w:val="lowerLetter"/>
      <w:start w:val="1"/>
    </w:lvl>
  </w:abstractNum>
  <w:abstractNum w:abstractNumId="141">
    <w:nsid w:val="260D8C4A"/>
    <w:multiLevelType w:val="hybridMultilevel"/>
    <w:lvl w:ilvl="0">
      <w:lvlJc w:val="left"/>
      <w:lvlText w:val="-"/>
      <w:numFmt w:val="bullet"/>
      <w:start w:val="1"/>
    </w:lvl>
  </w:abstractNum>
  <w:abstractNum w:abstractNumId="142">
    <w:nsid w:val="73D4D3C4"/>
    <w:multiLevelType w:val="hybridMultilevel"/>
    <w:lvl w:ilvl="0">
      <w:lvlJc w:val="left"/>
      <w:lvlText w:val="%1."/>
      <w:numFmt w:val="decimal"/>
      <w:start w:val="1"/>
    </w:lvl>
  </w:abstractNum>
  <w:abstractNum w:abstractNumId="143">
    <w:nsid w:val="746F2E30"/>
    <w:multiLevelType w:val="hybridMultilevel"/>
    <w:lvl w:ilvl="0">
      <w:lvlJc w:val="left"/>
      <w:lvlText w:val="%1."/>
      <w:numFmt w:val="decimal"/>
      <w:start w:val="2"/>
    </w:lvl>
  </w:abstractNum>
  <w:abstractNum w:abstractNumId="144">
    <w:nsid w:val="6FDE8AF6"/>
    <w:multiLevelType w:val="hybridMultilevel"/>
    <w:lvl w:ilvl="0">
      <w:lvlJc w:val="left"/>
      <w:lvlText w:val="%1."/>
      <w:numFmt w:val="decimal"/>
      <w:start w:val="3"/>
    </w:lvl>
  </w:abstractNum>
  <w:abstractNum w:abstractNumId="145">
    <w:nsid w:val="3FC32E20"/>
    <w:multiLevelType w:val="hybridMultilevel"/>
    <w:lvl w:ilvl="0">
      <w:lvlJc w:val="left"/>
      <w:lvlText w:val="%1."/>
      <w:numFmt w:val="decimal"/>
      <w:start w:val="4"/>
    </w:lvl>
  </w:abstractNum>
  <w:abstractNum w:abstractNumId="146">
    <w:nsid w:val="49C0E823"/>
    <w:multiLevelType w:val="hybridMultilevel"/>
    <w:lvl w:ilvl="0">
      <w:lvlJc w:val="left"/>
      <w:lvlText w:val="%1."/>
      <w:numFmt w:val="decimal"/>
      <w:start w:val="5"/>
    </w:lvl>
  </w:abstractNum>
  <w:abstractNum w:abstractNumId="147">
    <w:nsid w:val="14D53685"/>
    <w:multiLevelType w:val="hybridMultilevel"/>
    <w:lvl w:ilvl="0">
      <w:lvlJc w:val="left"/>
      <w:lvlText w:val="%1."/>
      <w:numFmt w:val="decimal"/>
      <w:start w:val="8"/>
    </w:lvl>
  </w:abstractNum>
  <w:abstractNum w:abstractNumId="148">
    <w:nsid w:val="230F856C"/>
    <w:multiLevelType w:val="hybridMultilevel"/>
    <w:lvl w:ilvl="0">
      <w:lvlJc w:val="left"/>
      <w:lvlText w:val="%1."/>
      <w:numFmt w:val="decimal"/>
      <w:start w:val="9"/>
    </w:lvl>
  </w:abstractNum>
  <w:abstractNum w:abstractNumId="149">
    <w:nsid w:val="6EAA85FB"/>
    <w:multiLevelType w:val="hybridMultilevel"/>
    <w:lvl w:ilvl="0">
      <w:lvlJc w:val="left"/>
      <w:lvlText w:val="%1."/>
      <w:numFmt w:val="decimal"/>
      <w:start w:val="10"/>
    </w:lvl>
  </w:abstractNum>
  <w:abstractNum w:abstractNumId="150">
    <w:nsid w:val="3F06ECB2"/>
    <w:multiLevelType w:val="hybridMultilevel"/>
    <w:lvl w:ilvl="0">
      <w:lvlJc w:val="left"/>
      <w:lvlText w:val="%1."/>
      <w:numFmt w:val="decimal"/>
      <w:start w:val="11"/>
    </w:lvl>
  </w:abstractNum>
  <w:abstractNum w:abstractNumId="151">
    <w:nsid w:val="3B594807"/>
    <w:multiLevelType w:val="hybridMultilevel"/>
    <w:lvl w:ilvl="0">
      <w:lvlJc w:val="left"/>
      <w:lvlText w:val="%1."/>
      <w:numFmt w:val="decimal"/>
      <w:start w:val="12"/>
    </w:lvl>
  </w:abstractNum>
  <w:abstractNum w:abstractNumId="152">
    <w:nsid w:val="6CAA2304"/>
    <w:multiLevelType w:val="hybridMultilevel"/>
    <w:lvl w:ilvl="0">
      <w:lvlJc w:val="left"/>
      <w:lvlText w:val="%1."/>
      <w:numFmt w:val="decimal"/>
      <w:start w:val="13"/>
    </w:lvl>
  </w:abstractNum>
  <w:abstractNum w:abstractNumId="153">
    <w:nsid w:val="3F7C2FF4"/>
    <w:multiLevelType w:val="hybridMultilevel"/>
    <w:lvl w:ilvl="0">
      <w:lvlJc w:val="left"/>
      <w:lvlText w:val="%1."/>
      <w:numFmt w:val="decimal"/>
      <w:start w:val="14"/>
    </w:lvl>
  </w:abstractNum>
  <w:abstractNum w:abstractNumId="154">
    <w:nsid w:val="25413BEC"/>
    <w:multiLevelType w:val="hybridMultilevel"/>
    <w:lvl w:ilvl="0">
      <w:lvlJc w:val="left"/>
      <w:lvlText w:val="%1."/>
      <w:numFmt w:val="decimal"/>
      <w:start w:val="15"/>
    </w:lvl>
  </w:abstractNum>
  <w:abstractNum w:abstractNumId="155">
    <w:nsid w:val="17180B0B"/>
    <w:multiLevelType w:val="hybridMultilevel"/>
    <w:lvl w:ilvl="0">
      <w:lvlJc w:val="left"/>
      <w:lvlText w:val="%1."/>
      <w:numFmt w:val="decimal"/>
      <w:start w:val="16"/>
    </w:lvl>
  </w:abstractNum>
  <w:abstractNum w:abstractNumId="156">
    <w:nsid w:val="579328B9"/>
    <w:multiLevelType w:val="hybridMultilevel"/>
    <w:lvl w:ilvl="0">
      <w:lvlJc w:val="left"/>
      <w:lvlText w:val="%1."/>
      <w:numFmt w:val="decimal"/>
      <w:start w:val="17"/>
    </w:lvl>
  </w:abstractNum>
  <w:abstractNum w:abstractNumId="157">
    <w:nsid w:val="5D205E20"/>
    <w:multiLevelType w:val="hybridMultilevel"/>
    <w:lvl w:ilvl="0">
      <w:lvlJc w:val="left"/>
      <w:lvlText w:val="%1."/>
      <w:numFmt w:val="decimal"/>
      <w:start w:val="18"/>
    </w:lvl>
  </w:abstractNum>
  <w:abstractNum w:abstractNumId="158">
    <w:nsid w:val="11CCA8B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2019-12-15T11:44:40Z</dcterms:created>
  <dcterms:modified xsi:type="dcterms:W3CDTF">2019-12-15T11:44:40Z</dcterms:modified>
</cp:coreProperties>
</file>